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bde3ec2f67d447cf" />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 w:val="true"/>
          <w:bCs w:val="true"/>
          <w:color w:val="17365D"/>
          <w:sz w:val="52"/>
        </w:rPr>
        <w:t xml:space="preserve">Patch compliance report</w:t>
      </w:r>
    </w:p>
    <w:p>
      <w:pPr/>
      <w:r>
        <w:rPr>
          <w:b w:val="true"/>
          <w:bCs w:val="true"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 w:val="true"/>
          <w:bCs w:val="true"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d133c7a96e8a49b0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 w:val="true"/>
          <w:bCs w:val="true"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0606882F">
      <w:headerReference w:type="default" r:id="R5f1763be49434e62"/>
      <w:footerReference w:type="default" r:id="R33208132cbee44af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8DC300A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5f1763be49434e62" />
  <Relationship Type="http://schemas.openxmlformats.org/officeDocument/2006/relationships/footer" Target="footer1.xml" Id="R33208132cbee44af" />
  <Relationship Type="http://schemas.openxmlformats.org/officeDocument/2006/relationships/chart" Target="charts/chart1.xml" Id="Rd133c7a96e8a49b0" />
  <Relationship Type="http://schemas.openxmlformats.org/officeDocument/2006/relationships/numbering" Target="numbering.xml" Id="Rd1512c03666d401b" 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  <c:txPr>
        <a:bodyPr/>
        <a:lstStyle/>
        <a:p>
          <a:pPr>
            <a:defRPr sz="1200">
              <a:solidFill>
                <a:srgbClr val="1B2433"/>
              </a:solidFill>
              <a:latin typeface="Aptos"/>
            </a:defRPr>
          </a:pPr>
          <a:endParaRPr/>
        </a:p>
      </c:txPr>
    </c:title>
    <c:autoTitleDeleted val="0"/>
    <c:plotArea>
      <c:layout/>
      <c:barChart xmlns:c="http://schemas.openxmlformats.org/drawingml/2006/chart">
        <c:barDir val="bar"/>
        <c:grouping val="clustered"/>
        <c:ser>
          <c:idx val="0"/>
          <c:order val="0"/>
          <c:tx>
            <c:v>Patched</c:v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v>Pending</c:v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txPr>
            <a:bodyPr/>
            <a:lstStyle/>
            <a:p>
              <a:pPr>
                <a:defRPr sz="900">
                  <a:solidFill>
                    <a:srgbClr val="1B2433"/>
                  </a:solidFill>
                  <a:latin typeface="Aptos"/>
                </a:defRPr>
              </a:pPr>
              <a:endParaRPr/>
            </a:p>
          </c:txPr>
          <c:showLegendKey val="0"/>
          <c:showVal val="1"/>
          <c:showCatName val="0"/>
          <c:showSerName val="0"/>
          <c:showPercent val="1"/>
          <c:showBubbleSize val="0"/>
          <c:showLeaderLines val="0"/>
        </c:dLbls>
        <c:gapWidth val="6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l"/>
        <c:majorTickMark val="out"/>
        <c:minorTickMark val="none"/>
        <c:tickLblPos val="nextTo"/>
        <c:spPr>
          <a:ln w="6350">
            <a:solidFill>
              <a:srgbClr val="C9D0DA"/>
            </a:solidFill>
          </a:ln>
        </c:spPr>
        <c:txPr>
          <a:bodyPr/>
          <a:lstStyle/>
          <a:p>
            <a:pPr>
              <a:defRPr sz="900">
                <a:solidFill>
                  <a:srgbClr val="5B6575"/>
                </a:solidFill>
                <a:latin typeface="Aptos"/>
              </a:defRPr>
            </a:pPr>
            <a:endParaRPr/>
          </a:p>
        </c:txPr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b"/>
        <c:majorGridlines>
          <c:spPr>
            <a:ln w="6350">
              <a:solidFill>
                <a:srgbClr val="E6EAF0"/>
              </a:solidFill>
            </a:ln>
          </c:spPr>
        </c:majorGridlines>
        <c:numFmt formatCode="General" sourceLinked="0"/>
        <c:majorTickMark val="out"/>
        <c:minorTickMark val="none"/>
        <c:tickLblPos val="nextTo"/>
        <c:spPr>
          <a:ln w="6350">
            <a:noFill/>
          </a:ln>
        </c:spPr>
        <c:txPr>
          <a:bodyPr/>
          <a:lstStyle/>
          <a:p>
            <a:pPr>
              <a:defRPr sz="900">
                <a:solidFill>
                  <a:srgbClr val="5B6575"/>
                </a:solidFill>
                <a:latin typeface="Aptos"/>
              </a:defRPr>
            </a:pPr>
            <a:endParaRPr/>
          </a:p>
        </c:txPr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spPr>
    <a:noFill/>
    <a:ln>
      <a:noFill/>
    </a:ln>
  </c:spPr>
  <c:txPr>
    <a:bodyPr/>
    <a:lstStyle/>
    <a:p>
      <a:pPr>
        <a:defRPr sz="900">
          <a:solidFill>
            <a:srgbClr val="1B2433"/>
          </a:solidFill>
          <a:latin typeface="Aptos"/>
        </a:defRPr>
      </a:pPr>
      <a:endParaRPr/>
    </a:p>
  </c:txPr>
</c:chartSpace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