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a5d7b6f6e87e4c84" />
  <Relationship Type="http://schemas.openxmlformats.org/package/2006/relationships/metadata/core-properties" Target="package/services/metadata/core-properties/c9a946cec80f4372a896cf8da9a7b2c9.psmdcp" Id="R36ca1009f2204db7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keepNext/>
        <w:spacing w:before="0" w:after="280"/>
      </w:pPr>
      <w:r>
        <w:rPr>
          <w:b w:val="true"/>
          <w:bCs w:val="true"/>
          <w:color w:val="17365D"/>
          <w:sz w:val="52"/>
        </w:rPr>
        <w:t xml:space="preserve">Statement of work</w:t>
      </w:r>
    </w:p>
    <w:p>
      <w:pPr>
        <w:spacing w:before="0" w:after="140"/>
      </w:pPr>
      <w:r>
        <w:rPr>
          <w:sz w:val="22"/>
        </w:rPr>
        <w:t xml:space="preserve">NORTHWIND / DOCUMENT AUTOMATION / SOW-018</w:t>
      </w:r>
    </w:p>
    <w:p>
      <w:pPr>
        <w:spacing w:before="0" w:after="140"/>
      </w:pPr>
      <w:r>
        <w:rPr>
          <w:sz w:val="22"/>
        </w:rPr>
        <w:t xml:space="preserve">Deliver an editable reporting workflow with a clear boundary between implementation and acceptance. This example is a scope record, not a legal template.</w:t>
      </w:r>
    </w:p>
    <w:p>
      <w:pPr>
        <w:pStyle w:val="Heading2"/>
        <w:keepNext/>
        <w:spacing w:before="280" w:after="160"/>
      </w:pPr>
      <w:r>
        <w:rPr>
          <w:b w:val="true"/>
          <w:bCs w:val="true"/>
          <w:color w:val="17365D"/>
          <w:sz w:val="30"/>
        </w:rPr>
        <w:t xml:space="preserve">Deliverables and acceptance</w:t>
      </w:r>
    </w:p>
    <w:tbl>
      <w:tblPr>
        <w:tblStyle w:val="TableGrid"/>
        <w:tblW w:w="5000" w:type="pct"/>
        <w:tblLayout w:type="fixed"/>
        <w:tblLook w:val="04A0"/>
      </w:tblPr>
      <w:tblGrid>
        <w:gridCol w:w="2340"/>
        <w:gridCol w:w="1872"/>
        <w:gridCol w:w="2808"/>
        <w:gridCol w:w="2340"/>
      </w:tblGrid>
      <w:tr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true"/>
                <w:bCs w:val="true"/>
                <w:color w:val="FFFFFF"/>
                <w:sz w:val="20"/>
              </w:rPr>
              <w:t xml:space="preserve">Deliverable</w:t>
            </w:r>
          </w:p>
        </w:tc>
        <w:tc>
          <w:tcPr>
            <w:tcW w:w="10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true"/>
                <w:bCs w:val="true"/>
                <w:color w:val="FFFFFF"/>
                <w:sz w:val="20"/>
              </w:rPr>
              <w:t xml:space="preserve">Owner</w:t>
            </w:r>
          </w:p>
        </w:tc>
        <w:tc>
          <w:tcPr>
            <w:tcW w:w="15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true"/>
                <w:bCs w:val="true"/>
                <w:color w:val="FFFFFF"/>
                <w:sz w:val="20"/>
              </w:rPr>
              <w:t xml:space="preserve">Acceptance evidence</w:t>
            </w:r>
          </w:p>
        </w:tc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true"/>
                <w:bCs w:val="true"/>
                <w:color w:val="FFFFFF"/>
                <w:sz w:val="20"/>
              </w:rPr>
              <w:t xml:space="preserve">Target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Data mapping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Analyst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Five agreed sample records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Week 1</w:t>
            </w:r>
          </w:p>
        </w:tc>
      </w:tr>
      <w:tr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Report generator</w:t>
            </w:r>
          </w:p>
        </w:tc>
        <w:tc>
          <w:tcPr>
            <w:tcW w:w="10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Engineer</w:t>
            </w:r>
          </w:p>
        </w:tc>
        <w:tc>
          <w:tcPr>
            <w:tcW w:w="15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DOCX and PDF from each record</w:t>
            </w:r>
          </w:p>
        </w:tc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Week 3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Operator handover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Delivery lead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Owner completes an unaided run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Week 4</w:t>
            </w:r>
          </w:p>
        </w:tc>
      </w:tr>
    </w:tbl>
    <w:p>
      <w:pPr>
        <w:pStyle w:val="Heading2"/>
        <w:keepNext/>
        <w:spacing w:before="280" w:after="160"/>
      </w:pPr>
      <w:r>
        <w:rPr>
          <w:b w:val="true"/>
          <w:bCs w:val="true"/>
          <w:color w:val="17365D"/>
          <w:sz w:val="30"/>
        </w:rPr>
        <w:t xml:space="preserve">Scope and change control</w:t>
      </w:r>
    </w:p>
    <w:p>
      <w:pPr>
        <w:spacing w:before="0" w:after="140"/>
      </w:pPr>
      <w:r>
        <w:rPr>
          <w:sz w:val="22"/>
        </w:rPr>
        <w:t xml:space="preserve">Includes one approved data source, one report layout and a repeatable export command. Hosting, new data connectors and production rollout are excluded. Record changes with their effect on cost, dates and acceptance before starting them.</w:t>
      </w:r>
    </w:p>
    <w:p>
      <w:pPr>
        <w:pStyle w:val="Heading2"/>
        <w:keepNext/>
        <w:spacing w:before="280" w:after="160"/>
      </w:pPr>
      <w:r>
        <w:rPr>
          <w:b w:val="true"/>
          <w:bCs w:val="true"/>
          <w:color w:val="17365D"/>
          <w:sz w:val="30"/>
        </w:rPr>
        <w:t xml:space="preserve">Next actions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sz w:val="22"/>
        </w:rPr>
        <w:t xml:space="preserve">Customer owner: approve the sample data and layout.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sz w:val="22"/>
        </w:rPr>
        <w:t xml:space="preserve">Delivery lead: record acceptance for each deliverable.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sz w:val="22"/>
        </w:rPr>
        <w:t xml:space="preserve">Both owners: agree any scope change before implementation.</w:t>
      </w:r>
    </w:p>
    <w:sectPr w:rsidR="3B6A32D1">
      <w:headerReference w:type="default" r:id="R7694b9b88dc24eac"/>
      <w:footerReference w:type="default" r:id="R86b0b90ed5294b3a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tabs>
        <w:tab w:val="right" w:leader="none" w:pos="9360"/>
      </w:tabs>
    </w:pPr>
    <w:r>
      <w:rPr>
        <w:color w:val="5B6575"/>
        <w:sz w:val="18"/>
      </w:rPr>
      <w:t xml:space="preserve">Statement of work</w:t>
    </w:r>
    <w:r>
      <w:rPr>
        <w:color w:val="5B6575"/>
        <w:sz w:val="18"/>
      </w:rPr>
      <w:tab/>
    </w:r>
    <w:r>
      <w:rPr>
        <w:color w:val="5B6575"/>
        <w:sz w:val="18"/>
      </w:rPr>
      <w:t xml:space="preserve">Internal · Page </w:t>
    </w:r>
    <w:fldSimple w:instr=" PAGE  \* MERGEFORMAT " w:dirty="true">
      <w:r>
        <w:rPr>
          <w:noProof/>
          <w:color w:val="5B6575"/>
          <w:sz w:val="18"/>
        </w:rPr>
        <w:t>[Document Page]</w:t>
      </w:r>
    </w:fldSimple>
    <w:r>
      <w:rPr>
        <w:color w:val="5B6575"/>
        <w:sz w:val="18"/>
      </w:rPr>
      <w:t xml:space="preserve"> of </w:t>
    </w:r>
    <w:fldSimple w:instr=" NUMPAGES  \* MERGEFORMAT " w:dirty="true">
      <w:r>
        <w:rPr>
          <w:noProof/>
          <w:color w:val="5B6575"/>
          <w:sz w:val="18"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83DD91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numbering" Target="numbering.xml" Id="Re49e17cbb1304752" />
  <Relationship Type="http://schemas.openxmlformats.org/officeDocument/2006/relationships/header" Target="header1.xml" Id="R7694b9b88dc24eac" />
  <Relationship Type="http://schemas.openxmlformats.org/officeDocument/2006/relationships/footer" Target="footer1.xml" Id="R86b0b90ed5294b3a" 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