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305f70cf8ca442b4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spacing w:after="240"/>
      </w:pPr>
      <w:r>
        <w:rPr>
          <w:b/>
          <w:bCs/>
          <w:color w:val="17365D"/>
          <w:sz w:val="52"/>
        </w:rPr>
        <w:t xml:space="preserve">Supplier offer review</w:t>
      </w:r>
    </w:p>
    <w:p>
      <w:pPr>
        <w:spacing w:after="200"/>
      </w:pPr>
      <w:r>
        <w:rPr>
          <w:b/>
          <w:bCs/>
          <w:color w:val="166534"/>
          <w:sz w:val="32"/>
        </w:rPr>
        <w:t xml:space="preserve">4 offers / 2 items</w:t>
      </w:r>
    </w:p>
    <w:p>
      <w:pPr/>
      <w:r>
        <w:t xml:space="preserve">Compare price and delivery together. The workbook retains numeric values for your own calculations.</w:t>
      </w:r>
    </w:p>
    <w:p>
      <w:pPr>
        <w:keepNext/>
        <w:spacing w:before="320" w:after="160"/>
      </w:pPr>
      <w:r>
        <w:rPr>
          <w:b/>
          <w:bCs/>
          <w:color w:val="17365D"/>
          <w:sz w:val="30"/>
        </w:rPr>
        <w:t xml:space="preserve">Offers received</w:t>
      </w:r>
    </w:p>
    <w:tbl>
      <w:tblPr>
        <w:tblStyle w:val="GridTable4-Accent1"/>
        <w:tblW w:w="5000" w:type="pct"/>
        <w:tblLayout w:type="fixed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Item</w:t>
            </w:r>
          </w:p>
        </w:tc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Supplier</w:t>
            </w:r>
          </w:p>
        </w:tc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USD per unit</w:t>
            </w:r>
          </w:p>
        </w:tc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Lead days</w:t>
            </w:r>
          </w:p>
        </w:tc>
      </w:tr>
      <w:tr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USB-C dock</w:t>
            </w:r>
          </w:p>
        </w:tc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Northwind</w:t>
            </w:r>
          </w:p>
        </w:tc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89.50</w:t>
            </w:r>
          </w:p>
        </w:tc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4</w:t>
            </w:r>
          </w:p>
        </w:tc>
      </w:tr>
      <w:tr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USB-C dock</w:t>
            </w:r>
          </w:p>
        </w:tc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Contoso</w:t>
            </w:r>
          </w:p>
        </w:tc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92.00</w:t>
            </w:r>
          </w:p>
        </w:tc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2</w:t>
            </w:r>
          </w:p>
        </w:tc>
      </w:tr>
      <w:tr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27-inch monitor</w:t>
            </w:r>
          </w:p>
        </w:tc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Northwind</w:t>
            </w:r>
          </w:p>
        </w:tc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215.00</w:t>
            </w:r>
          </w:p>
        </w:tc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5</w:t>
            </w:r>
          </w:p>
        </w:tc>
      </w:tr>
      <w:tr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27-inch monitor</w:t>
            </w:r>
          </w:p>
        </w:tc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Contoso</w:t>
            </w:r>
          </w:p>
        </w:tc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208.00</w:t>
            </w:r>
          </w:p>
        </w:tc>
        <w:tc>
          <w:tcPr>
            <w:tcW w:w="125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7</w:t>
            </w:r>
          </w:p>
        </w:tc>
      </w:tr>
    </w:tbl>
    <w:p>
      <w:pPr>
        <w:keepNext/>
        <w:spacing w:before="320" w:after="160"/>
      </w:pPr>
      <w:r>
        <w:rPr>
          <w:b/>
          <w:bCs/>
          <w:color w:val="17365D"/>
          <w:sz w:val="30"/>
        </w:rPr>
        <w:t xml:space="preserve">Before choosing an offer</w:t>
      </w:r>
    </w:p>
    <w:p>
      <w:pPr>
        <w:pStyle w:val="ListParagraph"/>
        <w:numPr>
          <w:ilvl w:val="0"/>
          <w:numId w:val="1"/>
        </w:numPr>
      </w:pPr>
      <w:r>
        <w:t xml:space="preserve">Confirm stock, quote expiry and the required delivery date.</w:t>
      </w:r>
    </w:p>
    <w:p>
      <w:pPr>
        <w:pStyle w:val="ListParagraph"/>
        <w:numPr>
          <w:ilvl w:val="0"/>
          <w:numId w:val="1"/>
        </w:numPr>
      </w:pPr>
      <w:r>
        <w:t xml:space="preserve">Add freight and tax before comparing landed cost.</w:t>
      </w:r>
    </w:p>
    <w:p>
      <w:pPr>
        <w:pStyle w:val="ListParagraph"/>
        <w:numPr>
          <w:ilvl w:val="0"/>
          <w:numId w:val="1"/>
        </w:numPr>
      </w:pPr>
      <w:r>
        <w:t xml:space="preserve">Record the purchasing decision and its owner in the editable document.</w:t>
      </w:r>
    </w:p>
    <w:p>
      <w:pPr>
        <w:spacing w:before="240"/>
      </w:pPr>
      <w:r>
        <w:rPr>
          <w:color w:val="475569"/>
          <w:sz w:val="20"/>
        </w:rPr>
        <w:t xml:space="preserve">Input contract: Item, Supplier, UnitPriceUsd and LeadDays. The bundled HTML contains synthetic data.</w:t>
      </w:r>
    </w:p>
    <w:sectPr w:rsidR="E65A6D2A">
      <w:headerReference w:type="default" r:id="R0d74658b1d354652"/>
      <w:footerReference w:type="default" r:id="R8a119718baeb481c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/>
    <w:fldSimple w:instr=" PAGE  \* MERGEFORMAT " w:dirty="true">
      <w:r>
        <w:rPr>
          <w:noProof/>
        </w:rPr>
        <w:t>[Document Page]</w:t>
      </w:r>
    </w:fldSimple>
    <w:r>
      <w:t xml:space="preserve"> of </w:t>
    </w:r>
    <w:fldSimple w:instr=" NUMPAGES  \* MERGEFORMAT " w:dirty="true">
      <w:r>
        <w:rPr>
          <w:noProof/>
        </w:rPr>
        <w:t>[Document NumPages]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/>
    <w:r>
      <w:t xml:space="preserve">PROCUREMENT / OFFER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A3056"/>
    <w:multiLevelType w:val="hybridMultilevel"/>
    <w:tmpl w:val="934E79A6"/>
    <w:lvl w:ilvl="0" w:tplc="04090001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tru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true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 w:tplc="04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tru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true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 w:tplc="04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tru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  <Relationship Type="http://schemas.openxmlformats.org/officeDocument/2006/relationships/header" Target="header1.xml" Id="R0d74658b1d354652" />
  <Relationship Type="http://schemas.openxmlformats.org/officeDocument/2006/relationships/footer" Target="footer1.xml" Id="R8a119718baeb481c" />
  <Relationship Type="http://schemas.openxmlformats.org/officeDocument/2006/relationships/numbering" Target="numbering.xml" Id="Rab17fe61fa2a4a10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