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aps/>
          <w:color w:val="1A3A5C"/>
          <w:sz w:val="52"/>
          <w:szCs w:val="52"/>
        </w:rPr>
        <w:t xml:space="preserve">TAKTIKA</w:t>
      </w:r>
    </w:p>
    <w:p>
      <w:pPr>
        <w:spacing w:after="400" w:before="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 w:before="0"/>
        <w:jc w:val="center"/>
      </w:pPr>
      <w:r>
        <w:rPr>
          <w:b/>
          <w:bCs/>
          <w:color w:val="1A3A5C"/>
          <w:sz w:val="44"/>
          <w:szCs w:val="44"/>
        </w:rPr>
        <w:t xml:space="preserve">Affiliate Program Kutatás &amp; Jogi Útmutató</w:t>
      </w:r>
    </w:p>
    <w:p>
      <w:pPr>
        <w:spacing w:after="600" w:before="0"/>
        <w:jc w:val="center"/>
      </w:pPr>
      <w:r>
        <w:rPr>
          <w:i/>
          <w:iCs/>
          <w:color w:val="6B7280"/>
          <w:sz w:val="24"/>
          <w:szCs w:val="24"/>
        </w:rPr>
        <w:t xml:space="preserve">Magyar fogadóirodák · Jogi keret · Várható bevételek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2026. március</w:t>
      </w:r>
    </w:p>
    <w:p>
      <w:r>
        <w:br w:type="page"/>
      </w:r>
    </w:p>
    <w:p>
      <w:pPr>
        <w:pBdr>
          <w:top w:val="single" w:color="B91C1C" w:sz="4"/>
          <w:bottom w:val="single" w:color="B91C1C" w:sz="4"/>
          <w:left w:val="thick" w:color="B91C1C" w:sz="12"/>
          <w:right w:val="single" w:color="B91C1C" w:sz="4"/>
        </w:pBdr>
        <w:shd w:color="FEF2F2" w:val="solid"/>
        <w:spacing w:after="120" w:before="120"/>
        <w:ind w:left="360" w:right="360"/>
      </w:pPr>
      <w:r>
        <w:rPr>
          <w:b/>
          <w:bCs/>
          <w:color w:val="B91C1C"/>
        </w:rPr>
        <w:t xml:space="preserve">⚠  FONTOS: </w:t>
      </w:r>
      <w:r>
        <w:rPr>
          <w:color w:val="7C2D12"/>
        </w:rPr>
        <w:t xml:space="preserve">Magyarországon a szerencsejáték-reklám szigorúan szabályozott. Mielőtt bármilyen affiliate linket közzéteszel, mindenképpen konzultálj jogi szakértővel, és ellenőrizd a legfrissebb Szerencsejáték Zrt. előírásokat.</w:t>
      </w:r>
    </w:p>
    <w:p>
      <w:pPr>
        <w:spacing w:before="200"/>
      </w:pP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1. Magyar jogi keret — összefoglaló</w:t>
      </w:r>
    </w:p>
    <w:p>
      <w:pPr>
        <w:pStyle w:val="Heading2"/>
        <w:spacing w:after="120" w:before="320"/>
        <w:rPr>
          <w:color w:val="1A3A5C"/>
        </w:rPr>
      </w:pPr>
      <w:r>
        <w:t xml:space="preserve">A hatályos szabályozás (2023–2026)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Engedélyező hatóság:</w:t>
      </w:r>
      <w:r>
        <w:t xml:space="preserve"> Szerencsejáték Felügyelet (Szerencsejáték Zrt., SZVH)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Alaptörvény:</w:t>
      </w:r>
      <w:r>
        <w:t xml:space="preserve"> 2012. évi CXLV. törvény a szerencsejátékok szervezéséről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Reklám szabályozás:</w:t>
      </w:r>
      <w:r>
        <w:t xml:space="preserve"> 2008. évi XLVIII. törvény (gazdasági reklámtevékenység)</w:t>
      </w:r>
    </w:p>
    <w:p>
      <w:pPr>
        <w:pStyle w:val="Heading2"/>
        <w:spacing w:after="120" w:before="320"/>
        <w:rPr>
          <w:color w:val="1A3A5C"/>
        </w:rPr>
      </w:pPr>
      <w:r>
        <w:t xml:space="preserve">Amit tilos: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Nem engedélyezett (külföldi, offshore) fogadóirodák reklámozása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Nyerési garancia vagy biztos nyeremény kommunikálása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18 év alattiak megcélzása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„Fogadj most" típusú azonnali cselekvésre buzdítás nyomulósan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Fogadóiroda reklám a sporttartalom MELLÉ kevert módon</w:t>
      </w:r>
    </w:p>
    <w:p>
      <w:pPr>
        <w:pStyle w:val="Heading2"/>
        <w:spacing w:after="120" w:before="320"/>
        <w:rPr>
          <w:color w:val="1A3A5C"/>
        </w:rPr>
      </w:pPr>
      <w:r>
        <w:t xml:space="preserve">Ami megengedett: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Engedélyezett (Szerencsejáték Zrt.-nél regisztrált) irodák bemutatása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Összehasonlítók, informatív tartalom az irodákról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Affiliate linkek, ha a kapcsolat egyértelműen jelölve van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Felelős fogadás üzenetek megjelenítése (kötelező kísérőszöveg)</w:t>
      </w:r>
    </w:p>
    <w:p>
      <w:pPr>
        <w:pStyle w:val="Heading2"/>
        <w:spacing w:after="120" w:before="320"/>
        <w:rPr>
          <w:color w:val="1A3A5C"/>
        </w:rPr>
      </w:pPr>
      <w:r>
        <w:t xml:space="preserve">Kötelező megjelenítés minden affiliate tartalomnál:</w:t>
      </w:r>
    </w:p>
    <w:p>
      <w:pPr>
        <w:shd w:color="F3F4F6" w:val="solid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"18+ | Játssz felelősséggel | www.szeretem.hu | 06-80-20-20-20"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2. Engedélyezett fogadóirodák (affiliate potenciál)</w:t>
      </w:r>
    </w:p>
    <w:p>
      <w:pPr>
        <w:pStyle w:val="Heading2"/>
        <w:spacing w:after="120" w:before="320"/>
        <w:rPr>
          <w:color w:val="1A3A5C"/>
        </w:rPr>
      </w:pPr>
      <w:r>
        <w:t xml:space="preserve">Tippmix Pro (Szerencsejáték Zrt.)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Típus:</w:t>
      </w:r>
      <w:r>
        <w:t xml:space="preserve"> Állami, 100% legális HU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Affiliate program:</w:t>
      </w:r>
      <w:r>
        <w:t xml:space="preserve"> Nincs hagyományos affiliate — állami szponzorációs lehetőség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Margin:</w:t>
      </w:r>
      <w:r>
        <w:t xml:space="preserve"> ~8–12% (magasabb mint a piaci versenytársak)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Kontextus:</w:t>
      </w:r>
      <w:r>
        <w:t xml:space="preserve"> Megemlíthető mint „állami, biztonságos opció" — de az odds nem a legjobbak</w:t>
      </w:r>
    </w:p>
    <w:p>
      <w:pPr>
        <w:pStyle w:val="Heading2"/>
        <w:spacing w:after="120" w:before="320"/>
        <w:rPr>
          <w:color w:val="1A3A5C"/>
        </w:rPr>
      </w:pPr>
      <w:r>
        <w:t xml:space="preserve">Bet365 (UK licensz, HU-ban elérhető)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Típus:</w:t>
      </w:r>
      <w:r>
        <w:t xml:space="preserve"> Nemzetközi, Magyarországon legálisan működő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Affiliate program:</w:t>
      </w:r>
      <w:r>
        <w:t xml:space="preserve"> Bet365 Affiliates (bet365affiliates.com)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CPA:</w:t>
      </w:r>
      <w:r>
        <w:t xml:space="preserve"> ~£100–200/befizető ügyfél · </w:t>
      </w:r>
      <w:r>
        <w:rPr>
          <w:b/>
          <w:bCs/>
        </w:rPr>
        <w:t xml:space="preserve">Revenue share:</w:t>
      </w:r>
      <w:r>
        <w:t xml:space="preserve"> 20–35%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Margin:</w:t>
      </w:r>
      <w:r>
        <w:t xml:space="preserve"> ~4–5% (kedvező az olvasóknak)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Követelmény:</w:t>
      </w:r>
      <w:r>
        <w:t xml:space="preserve"> Minimum 5 befizető ügyfél/hó az aktív státuszhoz</w:t>
      </w:r>
    </w:p>
    <w:p>
      <w:pPr>
        <w:pStyle w:val="Heading2"/>
        <w:spacing w:after="120" w:before="320"/>
        <w:rPr>
          <w:color w:val="1A3A5C"/>
        </w:rPr>
      </w:pPr>
      <w:r>
        <w:t xml:space="preserve">Unibet (Kindred Group, EU licensz)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Típus:</w:t>
      </w:r>
      <w:r>
        <w:t xml:space="preserve"> Svéd anyacég, Magyarországon elérhető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Affiliate program:</w:t>
      </w:r>
      <w:r>
        <w:t xml:space="preserve"> Kindred Affiliates (kindredaffiliates.com)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Revenue share:</w:t>
      </w:r>
      <w:r>
        <w:t xml:space="preserve"> 25–40% · </w:t>
      </w:r>
      <w:r>
        <w:rPr>
          <w:b/>
          <w:bCs/>
        </w:rPr>
        <w:t xml:space="preserve">CPA:</w:t>
      </w:r>
      <w:r>
        <w:t xml:space="preserve"> ~€50–100/befizető ügyfél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Margin:</w:t>
      </w:r>
      <w:r>
        <w:t xml:space="preserve"> ~5–6%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Különlegesség:</w:t>
      </w:r>
      <w:r>
        <w:t xml:space="preserve"> Responsible Gambling eszközök — TAKTIKA értékrendhez illő</w:t>
      </w:r>
    </w:p>
    <w:p>
      <w:pPr>
        <w:pStyle w:val="Heading2"/>
        <w:spacing w:after="120" w:before="320"/>
        <w:rPr>
          <w:color w:val="1A3A5C"/>
        </w:rPr>
      </w:pPr>
      <w:r>
        <w:t xml:space="preserve">22bet — NEM AJÁNLOTT</w:t>
      </w:r>
    </w:p>
    <w:p>
      <w:pPr>
        <w:pBdr>
          <w:top w:val="single" w:color="B91C1C" w:sz="4"/>
          <w:bottom w:val="single" w:color="B91C1C" w:sz="4"/>
          <w:left w:val="thick" w:color="B91C1C" w:sz="12"/>
          <w:right w:val="single" w:color="B91C1C" w:sz="4"/>
        </w:pBdr>
        <w:shd w:color="FEF2F2" w:val="solid"/>
        <w:spacing w:after="120" w:before="120"/>
        <w:ind w:left="360" w:right="360"/>
      </w:pPr>
      <w:r>
        <w:rPr>
          <w:b/>
          <w:bCs/>
          <w:color w:val="B91C1C"/>
        </w:rPr>
        <w:t xml:space="preserve">⚠  FONTOS: </w:t>
      </w:r>
      <w:r>
        <w:rPr>
          <w:color w:val="7C2D12"/>
        </w:rPr>
        <w:t xml:space="preserve">Curaçao licensz (nem EU/HU) — Magyar állampolgároknak kockázatos, jogi szürkezóna. Nem ajánlott TAKTIKA számára.</w:t>
      </w:r>
    </w:p>
    <w:p>
      <w:pPr>
        <w:pStyle w:val="Heading2"/>
        <w:spacing w:after="120" w:before="320"/>
        <w:rPr>
          <w:color w:val="1A3A5C"/>
        </w:rPr>
      </w:pPr>
      <w:r>
        <w:t xml:space="preserve">Betsson (Malta Gaming Authority, EU)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Affiliate program:</w:t>
      </w:r>
      <w:r>
        <w:t xml:space="preserve"> Betsson Affiliates · </w:t>
      </w:r>
      <w:r>
        <w:rPr>
          <w:b/>
          <w:bCs/>
        </w:rPr>
        <w:t xml:space="preserve">Revenue share:</w:t>
      </w:r>
      <w:r>
        <w:t xml:space="preserve"> 25–40%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Margin:</w:t>
      </w:r>
      <w:r>
        <w:t xml:space="preserve"> ~4–5% (kedvező)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3. Ajánlott affiliate megközelítés</w:t>
      </w:r>
    </w:p>
    <w:p>
      <w:pPr>
        <w:pStyle w:val="Heading2"/>
        <w:spacing w:after="120" w:before="320"/>
        <w:rPr>
          <w:color w:val="1A3A5C"/>
        </w:rPr>
      </w:pPr>
      <w:r>
        <w:t xml:space="preserve">Mit NE csinálj: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Sidebar banner hirdetések („Fogadj most a Bet365-ön!")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Minden cikk végén affiliate linkek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„Legjobb tippek [iroda] linkkel" típusú tartalom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Kötelező felelős fogadás figyelmeztető nélküli linkek</w:t>
      </w:r>
    </w:p>
    <w:p>
      <w:pPr>
        <w:pStyle w:val="Heading2"/>
        <w:spacing w:after="120" w:before="320"/>
        <w:rPr>
          <w:color w:val="1A3A5C"/>
        </w:rPr>
      </w:pPr>
      <w:r>
        <w:t xml:space="preserve">Mit CSINÁLJ: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Összehasonlító oldal</w:t>
      </w:r>
      <w:r>
        <w:t xml:space="preserve"> (/fogadoirodak): Részletes, objektív összehasonlítás (margin, kifizetési sebesség, odds minőség)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In-article contextual:</w:t>
      </w:r>
      <w:r>
        <w:t xml:space="preserve"> Csak ha a cikk témájához kapcsolódik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Transzparens közlés kötelező</w:t>
      </w:r>
      <w:r>
        <w:t xml:space="preserve"> minden affiliate linknél (lásd szöveg alább)</w:t>
      </w:r>
    </w:p>
    <w:p>
      <w:pPr>
        <w:shd w:color="F3F4F6" w:val="solid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„Szponzorált link — ha ezen keresztül regisztrálsz, kis jutalékot kapunk, ami segíti a TAKTIKA működését. Az irodát mi is használjuk és objektíven értékeljük."</w:t>
      </w:r>
    </w:p>
    <w:p>
      <w:pPr>
        <w:pStyle w:val="Heading2"/>
        <w:spacing w:after="120" w:before="320"/>
        <w:rPr>
          <w:color w:val="1A3A5C"/>
        </w:rPr>
      </w:pPr>
      <w:r>
        <w:t xml:space="preserve">Etikus keretek — TAKTIKA brand protection: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Csak olyan irodát ajánlj amit te is aktívan használsz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Ha az iroda változtat (rontja az oddszt/kifizetést), frissítsd vagy vedd le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Évente 1× nyilvános értékelés az ajánlott irodákról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Felelős fogadás ajánló MINDEN affiliate oldalon/cikkben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4. Várható bevétel — reális becslés</w:t>
      </w:r>
    </w:p>
    <w:p>
      <w:pPr>
        <w:pStyle w:val="Heading2"/>
        <w:spacing w:after="120" w:before="320"/>
        <w:rPr>
          <w:color w:val="1A3A5C"/>
        </w:rPr>
      </w:pPr>
      <w:r>
        <w:t xml:space="preserve">500 havi látogató (2–3. hónap)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</w:t>
            </w:r>
          </w:p>
        </w:tc>
        <w:tc>
          <w:tcPr>
            <w:tcW w:type="pct" w:w="4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Részlet</w:t>
            </w:r>
          </w:p>
        </w:tc>
        <w:tc>
          <w:tcPr>
            <w:tcW w:type="pct" w:w="3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Havi bevétel</w:t>
            </w:r>
          </w:p>
        </w:tc>
      </w:tr>
      <w:tr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CPA</w:t>
            </w:r>
          </w:p>
        </w:tc>
        <w:tc>
          <w:tcPr>
            <w:tcW w:type="pct" w:w="4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2–5 regisztráció × ~€80</w:t>
            </w:r>
          </w:p>
        </w:tc>
        <w:tc>
          <w:tcPr>
            <w:tcW w:type="pct" w:w="3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€160–400 (~60–150 eFt)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 share</w:t>
            </w:r>
          </w:p>
        </w:tc>
        <w:tc>
          <w:tcPr>
            <w:tcW w:type="pct" w:w="4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Ha aktív fogadók</w:t>
            </w:r>
          </w:p>
        </w:tc>
        <w:tc>
          <w:tcPr>
            <w:tcW w:type="pct" w:w="3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+€50–150/hó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  <w:rPr>
          <w:color w:val="1A3A5C"/>
        </w:rPr>
      </w:pPr>
      <w:r>
        <w:t xml:space="preserve">2000 havi látogató (4–6. hónap)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</w:t>
            </w:r>
          </w:p>
        </w:tc>
        <w:tc>
          <w:tcPr>
            <w:tcW w:type="pct" w:w="4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Részlet</w:t>
            </w:r>
          </w:p>
        </w:tc>
        <w:tc>
          <w:tcPr>
            <w:tcW w:type="pct" w:w="3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Havi bevétel</w:t>
            </w:r>
          </w:p>
        </w:tc>
      </w:tr>
      <w:tr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CPA</w:t>
            </w:r>
          </w:p>
        </w:tc>
        <w:tc>
          <w:tcPr>
            <w:tcW w:type="pct" w:w="4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10–20 regisztráció × ~€80</w:t>
            </w:r>
          </w:p>
        </w:tc>
        <w:tc>
          <w:tcPr>
            <w:tcW w:type="pct" w:w="3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€800–1 600 (~300–600 eFt)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Revenue share</w:t>
            </w:r>
          </w:p>
        </w:tc>
        <w:tc>
          <w:tcPr>
            <w:tcW w:type="pct" w:w="4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Aktív fogadói bázis</w:t>
            </w:r>
          </w:p>
        </w:tc>
        <w:tc>
          <w:tcPr>
            <w:tcW w:type="pct" w:w="3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+€200–500/hó</w:t>
            </w:r>
          </w:p>
        </w:tc>
      </w:tr>
    </w:tbl>
    <w:p>
      <w:pPr>
        <w:spacing w:before="160"/>
      </w:pP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Megjegyzés: Ezek konzervatív becslések sport/fogadás niche esetén.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5. Következő lépések — Checklist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Jogi konzultáció (ügyvéd, aki HU szerencsejáték reklám jogban jártas)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Bet365 Affiliates regisztráció és feltételek átnézése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Unibet/Kindred Affiliates regisztráció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/fogadoirodak összehasonlító oldal megírása és fejlesztése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Affiliate közlési szöveg véglegesítése (transzparencia)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Felelős fogadás oldal frissítése (affiliate kapcsolatra vonatkozó közlés)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☐  Google Analytics / conversion tracking beállítása affiliate linkekre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6. Hasznos linkek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Bet365 Affiliates: https://www.bet365affiliates.com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Kindred Affiliates (Unibet): https://www.kindredaffiliates.com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Betsson Affiliates: https://www.betssonaffiliates.com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HU Szerencsejáték törvény: https://njt.hu/jogszabaly/2012-145-00-00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Szerencsejáték Zrt.: https://www.szerencsejatek.hu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Felelős játék HU: https://www.szeretem.hu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Affiliate Program Kutatás &amp; Jogi Útmutató</dc:title>
  <dc:creator>TAKTIKA</dc:creator>
  <cp:lastModifiedBy>Un-named</cp:lastModifiedBy>
  <cp:revision>1</cp:revision>
  <dcterms:created xsi:type="dcterms:W3CDTF">2026-03-10T19:28:04.803Z</dcterms:created>
  <dcterms:modified xsi:type="dcterms:W3CDTF">2026-03-10T19:28:04.803Z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