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Manuel utilisateur — Profil Administrateur</w:t>
      </w:r>
    </w:p>
    <w:p>
      <w:pPr>
        <w:pStyle w:val="Subtitle"/>
      </w:pPr>
      <w:r>
        <w:t xml:space="preserve">Application de Gestion Comptable — Hôpital de Zone de Ménontin (République du Bénin)</w:t>
      </w:r>
    </w:p>
    <w:p>
      <w:pPr>
        <w:pStyle w:val="Date"/>
      </w:pPr>
      <w:r>
        <w:t xml:space="preserve">Juin 2026</w:t>
      </w:r>
    </w:p>
    <w:bookmarkStart w:id="21" w:name="présentation-du-profil"/>
    <w:p>
      <w:pPr>
        <w:pStyle w:val="Heading1"/>
      </w:pPr>
      <w:r>
        <w:t xml:space="preserve">1. Présentation du profil</w:t>
      </w:r>
    </w:p>
    <w:p>
      <w:pPr>
        <w:pStyle w:val="FirstParagraph"/>
      </w:pPr>
      <w:r>
        <w:t xml:space="preserve">Le profil</w:t>
      </w:r>
      <w:r>
        <w:t xml:space="preserve"> </w:t>
      </w:r>
      <w:r>
        <w:rPr>
          <w:b/>
          <w:bCs/>
        </w:rPr>
        <w:t xml:space="preserve">Administrateur</w:t>
      </w:r>
      <w:r>
        <w:t xml:space="preserve"> </w:t>
      </w:r>
      <w:r>
        <w:t xml:space="preserve">est le profil le plus complet de l’application. Il dispose de</w:t>
      </w:r>
      <w:r>
        <w:t xml:space="preserve"> </w:t>
      </w:r>
      <w:r>
        <w:rPr>
          <w:b/>
          <w:bCs/>
        </w:rPr>
        <w:t xml:space="preserve">toutes les permissions</w:t>
      </w:r>
      <w:r>
        <w:t xml:space="preserve"> </w:t>
      </w:r>
      <w:r>
        <w:t xml:space="preserve">: il peut consulter, créer, modifier, supprimer et valider dans tous les modules métier (fournisseurs, clients, factures, règlements, banques, plan comptable), produire tous les rapports,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administrer l’application (utilisateurs, rôles &amp; permissions, paramètres de l’établissement, taux fiscaux, journal d’activité).</w:t>
      </w:r>
    </w:p>
    <w:p>
      <w:pPr>
        <w:pStyle w:val="BodyText"/>
      </w:pPr>
      <w:r>
        <w:rPr>
          <w:b/>
          <w:bCs/>
        </w:rPr>
        <w:t xml:space="preserve">Compte de démonstration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admin@hospital.bj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Administrateur Système</w:t>
            </w:r>
          </w:p>
        </w:tc>
      </w:tr>
    </w:tbl>
    <w:p>
      <w:pPr>
        <w:pStyle w:val="BlockText"/>
      </w:pPr>
      <w:r>
        <w:t xml:space="preserve">Par sécurité, changez ce mot de passe dès la première connexion (menu</w:t>
      </w:r>
      <w:r>
        <w:t xml:space="preserve"> </w:t>
      </w:r>
      <w:r>
        <w:rPr>
          <w:b/>
          <w:bCs/>
        </w:rPr>
        <w:t xml:space="preserve">Mon Profil → Changer le mot de passe</w:t>
      </w:r>
      <w:r>
        <w:t xml:space="preserve">).</w:t>
      </w:r>
    </w:p>
    <w:bookmarkStart w:id="20" w:name="connexion-et-session"/>
    <w:p>
      <w:pPr>
        <w:pStyle w:val="Heading2"/>
      </w:pPr>
      <w:r>
        <w:t xml:space="preserve">1.1 Connexion et session</w:t>
      </w:r>
    </w:p>
    <w:p>
      <w:pPr>
        <w:pStyle w:val="Compact"/>
        <w:numPr>
          <w:ilvl w:val="0"/>
          <w:numId w:val="1001"/>
        </w:numPr>
      </w:pPr>
      <w:r>
        <w:t xml:space="preserve">L’accès se fait via la page de connexion (logo du Ministère de la Santé). On saisit l’e-mail et le mot de passe.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Déconnexion automatique</w:t>
      </w:r>
      <w:r>
        <w:t xml:space="preserve"> </w:t>
      </w:r>
      <w:r>
        <w:t xml:space="preserve">: après</w:t>
      </w:r>
      <w:r>
        <w:t xml:space="preserve"> </w:t>
      </w:r>
      <w:r>
        <w:rPr>
          <w:b/>
          <w:bCs/>
        </w:rPr>
        <w:t xml:space="preserve">15 minutes d’inactivité</w:t>
      </w:r>
      <w:r>
        <w:t xml:space="preserve">, une fenêtre « Session bientôt expirée » s’affiche</w:t>
      </w:r>
      <w:r>
        <w:t xml:space="preserve"> </w:t>
      </w:r>
      <w:r>
        <w:rPr>
          <w:b/>
          <w:bCs/>
        </w:rPr>
        <w:t xml:space="preserve">1 minute</w:t>
      </w:r>
      <w:r>
        <w:t xml:space="preserve"> </w:t>
      </w:r>
      <w:r>
        <w:t xml:space="preserve">avant la coupure. Deux boutons :</w:t>
      </w:r>
      <w:r>
        <w:t xml:space="preserve"> </w:t>
      </w:r>
      <w:r>
        <w:rPr>
          <w:i/>
          <w:iCs/>
        </w:rPr>
        <w:t xml:space="preserve">Rester connecté</w:t>
      </w:r>
      <w:r>
        <w:t xml:space="preserve"> </w:t>
      </w:r>
      <w:r>
        <w:t xml:space="preserve">(relance la session) ou</w:t>
      </w:r>
      <w:r>
        <w:t xml:space="preserve"> </w:t>
      </w:r>
      <w:r>
        <w:rPr>
          <w:i/>
          <w:iCs/>
        </w:rPr>
        <w:t xml:space="preserve">Se déconnecter</w:t>
      </w:r>
      <w:r>
        <w:t xml:space="preserve">. Sans réponse, la déconnexion est automatique.</w:t>
      </w:r>
    </w:p>
    <w:p>
      <w:pPr>
        <w:pStyle w:val="Compact"/>
        <w:numPr>
          <w:ilvl w:val="0"/>
          <w:numId w:val="1001"/>
        </w:numPr>
      </w:pPr>
      <w:r>
        <w:t xml:space="preserve">La déconnexion manuelle se fait par le menu en haut à droite (nom de l’utilisateur →</w:t>
      </w:r>
      <w:r>
        <w:t xml:space="preserve"> </w:t>
      </w:r>
      <w:r>
        <w:rPr>
          <w:b/>
          <w:bCs/>
        </w:rPr>
        <w:t xml:space="preserve">Déconnexion</w:t>
      </w:r>
      <w:r>
        <w:t xml:space="preserve">).</w:t>
      </w:r>
    </w:p>
    <w:bookmarkEnd w:id="20"/>
    <w:bookmarkEnd w:id="21"/>
    <w:bookmarkStart w:id="22" w:name="menus-visibles"/>
    <w:p>
      <w:pPr>
        <w:pStyle w:val="Heading1"/>
      </w:pPr>
      <w:r>
        <w:t xml:space="preserve">2. Menus visibles</w:t>
      </w:r>
    </w:p>
    <w:p>
      <w:pPr>
        <w:pStyle w:val="FirstParagraph"/>
      </w:pPr>
      <w:r>
        <w:t xml:space="preserve">L’Administrateur voit l’intégralité de la barre latérale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Tableau de bord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Factures Fournisseurs</w:t>
      </w:r>
      <w:r>
        <w:t xml:space="preserve"> </w:t>
      </w:r>
      <w:r>
        <w:t xml:space="preserve">: Fournisseurs · Factures · Règlements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Factures Clients</w:t>
      </w:r>
      <w:r>
        <w:t xml:space="preserve"> </w:t>
      </w:r>
      <w:r>
        <w:t xml:space="preserve">: Clients · Factures · Règlements · Avances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Autres</w:t>
      </w:r>
      <w:r>
        <w:t xml:space="preserve"> </w:t>
      </w:r>
      <w:r>
        <w:t xml:space="preserve">: Plan Comptable · Banques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Rapports</w:t>
      </w:r>
      <w:r>
        <w:t xml:space="preserve"> </w:t>
      </w:r>
      <w:r>
        <w:t xml:space="preserve">: Rapports Fournisseurs · Rapports Clients · Rapports Banques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Paramètres</w:t>
      </w:r>
      <w:r>
        <w:t xml:space="preserve"> </w:t>
      </w:r>
      <w:r>
        <w:t xml:space="preserve">: Utilisateurs · Rôles &amp; Permissions · Taux Fiscaux · Établissement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Journal d’Activité</w:t>
      </w:r>
    </w:p>
    <w:bookmarkEnd w:id="22"/>
    <w:bookmarkStart w:id="23" w:name="tableau-de-bord"/>
    <w:p>
      <w:pPr>
        <w:pStyle w:val="Heading1"/>
      </w:pPr>
      <w:r>
        <w:t xml:space="preserve">3. Tableau de bord</w:t>
      </w:r>
    </w:p>
    <w:p>
      <w:pPr>
        <w:pStyle w:val="FirstParagraph"/>
      </w:pPr>
      <w:r>
        <w:t xml:space="preserve">Le tableau de bord présente la situation financière en un coup d’œil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 cartes KPI</w:t>
      </w:r>
      <w:r>
        <w:t xml:space="preserve"> </w:t>
      </w:r>
      <w:r>
        <w:t xml:space="preserve">: Chiffre d’affaires du mois (avec tendance % vs mois précédent), Factures en attente (réparties client / fournisseur), Dettes fournisseurs (reste à payer, avec tendance), Créances clients (reste à payer, avec tendance).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Dernières factures fournisseurs</w:t>
      </w:r>
      <w:r>
        <w:t xml:space="preserve"> </w:t>
      </w:r>
      <w:r>
        <w:t xml:space="preserve">: les 10 dernières (N° pièce, fournisseur, net à payer, date, statut).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Situation des banques</w:t>
      </w:r>
      <w:r>
        <w:t xml:space="preserve"> </w:t>
      </w:r>
      <w:r>
        <w:t xml:space="preserve">: solde de chaque compte + solde total.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Graphiques</w:t>
      </w:r>
      <w:r>
        <w:t xml:space="preserve"> </w:t>
      </w:r>
      <w:r>
        <w:t xml:space="preserve">: évolution mensuelle Recettes vs Dépenses (12 derniers mois) ; répartition des charges par fournisseur (camembert, top 10 + « Autres »).</w:t>
      </w:r>
    </w:p>
    <w:bookmarkEnd w:id="23"/>
    <w:bookmarkStart w:id="30" w:name="flux-métier-vue-densemble"/>
    <w:p>
      <w:pPr>
        <w:pStyle w:val="Heading1"/>
      </w:pPr>
      <w:r>
        <w:t xml:space="preserve">4. Flux métier (vue d’ensemble)</w:t>
      </w:r>
    </w:p>
    <w:p>
      <w:pPr>
        <w:pStyle w:val="BlockText"/>
      </w:pPr>
      <w:r>
        <w:t xml:space="preserve">L’Administrateur peut exécuter</w:t>
      </w:r>
      <w:r>
        <w:t xml:space="preserve"> </w:t>
      </w:r>
      <w:r>
        <w:rPr>
          <w:b/>
          <w:bCs/>
        </w:rPr>
        <w:t xml:space="preserve">tous</w:t>
      </w:r>
      <w:r>
        <w:t xml:space="preserve"> </w:t>
      </w:r>
      <w:r>
        <w:t xml:space="preserve">les flux décrits ci-dessous. Les profils Comptable / Gestionnaire / Utilisateur n’en réalisent qu’une partie selon leurs droits.</w:t>
      </w:r>
    </w:p>
    <w:bookmarkStart w:id="24" w:name="fournisseurs"/>
    <w:p>
      <w:pPr>
        <w:pStyle w:val="Heading2"/>
      </w:pPr>
      <w:r>
        <w:t xml:space="preserve">4.1 Fournisseurs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Champs</w:t>
      </w:r>
      <w:r>
        <w:t xml:space="preserve"> </w:t>
      </w:r>
      <w:r>
        <w:t xml:space="preserve">: raison sociale, type (Médicaments, Équipements, Consommables, Services, Maintenance, Autres), contact, téléphones, e-mail, adresse, ville, pays (défaut Bénin),</w:t>
      </w:r>
      <w:r>
        <w:t xml:space="preserve"> </w:t>
      </w:r>
      <w:r>
        <w:rPr>
          <w:b/>
          <w:bCs/>
        </w:rPr>
        <w:t xml:space="preserve">IFU (13 chiffres, obligatoire)</w:t>
      </w:r>
      <w:r>
        <w:t xml:space="preserve">, RCCM, et un ou plusieurs</w:t>
      </w:r>
      <w:r>
        <w:t xml:space="preserve"> </w:t>
      </w:r>
      <w:r>
        <w:rPr>
          <w:b/>
          <w:bCs/>
        </w:rPr>
        <w:t xml:space="preserve">comptes comptables</w:t>
      </w:r>
      <w:r>
        <w:t xml:space="preserve"> </w:t>
      </w:r>
      <w:r>
        <w:t xml:space="preserve">(classe 401 « Fournisseurs » ou 4812 « Fournisseurs d’investissements », un principal + des supplémentaires).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Création / modification</w:t>
      </w:r>
      <w:r>
        <w:t xml:space="preserve"> </w:t>
      </w:r>
      <w:r>
        <w:t xml:space="preserve">: possibilité de</w:t>
      </w:r>
      <w:r>
        <w:t xml:space="preserve"> </w:t>
      </w:r>
      <w:r>
        <w:rPr>
          <w:b/>
          <w:bCs/>
        </w:rPr>
        <w:t xml:space="preserve">créer un nouveau compte comptable à la volée</w:t>
      </w:r>
      <w:r>
        <w:t xml:space="preserve"> </w:t>
      </w:r>
      <w:r>
        <w:t xml:space="preserve">(le numéro doit commencer par 401 ou 4812).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Suppression</w:t>
      </w:r>
      <w:r>
        <w:t xml:space="preserve"> </w:t>
      </w:r>
      <w:r>
        <w:t xml:space="preserve">: refusée si le fournisseur possède au moins une facture (sinon suppression logique).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Fiche fournisseur</w:t>
      </w:r>
      <w:r>
        <w:t xml:space="preserve"> </w:t>
      </w:r>
      <w:r>
        <w:t xml:space="preserve">: 4 statistiques (Nb factures, Total facturé, Payé, Reste à payer) + onglets Informations / Factures / Règlements.</w:t>
      </w:r>
    </w:p>
    <w:bookmarkEnd w:id="24"/>
    <w:bookmarkStart w:id="25" w:name="cycle-de-vie-dune-facture-fournisseur"/>
    <w:p>
      <w:pPr>
        <w:pStyle w:val="Heading2"/>
      </w:pPr>
      <w:r>
        <w:t xml:space="preserve">4.2 Cycle de vie d’une facture fournisseur</w:t>
      </w:r>
    </w:p>
    <w:p>
      <w:pPr>
        <w:pStyle w:val="FirstParagraph"/>
      </w:pPr>
      <w:r>
        <w:t xml:space="preserve">Statuts :</w:t>
      </w:r>
      <w:r>
        <w:t xml:space="preserve"> </w:t>
      </w:r>
      <w:r>
        <w:rPr>
          <w:b/>
          <w:bCs/>
        </w:rPr>
        <w:t xml:space="preserve">Brouillon → Validée → Partiellement payée → Payée</w:t>
      </w:r>
      <w:r>
        <w:t xml:space="preserve">, plus</w:t>
      </w:r>
      <w:r>
        <w:t xml:space="preserve"> </w:t>
      </w:r>
      <w:r>
        <w:rPr>
          <w:b/>
          <w:bCs/>
        </w:rPr>
        <w:t xml:space="preserve">Annulée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Créer</w:t>
      </w:r>
      <w:r>
        <w:t xml:space="preserve"> </w:t>
      </w:r>
      <w:r>
        <w:t xml:space="preserve">: la facture naît en</w:t>
      </w:r>
      <w:r>
        <w:t xml:space="preserve"> </w:t>
      </w:r>
      <w:r>
        <w:rPr>
          <w:i/>
          <w:iCs/>
        </w:rPr>
        <w:t xml:space="preserve">Brouillon</w:t>
      </w:r>
      <w:r>
        <w:t xml:space="preserve">. Numéro de pièce auto au format</w:t>
      </w:r>
      <w:r>
        <w:t xml:space="preserve"> </w:t>
      </w:r>
      <w:r>
        <w:rPr>
          <w:rStyle w:val="VerbatimChar"/>
        </w:rPr>
        <w:t xml:space="preserve">PC/AAA/NNNN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PC/026/0001</w:t>
      </w:r>
      <w:r>
        <w:t xml:space="preserve">), modifiable.</w:t>
      </w:r>
    </w:p>
    <w:p>
      <w:pPr>
        <w:pStyle w:val="Compact"/>
        <w:numPr>
          <w:ilvl w:val="1"/>
          <w:numId w:val="1006"/>
        </w:numPr>
      </w:pPr>
      <w:r>
        <w:t xml:space="preserve">Saisie : montant facture, montant M.O. (base de l’AIB), avoir, assujettissement TVA + taux, taux AIB, références.</w:t>
      </w:r>
    </w:p>
    <w:p>
      <w:pPr>
        <w:pStyle w:val="Compact"/>
        <w:numPr>
          <w:ilvl w:val="1"/>
          <w:numId w:val="1006"/>
        </w:numPr>
      </w:pPr>
      <w:r>
        <w:t xml:space="preserve">Calculs automatiques : TVA (informative, « pour le compte de l’État »), TTC, montant AIB = M.O. × taux,</w:t>
      </w:r>
      <w:r>
        <w:t xml:space="preserve"> </w:t>
      </w:r>
      <w:r>
        <w:rPr>
          <w:b/>
          <w:bCs/>
        </w:rPr>
        <w:t xml:space="preserve">Net à payer = montant − avoir − AIB</w:t>
      </w:r>
      <w:r>
        <w:t xml:space="preserve">.</w:t>
      </w:r>
      <w:r>
        <w:t xml:space="preserve"> </w:t>
      </w:r>
      <w:r>
        <w:rPr>
          <w:i/>
          <w:iCs/>
        </w:rPr>
        <w:t xml:space="preserve">La TVA n’est jamais versée au fournisseur.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Imputation comptable</w:t>
      </w:r>
      <w:r>
        <w:t xml:space="preserve"> </w:t>
      </w:r>
      <w:r>
        <w:t xml:space="preserve">: ventilation en lignes Débit / Crédit (plan OHADA). Débits = charges/immobilisations/personnel (= HT) ; Crédit TVA déductible (445) auto ; Crédits = comptes fournisseurs 401/481 (= TTC). Contrôle d’équilibre (Débits = HT, Crédits = TTC) avant génération des écritures. Un</w:t>
      </w:r>
      <w:r>
        <w:t xml:space="preserve"> </w:t>
      </w:r>
      <w:r>
        <w:rPr>
          <w:b/>
          <w:bCs/>
        </w:rPr>
        <w:t xml:space="preserve">PDF d’imputation</w:t>
      </w:r>
      <w:r>
        <w:t xml:space="preserve"> </w:t>
      </w:r>
      <w:r>
        <w:t xml:space="preserve">(paysage) est produit.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Valider</w:t>
      </w:r>
      <w:r>
        <w:t xml:space="preserve"> </w:t>
      </w:r>
      <w:r>
        <w:t xml:space="preserve">: passe de Brouillon à</w:t>
      </w:r>
      <w:r>
        <w:t xml:space="preserve"> </w:t>
      </w:r>
      <w:r>
        <w:rPr>
          <w:i/>
          <w:iCs/>
        </w:rPr>
        <w:t xml:space="preserve">Validée</w:t>
      </w:r>
      <w:r>
        <w:t xml:space="preserve"> </w:t>
      </w:r>
      <w:r>
        <w:t xml:space="preserve">(enregistre le validateur et la date). Une facture validée n’est plus modifiable.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Régler</w:t>
      </w:r>
      <w:r>
        <w:t xml:space="preserve"> </w:t>
      </w:r>
      <w:r>
        <w:t xml:space="preserve">: voir 4.3.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Marquer comme soldée</w:t>
      </w:r>
      <w:r>
        <w:t xml:space="preserve"> </w:t>
      </w:r>
      <w:r>
        <w:t xml:space="preserve">: clôture administrative (statut</w:t>
      </w:r>
      <w:r>
        <w:t xml:space="preserve"> </w:t>
      </w:r>
      <w:r>
        <w:rPr>
          <w:i/>
          <w:iCs/>
        </w:rPr>
        <w:t xml:space="preserve">Payée</w:t>
      </w:r>
      <w:r>
        <w:t xml:space="preserve">, reste à payer = 0, date de solde)</w:t>
      </w:r>
      <w:r>
        <w:t xml:space="preserve"> </w:t>
      </w:r>
      <w:r>
        <w:rPr>
          <w:b/>
          <w:bCs/>
        </w:rPr>
        <w:t xml:space="preserve">sans</w:t>
      </w:r>
      <w:r>
        <w:t xml:space="preserve"> </w:t>
      </w:r>
      <w:r>
        <w:t xml:space="preserve">créer de règlement ni de mouvement bancaire.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Annuler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Supprimer</w:t>
      </w:r>
      <w:r>
        <w:t xml:space="preserve"> </w:t>
      </w:r>
      <w:r>
        <w:t xml:space="preserve">: annulation interdite si payée ; suppression interdite s’il existe des règlements ou si la facture n’est plus en brouillon.</w:t>
      </w:r>
    </w:p>
    <w:bookmarkEnd w:id="25"/>
    <w:bookmarkStart w:id="26" w:name="règlement-fournisseur-paiement"/>
    <w:p>
      <w:pPr>
        <w:pStyle w:val="Heading2"/>
      </w:pPr>
      <w:r>
        <w:t xml:space="preserve">4.3 Règlement fournisseur (paiement)</w:t>
      </w:r>
    </w:p>
    <w:p>
      <w:pPr>
        <w:pStyle w:val="Compact"/>
        <w:numPr>
          <w:ilvl w:val="0"/>
          <w:numId w:val="1007"/>
        </w:numPr>
      </w:pPr>
      <w:r>
        <w:t xml:space="preserve">Saisie : date, montant (≤ reste à payer),</w:t>
      </w:r>
      <w:r>
        <w:t xml:space="preserve"> </w:t>
      </w:r>
      <w:r>
        <w:rPr>
          <w:b/>
          <w:bCs/>
        </w:rPr>
        <w:t xml:space="preserve">mode de paiement</w:t>
      </w:r>
      <w:r>
        <w:t xml:space="preserve"> </w:t>
      </w:r>
      <w:r>
        <w:t xml:space="preserve">(virement, chèque, espèces, mobile money, carte), référence (n° de chèque / virement), bénéficiaire, compte de trésorerie/banque, compte fournisseur soldé, et possibilité de lignes multi-fournisseurs.</w:t>
      </w:r>
    </w:p>
    <w:p>
      <w:pPr>
        <w:pStyle w:val="Compact"/>
        <w:numPr>
          <w:ilvl w:val="0"/>
          <w:numId w:val="1007"/>
        </w:numPr>
      </w:pPr>
      <w:r>
        <w:t xml:space="preserve">Numéro de règlement auto au format</w:t>
      </w:r>
      <w:r>
        <w:t xml:space="preserve"> </w:t>
      </w:r>
      <w:r>
        <w:rPr>
          <w:rStyle w:val="VerbatimChar"/>
        </w:rPr>
        <w:t xml:space="preserve">REG/AA/NNNNN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Effets</w:t>
      </w:r>
      <w:r>
        <w:t xml:space="preserve"> </w:t>
      </w:r>
      <w:r>
        <w:t xml:space="preserve">: si paiement bancaire, le solde du compte est débité (contrôle de solde suffisant, avec possibilité de forcer) ; la facture est mise à jour (montant payé, reste à payer, statut).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AIB</w:t>
      </w:r>
      <w:r>
        <w:t xml:space="preserve"> </w:t>
      </w:r>
      <w:r>
        <w:t xml:space="preserve">: la case « Déclarer l’AIB » retient l’acompte au moment du règlement.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Écritures comptables</w:t>
      </w:r>
      <w:r>
        <w:t xml:space="preserve"> </w:t>
      </w:r>
      <w:r>
        <w:t xml:space="preserve">: générées</w:t>
      </w:r>
      <w:r>
        <w:t xml:space="preserve"> </w:t>
      </w:r>
      <w:r>
        <w:rPr>
          <w:b/>
          <w:bCs/>
        </w:rPr>
        <w:t xml:space="preserve">explicitement</w:t>
      </w:r>
      <w:r>
        <w:t xml:space="preserve"> </w:t>
      </w:r>
      <w:r>
        <w:t xml:space="preserve">(« Générer les écritures comptables ») — jamais pour les règlements en espèces.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PDF disponibles</w:t>
      </w:r>
      <w:r>
        <w:t xml:space="preserve"> </w:t>
      </w:r>
      <w:r>
        <w:t xml:space="preserve">: Bordereau / Mandat de règlement (portrait, avec montants en lettres et signatures), Imputation comptable du règlement, État de règlement de la facture.</w:t>
      </w:r>
    </w:p>
    <w:bookmarkEnd w:id="26"/>
    <w:bookmarkStart w:id="27" w:name="X15a2b5f2f597f4683e9dfe53d7b216bb73c0fd6"/>
    <w:p>
      <w:pPr>
        <w:pStyle w:val="Heading2"/>
      </w:pPr>
      <w:r>
        <w:t xml:space="preserve">4.4 Clients, factures clients, règlements et avances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: nom, téléphone,</w:t>
      </w:r>
      <w:r>
        <w:t xml:space="preserve"> </w:t>
      </w:r>
      <w:r>
        <w:rPr>
          <w:b/>
          <w:bCs/>
        </w:rPr>
        <w:t xml:space="preserve">IFU (13 chiffres si renseigné)</w:t>
      </w:r>
      <w:r>
        <w:t xml:space="preserve">, type (Société, Divers, Personnel, Autre), adresse, observations, compte comptable (41… ou 424100…, création à la volée possible).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Facture client</w:t>
      </w:r>
      <w:r>
        <w:t xml:space="preserve"> </w:t>
      </w:r>
      <w:r>
        <w:t xml:space="preserve">: référence auto</w:t>
      </w:r>
      <w:r>
        <w:t xml:space="preserve"> </w:t>
      </w:r>
      <w:r>
        <w:rPr>
          <w:rStyle w:val="VerbatimChar"/>
        </w:rPr>
        <w:t xml:space="preserve">NNNN/MM/AA</w:t>
      </w:r>
      <w:r>
        <w:t xml:space="preserve">, montant, ristourne →</w:t>
      </w:r>
      <w:r>
        <w:t xml:space="preserve"> </w:t>
      </w:r>
      <w:r>
        <w:rPr>
          <w:b/>
          <w:bCs/>
        </w:rPr>
        <w:t xml:space="preserve">Net à payer = montant − ristourne</w:t>
      </w:r>
      <w:r>
        <w:t xml:space="preserve">. Statuts :</w:t>
      </w:r>
      <w:r>
        <w:t xml:space="preserve"> </w:t>
      </w:r>
      <w:r>
        <w:rPr>
          <w:i/>
          <w:iCs/>
        </w:rPr>
        <w:t xml:space="preserve">Non payée → Partielle → Payée</w:t>
      </w:r>
      <w:r>
        <w:t xml:space="preserve">. Action « Marquer comme soldée » disponible. PDF</w:t>
      </w:r>
      <w:r>
        <w:t xml:space="preserve"> </w:t>
      </w:r>
      <w:r>
        <w:rPr>
          <w:b/>
          <w:bCs/>
        </w:rPr>
        <w:t xml:space="preserve">État de règlement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Règlement client</w:t>
      </w:r>
      <w:r>
        <w:t xml:space="preserve"> </w:t>
      </w:r>
      <w:r>
        <w:t xml:space="preserve">: sur une facture, montant ≤ reste à payer ; sources : paiement direct (chèque/espèces, avec dépôt bancaire possible), virement, ou</w:t>
      </w:r>
      <w:r>
        <w:t xml:space="preserve"> </w:t>
      </w:r>
      <w:r>
        <w:rPr>
          <w:b/>
          <w:bCs/>
        </w:rPr>
        <w:t xml:space="preserve">imputation sur une avance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Avances clients</w:t>
      </w:r>
      <w:r>
        <w:t xml:space="preserve"> </w:t>
      </w:r>
      <w:r>
        <w:t xml:space="preserve">: somme reçue d’avance (société émettrice, n° chèque, montant). Statuts</w:t>
      </w:r>
      <w:r>
        <w:t xml:space="preserve"> </w:t>
      </w:r>
      <w:r>
        <w:rPr>
          <w:i/>
          <w:iCs/>
        </w:rPr>
        <w:t xml:space="preserve">Disponible / Partiellement utilisée / Épuisée</w:t>
      </w:r>
      <w:r>
        <w:t xml:space="preserve">. Consommée lors d’un règlement (même client, montant ≤ solde de l’avance).</w:t>
      </w:r>
    </w:p>
    <w:bookmarkEnd w:id="27"/>
    <w:bookmarkStart w:id="28" w:name="banques"/>
    <w:p>
      <w:pPr>
        <w:pStyle w:val="Heading2"/>
      </w:pPr>
      <w:r>
        <w:t xml:space="preserve">4.5 Banques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</w:t>
      </w:r>
      <w:r>
        <w:t xml:space="preserve"> </w:t>
      </w:r>
      <w:r>
        <w:t xml:space="preserve">: une</w:t>
      </w:r>
      <w:r>
        <w:t xml:space="preserve"> </w:t>
      </w:r>
      <w:r>
        <w:rPr>
          <w:b/>
          <w:bCs/>
        </w:rPr>
        <w:t xml:space="preserve">Banque</w:t>
      </w:r>
      <w:r>
        <w:t xml:space="preserve"> </w:t>
      </w:r>
      <w:r>
        <w:t xml:space="preserve">(nom) contient un ou plusieurs</w:t>
      </w:r>
      <w:r>
        <w:t xml:space="preserve"> </w:t>
      </w:r>
      <w:r>
        <w:rPr>
          <w:b/>
          <w:bCs/>
        </w:rPr>
        <w:t xml:space="preserve">comptes bancaires</w:t>
      </w:r>
      <w:r>
        <w:t xml:space="preserve"> </w:t>
      </w:r>
      <w:r>
        <w:t xml:space="preserve">(numéro, compte OHADA de trésorerie classe 5, solde).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Approvisionner</w:t>
      </w:r>
      <w:r>
        <w:t xml:space="preserve"> </w:t>
      </w:r>
      <w:r>
        <w:t xml:space="preserve">: crée un bordereau (référence, date, montant) et</w:t>
      </w:r>
      <w:r>
        <w:t xml:space="preserve"> </w:t>
      </w:r>
      <w:r>
        <w:rPr>
          <w:b/>
          <w:bCs/>
        </w:rPr>
        <w:t xml:space="preserve">augmente le solde</w:t>
      </w:r>
      <w:r>
        <w:t xml:space="preserve"> </w:t>
      </w:r>
      <w:r>
        <w:t xml:space="preserve">du compte.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Mouvements</w:t>
      </w:r>
      <w:r>
        <w:t xml:space="preserve"> </w:t>
      </w:r>
      <w:r>
        <w:t xml:space="preserve">: relevé fusionnant entrées (approvisionnements) et sorties (règlements fournisseurs), avec solde reconstitué après chaque opération + détail des bordereaux et des règlements clients imputés.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Soldes</w:t>
      </w:r>
      <w:r>
        <w:t xml:space="preserve"> </w:t>
      </w:r>
      <w:r>
        <w:t xml:space="preserve">: modifiés uniquement par les approvisionnements ; les règlements clients consomment un bordereau sans changer le solde.</w:t>
      </w:r>
    </w:p>
    <w:p>
      <w:pPr>
        <w:pStyle w:val="Compact"/>
        <w:numPr>
          <w:ilvl w:val="0"/>
          <w:numId w:val="1009"/>
        </w:numPr>
      </w:pPr>
      <w:r>
        <w:t xml:space="preserve">Suppressions protégées (banque/compte/approvisionnement avec mouvements).</w:t>
      </w:r>
    </w:p>
    <w:bookmarkEnd w:id="28"/>
    <w:bookmarkStart w:id="29" w:name="plan-comptable-ohada"/>
    <w:p>
      <w:pPr>
        <w:pStyle w:val="Heading2"/>
      </w:pPr>
      <w:r>
        <w:t xml:space="preserve">4.6 Plan comptable OHADA</w:t>
      </w:r>
    </w:p>
    <w:p>
      <w:pPr>
        <w:pStyle w:val="Compact"/>
        <w:numPr>
          <w:ilvl w:val="0"/>
          <w:numId w:val="1010"/>
        </w:numPr>
      </w:pPr>
      <w:r>
        <w:t xml:space="preserve">Nomenclature par classes (1 Capitaux, 2 Immobilisations, 3 Stocks, 4 Tiers, 5 Trésorerie, 6 Charges, 7 Produits, 8 H.A.O., 9 Analytique).</w:t>
      </w:r>
    </w:p>
    <w:p>
      <w:pPr>
        <w:pStyle w:val="Compact"/>
        <w:numPr>
          <w:ilvl w:val="0"/>
          <w:numId w:val="1010"/>
        </w:numPr>
      </w:pPr>
      <w:r>
        <w:t xml:space="preserve">Recherche par numéro/libellé, filtres par classe et par source (standard / personnalisé).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Création / modification</w:t>
      </w:r>
      <w:r>
        <w:t xml:space="preserve"> </w:t>
      </w:r>
      <w:r>
        <w:t xml:space="preserve">: numéro unique, libellé, compte parent (le numéro doit commencer par celui du parent) ; classe et niveau déduits automatiquement ; comptes créés marqués « personnalisés ».</w:t>
      </w:r>
    </w:p>
    <w:p>
      <w:pPr>
        <w:pStyle w:val="Compact"/>
        <w:numPr>
          <w:ilvl w:val="0"/>
          <w:numId w:val="1010"/>
        </w:numPr>
      </w:pPr>
      <w:r>
        <w:t xml:space="preserve">Suppression bloquée si le compte a des sous-comptes.</w:t>
      </w:r>
    </w:p>
    <w:bookmarkEnd w:id="29"/>
    <w:bookmarkEnd w:id="30"/>
    <w:bookmarkStart w:id="31" w:name="rapports"/>
    <w:p>
      <w:pPr>
        <w:pStyle w:val="Heading1"/>
      </w:pPr>
      <w:r>
        <w:t xml:space="preserve">5. Rapports</w:t>
      </w:r>
    </w:p>
    <w:p>
      <w:pPr>
        <w:pStyle w:val="FirstParagraph"/>
      </w:pPr>
      <w:r>
        <w:t xml:space="preserve">Tous les rapports proposent généralement : affichage à l’écran, export</w:t>
      </w:r>
      <w:r>
        <w:t xml:space="preserve"> </w:t>
      </w:r>
      <w:r>
        <w:rPr>
          <w:b/>
          <w:bCs/>
        </w:rPr>
        <w:t xml:space="preserve">PDF</w:t>
      </w:r>
      <w:r>
        <w:t xml:space="preserve">, export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Impression</w:t>
      </w:r>
      <w:r>
        <w:t xml:space="preserve"> </w:t>
      </w:r>
      <w:r>
        <w:t xml:space="preserve">(aperçu PDF).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Rapports Fournisseurs</w:t>
      </w:r>
      <w:r>
        <w:t xml:space="preserve"> </w:t>
      </w:r>
      <w:r>
        <w:t xml:space="preserve">: Mouvement des factures · Situation des fournisseurs (point des dettes) · État des factures réglées · Factures et Soldes · Déclaration AIB · Déclaration TVA · Point des pièces comptables (PC) · Bordereau de transmission (+ mandats multiples) · Point des charges · Point des investissements.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Rapports Clients</w:t>
      </w:r>
      <w:r>
        <w:t xml:space="preserve"> </w:t>
      </w:r>
      <w:r>
        <w:t xml:space="preserve">: État des règlements · État des créances · Brouillard de chèques &amp; Imputations comptables · Chiffre d’affaires (théorique / physique / écart) · Pertes &amp; Rejets.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Rapports Banques</w:t>
      </w:r>
      <w:r>
        <w:t xml:space="preserve"> </w:t>
      </w:r>
      <w:r>
        <w:t xml:space="preserve">: Situation des banques (trésorerie sur période, résumé ou détail par banque).</w:t>
      </w:r>
    </w:p>
    <w:bookmarkEnd w:id="31"/>
    <w:bookmarkStart w:id="37" w:name="administration-réservé-à-ladministrateur"/>
    <w:p>
      <w:pPr>
        <w:pStyle w:val="Heading1"/>
      </w:pPr>
      <w:r>
        <w:t xml:space="preserve">6. Administration (réservé à l’Administrateur)</w:t>
      </w:r>
    </w:p>
    <w:bookmarkStart w:id="32" w:name="utilisateurs"/>
    <w:p>
      <w:pPr>
        <w:pStyle w:val="Heading2"/>
      </w:pPr>
      <w:r>
        <w:t xml:space="preserve">6.1 Utilisateurs</w:t>
      </w:r>
    </w:p>
    <w:p>
      <w:pPr>
        <w:pStyle w:val="Compact"/>
        <w:numPr>
          <w:ilvl w:val="0"/>
          <w:numId w:val="1012"/>
        </w:numPr>
      </w:pPr>
      <w:r>
        <w:t xml:space="preserve">Liste : nom, e-mail, poste, téléphone, rôles, statut (actif/inactif).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Créer / modifier</w:t>
      </w:r>
      <w:r>
        <w:t xml:space="preserve"> </w:t>
      </w:r>
      <w:r>
        <w:t xml:space="preserve">: nom, e-mail unique, mot de passe robuste (8 caractères min., majuscule + minuscule + chiffre + caractère spécial), téléphone, poste,</w:t>
      </w:r>
      <w:r>
        <w:t xml:space="preserve"> </w:t>
      </w:r>
      <w:r>
        <w:rPr>
          <w:b/>
          <w:bCs/>
        </w:rPr>
        <w:t xml:space="preserve">rôles</w:t>
      </w:r>
      <w:r>
        <w:t xml:space="preserve"> </w:t>
      </w:r>
      <w:r>
        <w:t xml:space="preserve">(multi-sélection), statut.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Activer / désactiver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supprimer</w:t>
      </w:r>
      <w:r>
        <w:t xml:space="preserve"> </w:t>
      </w:r>
      <w:r>
        <w:t xml:space="preserve">: impossible sur son</w:t>
      </w:r>
      <w:r>
        <w:t xml:space="preserve"> </w:t>
      </w:r>
      <w:r>
        <w:rPr>
          <w:b/>
          <w:bCs/>
        </w:rPr>
        <w:t xml:space="preserve">propre</w:t>
      </w:r>
      <w:r>
        <w:t xml:space="preserve"> </w:t>
      </w:r>
      <w:r>
        <w:t xml:space="preserve">compte.</w:t>
      </w:r>
    </w:p>
    <w:p>
      <w:pPr>
        <w:pStyle w:val="Compact"/>
        <w:numPr>
          <w:ilvl w:val="0"/>
          <w:numId w:val="1012"/>
        </w:numPr>
      </w:pPr>
      <w:r>
        <w:t xml:space="preserve">Toute opération est journalisée.</w:t>
      </w:r>
    </w:p>
    <w:bookmarkEnd w:id="32"/>
    <w:bookmarkStart w:id="33" w:name="rôles-permissions"/>
    <w:p>
      <w:pPr>
        <w:pStyle w:val="Heading2"/>
      </w:pPr>
      <w:r>
        <w:t xml:space="preserve">6.2 Rôles &amp; Permissions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 rôles par défaut</w:t>
      </w:r>
      <w:r>
        <w:t xml:space="preserve"> </w:t>
      </w:r>
      <w:r>
        <w:t xml:space="preserve">: Administrateur, Comptable, Gestionnaire, Utilisateur.</w:t>
      </w:r>
    </w:p>
    <w:p>
      <w:pPr>
        <w:pStyle w:val="Compact"/>
        <w:numPr>
          <w:ilvl w:val="0"/>
          <w:numId w:val="1013"/>
        </w:numPr>
      </w:pPr>
      <w:r>
        <w:t xml:space="preserve">Interface en</w:t>
      </w:r>
      <w:r>
        <w:t xml:space="preserve"> </w:t>
      </w:r>
      <w:r>
        <w:rPr>
          <w:b/>
          <w:bCs/>
        </w:rPr>
        <w:t xml:space="preserve">matrice</w:t>
      </w:r>
      <w:r>
        <w:t xml:space="preserve"> </w:t>
      </w:r>
      <w:r>
        <w:t xml:space="preserve">(permissions × rôles) ; clic sur une cellule pour accorder/retirer une permission ; boutons « Tout activer / Tout désactiver » par rôle et par module.</w:t>
      </w:r>
    </w:p>
    <w:p>
      <w:pPr>
        <w:pStyle w:val="Compact"/>
        <w:numPr>
          <w:ilvl w:val="0"/>
          <w:numId w:val="1013"/>
        </w:numPr>
      </w:pPr>
      <w:r>
        <w:t xml:space="preserve">Création / renommage / suppression de rôle (suppression bloquée si le rôle est attribué).</w:t>
      </w:r>
    </w:p>
    <w:bookmarkEnd w:id="33"/>
    <w:bookmarkStart w:id="34" w:name="établissement"/>
    <w:p>
      <w:pPr>
        <w:pStyle w:val="Heading2"/>
      </w:pPr>
      <w:r>
        <w:t xml:space="preserve">6.3 Établissement</w:t>
      </w:r>
    </w:p>
    <w:p>
      <w:pPr>
        <w:pStyle w:val="Compact"/>
        <w:numPr>
          <w:ilvl w:val="0"/>
          <w:numId w:val="1014"/>
        </w:numPr>
      </w:pPr>
      <w:r>
        <w:t xml:space="preserve">Champs : nom, pays/entité, adresse, téléphone, e-mail,</w:t>
      </w:r>
      <w:r>
        <w:t xml:space="preserve"> </w:t>
      </w:r>
      <w:r>
        <w:rPr>
          <w:b/>
          <w:bCs/>
        </w:rPr>
        <w:t xml:space="preserve">IFU</w:t>
      </w:r>
      <w:r>
        <w:t xml:space="preserve">, nom du</w:t>
      </w:r>
      <w:r>
        <w:t xml:space="preserve"> </w:t>
      </w:r>
      <w:r>
        <w:rPr>
          <w:b/>
          <w:bCs/>
        </w:rPr>
        <w:t xml:space="preserve">Directeur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Ces informations alimentent les</w:t>
      </w:r>
      <w:r>
        <w:t xml:space="preserve"> </w:t>
      </w:r>
      <w:r>
        <w:rPr>
          <w:b/>
          <w:bCs/>
        </w:rPr>
        <w:t xml:space="preserve">en-têtes des PDF</w:t>
      </w:r>
      <w:r>
        <w:t xml:space="preserve"> </w:t>
      </w:r>
      <w:r>
        <w:t xml:space="preserve">(l’IFU sur les déclarations fiscales ; le Directeur en bas des mandats/bordereaux).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 mise à jour est réservée à l’Administrateur.</w:t>
      </w:r>
    </w:p>
    <w:bookmarkEnd w:id="34"/>
    <w:bookmarkStart w:id="35" w:name="taux-fiscaux"/>
    <w:p>
      <w:pPr>
        <w:pStyle w:val="Heading2"/>
      </w:pPr>
      <w:r>
        <w:t xml:space="preserve">6.4 Taux fiscaux</w:t>
      </w:r>
    </w:p>
    <w:p>
      <w:pPr>
        <w:pStyle w:val="Compact"/>
        <w:numPr>
          <w:ilvl w:val="0"/>
          <w:numId w:val="1015"/>
        </w:numPr>
      </w:pPr>
      <w:r>
        <w:t xml:space="preserve">Gestion des taux</w:t>
      </w:r>
      <w:r>
        <w:t xml:space="preserve"> </w:t>
      </w:r>
      <w:r>
        <w:rPr>
          <w:b/>
          <w:bCs/>
        </w:rPr>
        <w:t xml:space="preserve">TVA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AIB</w:t>
      </w:r>
      <w:r>
        <w:t xml:space="preserve"> </w:t>
      </w:r>
      <w:r>
        <w:t xml:space="preserve">: libellé, taux (0–100 %), actif/inactif,</w:t>
      </w:r>
      <w:r>
        <w:t xml:space="preserve"> </w:t>
      </w:r>
      <w:r>
        <w:rPr>
          <w:b/>
          <w:bCs/>
        </w:rPr>
        <w:t xml:space="preserve">un seul « par défaut » par type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La TVA par défaut est de</w:t>
      </w:r>
      <w:r>
        <w:t xml:space="preserve"> </w:t>
      </w:r>
      <w:r>
        <w:rPr>
          <w:b/>
          <w:bCs/>
        </w:rPr>
        <w:t xml:space="preserve">18 %</w:t>
      </w:r>
      <w:r>
        <w:t xml:space="preserve"> </w:t>
      </w:r>
      <w:r>
        <w:t xml:space="preserve">si rien n’est configuré.</w:t>
      </w:r>
    </w:p>
    <w:bookmarkEnd w:id="35"/>
    <w:bookmarkStart w:id="36" w:name="journal-dactivité"/>
    <w:p>
      <w:pPr>
        <w:pStyle w:val="Heading2"/>
      </w:pPr>
      <w:r>
        <w:t xml:space="preserve">6.5 Journal d’activité</w:t>
      </w:r>
    </w:p>
    <w:p>
      <w:pPr>
        <w:pStyle w:val="Compact"/>
        <w:numPr>
          <w:ilvl w:val="0"/>
          <w:numId w:val="1016"/>
        </w:numPr>
      </w:pPr>
      <w:r>
        <w:t xml:space="preserve">Trace : action, module, description, utilisateur,</w:t>
      </w:r>
      <w:r>
        <w:t xml:space="preserve"> </w:t>
      </w:r>
      <w:r>
        <w:rPr>
          <w:b/>
          <w:bCs/>
        </w:rPr>
        <w:t xml:space="preserve">adresse IP</w:t>
      </w:r>
      <w:r>
        <w:t xml:space="preserve">, date/heure.</w:t>
      </w:r>
    </w:p>
    <w:p>
      <w:pPr>
        <w:pStyle w:val="Compact"/>
        <w:numPr>
          <w:ilvl w:val="0"/>
          <w:numId w:val="1016"/>
        </w:numPr>
      </w:pPr>
      <w:r>
        <w:t xml:space="preserve">Filtres : recherche, utilisateur, module, action, période. Pagination 50/page.</w:t>
      </w:r>
    </w:p>
    <w:bookmarkEnd w:id="36"/>
    <w:bookmarkEnd w:id="37"/>
    <w:bookmarkStart w:id="38" w:name="mon-profil"/>
    <w:p>
      <w:pPr>
        <w:pStyle w:val="Heading1"/>
      </w:pPr>
      <w:r>
        <w:t xml:space="preserve">7. Mon profil</w:t>
      </w:r>
    </w:p>
    <w:p>
      <w:pPr>
        <w:pStyle w:val="Compact"/>
        <w:numPr>
          <w:ilvl w:val="0"/>
          <w:numId w:val="1017"/>
        </w:numPr>
      </w:pPr>
      <w:r>
        <w:t xml:space="preserve">Modifier nom, e-mail, téléphone, poste.</w:t>
      </w:r>
    </w:p>
    <w:p>
      <w:pPr>
        <w:pStyle w:val="Compact"/>
        <w:numPr>
          <w:ilvl w:val="0"/>
          <w:numId w:val="1017"/>
        </w:numPr>
      </w:pPr>
      <w:r>
        <w:t xml:space="preserve">Changer le mot de passe (vérification de l’ancien, mêmes règles de robustesse).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 Signature</w:t>
      </w:r>
      <w:r>
        <w:t xml:space="preserve"> </w:t>
      </w:r>
      <w:r>
        <w:t xml:space="preserve">(PNG/JPG, max 2 Mo) : utilisée pour signer les</w:t>
      </w:r>
      <w:r>
        <w:t xml:space="preserve"> </w:t>
      </w:r>
      <w:r>
        <w:rPr>
          <w:b/>
          <w:bCs/>
        </w:rPr>
        <w:t xml:space="preserve">mandats/bordereaux de règlement</w:t>
      </w:r>
      <w:r>
        <w:t xml:space="preserve"> </w:t>
      </w:r>
      <w:r>
        <w:t xml:space="preserve">générés en PDF.</w:t>
      </w:r>
    </w:p>
    <w:bookmarkEnd w:id="38"/>
    <w:bookmarkStart w:id="39" w:name="Xbde574bcb43950f0f96bb011912af5c19467947"/>
    <w:p>
      <w:pPr>
        <w:pStyle w:val="Heading1"/>
      </w:pPr>
      <w:r>
        <w:t xml:space="preserve">8. Ce que l’Administrateur peut faire (récapitulatif)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Consulter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Créer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Modifier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Supprimer</w:t>
            </w:r>
          </w:p>
        </w:tc>
        <w:tc>
          <w:tcPr/>
          <w:p>
            <w:pPr>
              <w:pStyle w:val="Compact"/>
            </w:pPr>
            <w:r>
              <w:t xml:space="preserve">Particularités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Factures fournisseurs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+ Valider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Règlements fournisseurs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Clients / Factures / Règlements / Avances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Banques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+ Approvisionner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comptable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Rapports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PDF /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sauf soi-même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Rôles &amp; Permissions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Établissement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exclusif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fiscaux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Journal d’activité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 — Profil Administrateur</dc:title>
  <dc:creator/>
  <dc:language>fr</dc:language>
  <cp:keywords/>
  <dcterms:created xsi:type="dcterms:W3CDTF">2026-06-04T09:01:38Z</dcterms:created>
  <dcterms:modified xsi:type="dcterms:W3CDTF">2026-06-04T09:01:38Z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Juin 2026</vt:lpwstr>
  </property>
  <property fmtid="{D5CDD505-2E9C-101B-9397-08002B2CF9AE}" pid="3" name="subtitle">
    <vt:lpwstr>Application de Gestion Comptable — Hôpital de Zone de Ménontin (République du Bénin)</vt:lpwstr>
  </property>
</Properties>
</file>