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val="ru-RU" w:eastAsia="ru-RU"/>
        </w:rPr>
        <w:id w:val="-1735696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7364" w:rsidRPr="00AC7364" w:rsidRDefault="00AC7364">
          <w:pPr>
            <w:pStyle w:val="af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B3AC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Оглавление</w:t>
          </w:r>
        </w:p>
        <w:p w:rsidR="00AC7364" w:rsidRPr="00AC7364" w:rsidRDefault="0047118E" w:rsidP="00AC7364">
          <w:pPr>
            <w:pStyle w:val="11"/>
            <w:rPr>
              <w:rFonts w:eastAsiaTheme="minorEastAsia"/>
              <w:lang w:val="be-BY" w:eastAsia="be-BY"/>
            </w:rPr>
          </w:pPr>
          <w:r w:rsidRPr="0047118E">
            <w:fldChar w:fldCharType="begin"/>
          </w:r>
          <w:r w:rsidR="00AC7364" w:rsidRPr="00AC7364">
            <w:instrText xml:space="preserve"> TOC \o "1-3" \h \z \u </w:instrText>
          </w:r>
          <w:r w:rsidRPr="0047118E">
            <w:fldChar w:fldCharType="separate"/>
          </w:r>
          <w:hyperlink w:anchor="_Toc463483760" w:history="1">
            <w:r w:rsidR="00AC7364" w:rsidRPr="00AC7364">
              <w:rPr>
                <w:rStyle w:val="af0"/>
                <w:b w:val="0"/>
                <w:color w:val="000000" w:themeColor="text1"/>
              </w:rPr>
              <w:t>ГЛАВА 10. КОМПЛЕМЕНТАРНАЯ МОП ИМС</w:t>
            </w:r>
            <w:r w:rsidR="00AC7364" w:rsidRPr="00846E9B">
              <w:rPr>
                <w:b w:val="0"/>
                <w:webHidden/>
              </w:rPr>
              <w:tab/>
            </w:r>
            <w:r w:rsidRPr="00846E9B">
              <w:rPr>
                <w:b w:val="0"/>
                <w:webHidden/>
              </w:rPr>
              <w:fldChar w:fldCharType="begin"/>
            </w:r>
            <w:r w:rsidR="00AC7364" w:rsidRPr="00846E9B">
              <w:rPr>
                <w:b w:val="0"/>
                <w:webHidden/>
              </w:rPr>
              <w:instrText xml:space="preserve"> PAGEREF _Toc463483760 \h </w:instrText>
            </w:r>
            <w:r w:rsidRPr="00846E9B">
              <w:rPr>
                <w:b w:val="0"/>
                <w:webHidden/>
              </w:rPr>
            </w:r>
            <w:r w:rsidRPr="00846E9B">
              <w:rPr>
                <w:b w:val="0"/>
                <w:webHidden/>
              </w:rPr>
              <w:fldChar w:fldCharType="separate"/>
            </w:r>
            <w:r w:rsidR="00846E9B">
              <w:rPr>
                <w:b w:val="0"/>
                <w:webHidden/>
              </w:rPr>
              <w:t>1</w:t>
            </w:r>
            <w:r w:rsidRPr="00846E9B">
              <w:rPr>
                <w:b w:val="0"/>
                <w:webHidden/>
              </w:rPr>
              <w:fldChar w:fldCharType="end"/>
            </w:r>
          </w:hyperlink>
        </w:p>
        <w:p w:rsidR="00AC7364" w:rsidRPr="00AC7364" w:rsidRDefault="0047118E" w:rsidP="00AC7364">
          <w:pPr>
            <w:pStyle w:val="21"/>
            <w:tabs>
              <w:tab w:val="right" w:leader="dot" w:pos="9345"/>
            </w:tabs>
            <w:ind w:left="0" w:firstLine="0"/>
            <w:rPr>
              <w:rFonts w:eastAsiaTheme="minorEastAsia"/>
              <w:noProof/>
              <w:color w:val="000000" w:themeColor="text1"/>
              <w:szCs w:val="28"/>
              <w:lang w:val="be-BY" w:eastAsia="be-BY"/>
            </w:rPr>
          </w:pPr>
          <w:hyperlink w:anchor="_Toc463483761" w:history="1">
            <w:r w:rsidR="00AC7364" w:rsidRPr="00AC7364">
              <w:rPr>
                <w:rStyle w:val="af0"/>
                <w:noProof/>
                <w:color w:val="000000" w:themeColor="text1"/>
                <w:szCs w:val="28"/>
              </w:rPr>
              <w:t>10.1. Общие сведения</w:t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tab/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instrText xml:space="preserve"> PAGEREF _Toc463483761 \h </w:instrText>
            </w:r>
            <w:r w:rsidRPr="00AC7364">
              <w:rPr>
                <w:noProof/>
                <w:webHidden/>
                <w:color w:val="000000" w:themeColor="text1"/>
                <w:szCs w:val="28"/>
              </w:rPr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846E9B">
              <w:rPr>
                <w:noProof/>
                <w:webHidden/>
                <w:color w:val="000000" w:themeColor="text1"/>
                <w:szCs w:val="28"/>
              </w:rPr>
              <w:t>1</w:t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AC7364" w:rsidRPr="00AC7364" w:rsidRDefault="0047118E" w:rsidP="00AC7364">
          <w:pPr>
            <w:pStyle w:val="21"/>
            <w:tabs>
              <w:tab w:val="right" w:leader="dot" w:pos="9345"/>
            </w:tabs>
            <w:ind w:left="0" w:firstLine="0"/>
            <w:rPr>
              <w:rFonts w:eastAsiaTheme="minorEastAsia"/>
              <w:noProof/>
              <w:color w:val="000000" w:themeColor="text1"/>
              <w:szCs w:val="28"/>
              <w:lang w:val="be-BY" w:eastAsia="be-BY"/>
            </w:rPr>
          </w:pPr>
          <w:hyperlink w:anchor="_Toc463483762" w:history="1">
            <w:r w:rsidR="00AC7364" w:rsidRPr="00AC7364">
              <w:rPr>
                <w:rStyle w:val="af0"/>
                <w:noProof/>
                <w:color w:val="000000" w:themeColor="text1"/>
                <w:szCs w:val="28"/>
              </w:rPr>
              <w:t>10.2. Особенности проектирования КМОП схем с технологической нормой более 0,29мкм</w:t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tab/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instrText xml:space="preserve"> PAGEREF _Toc463483762 \h </w:instrText>
            </w:r>
            <w:r w:rsidRPr="00AC7364">
              <w:rPr>
                <w:noProof/>
                <w:webHidden/>
                <w:color w:val="000000" w:themeColor="text1"/>
                <w:szCs w:val="28"/>
              </w:rPr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846E9B">
              <w:rPr>
                <w:noProof/>
                <w:webHidden/>
                <w:color w:val="000000" w:themeColor="text1"/>
                <w:szCs w:val="28"/>
              </w:rPr>
              <w:t>3</w:t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AC7364" w:rsidRPr="00AC7364" w:rsidRDefault="0047118E" w:rsidP="00AC7364">
          <w:pPr>
            <w:pStyle w:val="21"/>
            <w:tabs>
              <w:tab w:val="right" w:leader="dot" w:pos="9345"/>
            </w:tabs>
            <w:ind w:left="0" w:firstLine="0"/>
            <w:rPr>
              <w:rFonts w:eastAsiaTheme="minorEastAsia"/>
              <w:noProof/>
              <w:color w:val="000000" w:themeColor="text1"/>
              <w:szCs w:val="28"/>
              <w:lang w:val="be-BY" w:eastAsia="be-BY"/>
            </w:rPr>
          </w:pPr>
          <w:hyperlink w:anchor="_Toc463483763" w:history="1">
            <w:r w:rsidR="00AC7364" w:rsidRPr="00AC7364">
              <w:rPr>
                <w:rStyle w:val="af0"/>
                <w:noProof/>
                <w:color w:val="000000" w:themeColor="text1"/>
                <w:szCs w:val="28"/>
              </w:rPr>
              <w:t>10.3. Защелкивание КМОП структур</w:t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tab/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instrText xml:space="preserve"> PAGEREF _Toc463483763 \h </w:instrText>
            </w:r>
            <w:r w:rsidRPr="00AC7364">
              <w:rPr>
                <w:noProof/>
                <w:webHidden/>
                <w:color w:val="000000" w:themeColor="text1"/>
                <w:szCs w:val="28"/>
              </w:rPr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846E9B">
              <w:rPr>
                <w:noProof/>
                <w:webHidden/>
                <w:color w:val="000000" w:themeColor="text1"/>
                <w:szCs w:val="28"/>
              </w:rPr>
              <w:t>5</w:t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AC7364" w:rsidRPr="00AC7364" w:rsidRDefault="0047118E" w:rsidP="00AC7364">
          <w:pPr>
            <w:pStyle w:val="21"/>
            <w:tabs>
              <w:tab w:val="right" w:leader="dot" w:pos="9345"/>
            </w:tabs>
            <w:ind w:left="0" w:firstLine="0"/>
            <w:rPr>
              <w:rFonts w:eastAsiaTheme="minorEastAsia"/>
              <w:noProof/>
              <w:color w:val="000000" w:themeColor="text1"/>
              <w:szCs w:val="28"/>
              <w:lang w:val="be-BY" w:eastAsia="be-BY"/>
            </w:rPr>
          </w:pPr>
          <w:hyperlink w:anchor="_Toc463483764" w:history="1">
            <w:r w:rsidR="00AC7364" w:rsidRPr="00AC7364">
              <w:rPr>
                <w:rStyle w:val="af0"/>
                <w:noProof/>
                <w:color w:val="000000" w:themeColor="text1"/>
                <w:szCs w:val="28"/>
              </w:rPr>
              <w:t>10.4 Потеря мощности в КМОП БИС</w:t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tab/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instrText xml:space="preserve"> PAGEREF _Toc463483764 \h </w:instrText>
            </w:r>
            <w:r w:rsidRPr="00AC7364">
              <w:rPr>
                <w:noProof/>
                <w:webHidden/>
                <w:color w:val="000000" w:themeColor="text1"/>
                <w:szCs w:val="28"/>
              </w:rPr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846E9B">
              <w:rPr>
                <w:noProof/>
                <w:webHidden/>
                <w:color w:val="000000" w:themeColor="text1"/>
                <w:szCs w:val="28"/>
              </w:rPr>
              <w:t>8</w:t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AC7364" w:rsidRPr="00AC7364" w:rsidRDefault="0047118E" w:rsidP="00AC7364">
          <w:pPr>
            <w:pStyle w:val="31"/>
            <w:tabs>
              <w:tab w:val="right" w:leader="dot" w:pos="9345"/>
            </w:tabs>
            <w:ind w:left="0" w:firstLine="0"/>
            <w:rPr>
              <w:noProof/>
              <w:color w:val="000000" w:themeColor="text1"/>
              <w:szCs w:val="28"/>
            </w:rPr>
          </w:pPr>
          <w:hyperlink w:anchor="_Toc463483765" w:history="1">
            <w:r w:rsidR="00AC7364" w:rsidRPr="00AC7364">
              <w:rPr>
                <w:rStyle w:val="af0"/>
                <w:noProof/>
                <w:color w:val="000000" w:themeColor="text1"/>
                <w:szCs w:val="28"/>
              </w:rPr>
              <w:t>10.4.1. Статическая рассеиваемая мощность.</w:t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tab/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instrText xml:space="preserve"> PAGEREF _Toc463483765 \h </w:instrText>
            </w:r>
            <w:r w:rsidRPr="00AC7364">
              <w:rPr>
                <w:noProof/>
                <w:webHidden/>
                <w:color w:val="000000" w:themeColor="text1"/>
                <w:szCs w:val="28"/>
              </w:rPr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846E9B">
              <w:rPr>
                <w:noProof/>
                <w:webHidden/>
                <w:color w:val="000000" w:themeColor="text1"/>
                <w:szCs w:val="28"/>
              </w:rPr>
              <w:t>9</w:t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AC7364" w:rsidRPr="00AC7364" w:rsidRDefault="0047118E" w:rsidP="00AC7364">
          <w:pPr>
            <w:pStyle w:val="31"/>
            <w:tabs>
              <w:tab w:val="right" w:leader="dot" w:pos="9345"/>
            </w:tabs>
            <w:ind w:left="0" w:firstLine="0"/>
            <w:rPr>
              <w:noProof/>
              <w:color w:val="000000" w:themeColor="text1"/>
              <w:szCs w:val="28"/>
            </w:rPr>
          </w:pPr>
          <w:hyperlink w:anchor="_Toc463483766" w:history="1">
            <w:r w:rsidR="00AC7364" w:rsidRPr="00AC7364">
              <w:rPr>
                <w:rStyle w:val="af0"/>
                <w:noProof/>
                <w:color w:val="000000" w:themeColor="text1"/>
                <w:szCs w:val="28"/>
              </w:rPr>
              <w:t>10.4.2. Динамическая рассеиваемая мощность</w:t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tab/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begin"/>
            </w:r>
            <w:r w:rsidR="00AC7364" w:rsidRPr="00AC7364">
              <w:rPr>
                <w:noProof/>
                <w:webHidden/>
                <w:color w:val="000000" w:themeColor="text1"/>
                <w:szCs w:val="28"/>
              </w:rPr>
              <w:instrText xml:space="preserve"> PAGEREF _Toc463483766 \h </w:instrText>
            </w:r>
            <w:r w:rsidRPr="00AC7364">
              <w:rPr>
                <w:noProof/>
                <w:webHidden/>
                <w:color w:val="000000" w:themeColor="text1"/>
                <w:szCs w:val="28"/>
              </w:rPr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846E9B">
              <w:rPr>
                <w:noProof/>
                <w:webHidden/>
                <w:color w:val="000000" w:themeColor="text1"/>
                <w:szCs w:val="28"/>
              </w:rPr>
              <w:t>12</w:t>
            </w:r>
            <w:r w:rsidRPr="00AC7364">
              <w:rPr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:rsidR="00AC7364" w:rsidRDefault="0047118E" w:rsidP="00AC7364">
          <w:r w:rsidRPr="00AC7364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E83321" w:rsidRDefault="00E83321" w:rsidP="00AC7364">
      <w:pPr>
        <w:pStyle w:val="1"/>
        <w:numPr>
          <w:ilvl w:val="0"/>
          <w:numId w:val="0"/>
        </w:numPr>
        <w:rPr>
          <w:b w:val="0"/>
        </w:rPr>
      </w:pPr>
      <w:bookmarkStart w:id="0" w:name="_Toc463483760"/>
      <w:r w:rsidRPr="00876ED0">
        <w:t xml:space="preserve">ГЛАВА </w:t>
      </w:r>
      <w:r w:rsidR="00C70AF9">
        <w:t>10.</w:t>
      </w:r>
      <w:r w:rsidRPr="00876ED0">
        <w:t xml:space="preserve"> КОМПЛЕМЕНТАРНАЯ МОП ИМС</w:t>
      </w:r>
      <w:bookmarkEnd w:id="0"/>
    </w:p>
    <w:p w:rsidR="00E83321" w:rsidRPr="0090638F" w:rsidRDefault="00C70AF9" w:rsidP="00AC7364">
      <w:pPr>
        <w:pStyle w:val="2"/>
        <w:numPr>
          <w:ilvl w:val="0"/>
          <w:numId w:val="0"/>
        </w:numPr>
      </w:pPr>
      <w:bookmarkStart w:id="1" w:name="_Toc372119040"/>
      <w:bookmarkStart w:id="2" w:name="_Toc444779505"/>
      <w:bookmarkStart w:id="3" w:name="_Toc463483761"/>
      <w:r>
        <w:t>10.</w:t>
      </w:r>
      <w:r w:rsidR="00E83321">
        <w:t xml:space="preserve">1. </w:t>
      </w:r>
      <w:r w:rsidR="00E83321" w:rsidRPr="0090638F">
        <w:t>Общие сведения</w:t>
      </w:r>
      <w:bookmarkEnd w:id="1"/>
      <w:bookmarkEnd w:id="2"/>
      <w:bookmarkEnd w:id="3"/>
    </w:p>
    <w:p w:rsidR="00E83321" w:rsidRPr="0090638F" w:rsidRDefault="00E83321" w:rsidP="00E83321">
      <w:r w:rsidRPr="0090638F">
        <w:t>У</w:t>
      </w:r>
      <w:r w:rsidR="009A0A41">
        <w:t>же на ранних стадиях разработки</w:t>
      </w:r>
      <w:r w:rsidRPr="0090638F">
        <w:t xml:space="preserve"> МОП ИС стало ясно, что в цифровых схемах, выполненных на </w:t>
      </w:r>
      <w:r w:rsidRPr="0090638F">
        <w:rPr>
          <w:i/>
        </w:rPr>
        <w:t>р</w:t>
      </w:r>
      <w:r w:rsidRPr="0090638F">
        <w:t xml:space="preserve">- и </w:t>
      </w:r>
      <w:r w:rsidRPr="0090638F">
        <w:rPr>
          <w:i/>
        </w:rPr>
        <w:t>n</w:t>
      </w:r>
      <w:r w:rsidRPr="0090638F">
        <w:t>-  канальных МОП транзисторах, включенных последователь</w:t>
      </w:r>
      <w:bookmarkStart w:id="4" w:name="_GoBack"/>
      <w:bookmarkEnd w:id="4"/>
      <w:r w:rsidRPr="0090638F">
        <w:t>но, можно получить очень малую «статическую» рассеиваемую мощность (мощность в установившемся режиме). Такие схемы называются комплементарными МОП-схемами или просто КМОП-схемами. Чтобы понять, почему в КМОП-схемах рассеиваемая мощность очень мала, расс</w:t>
      </w:r>
      <w:r w:rsidR="009A0A41">
        <w:t xml:space="preserve">мотрим основной функциональный </w:t>
      </w:r>
      <w:r w:rsidRPr="0090638F">
        <w:t>блок цифровых схем и систем – инверто</w:t>
      </w:r>
      <w:r w:rsidR="009A0A41">
        <w:t xml:space="preserve">р. Инвертор представляет собой </w:t>
      </w:r>
      <w:r w:rsidRPr="0090638F">
        <w:t>схему, выходной (двоичный) с</w:t>
      </w:r>
      <w:r w:rsidR="00502989">
        <w:t>игнал которой есть инверсия его</w:t>
      </w:r>
      <w:r w:rsidRPr="0090638F">
        <w:t xml:space="preserve"> входного сигнала. Соединяя инверторы надлежащим образом, можно строить логические схемы произвольной сложности. Поэтому мощность, потребляемая отдельной инверторной схемой, есть основной показатель общей мощности, которая потребуется для работы цифровой системы.</w:t>
      </w:r>
    </w:p>
    <w:p w:rsidR="00E83321" w:rsidRPr="0090638F" w:rsidRDefault="00E83321" w:rsidP="00E83321">
      <w:r w:rsidRPr="0090638F">
        <w:t>Электрическая схема и топология б</w:t>
      </w:r>
      <w:r w:rsidR="009A0A41">
        <w:t>азового КМОП инвертора показаны</w:t>
      </w:r>
      <w:r w:rsidR="0024783E">
        <w:t xml:space="preserve"> на рис.</w:t>
      </w:r>
      <w:r w:rsidRPr="0090638F">
        <w:t xml:space="preserve"> </w:t>
      </w:r>
      <w:r w:rsidR="00C2772B">
        <w:t>1</w:t>
      </w:r>
      <w:fldSimple w:instr=" REF _Ref361953133 \h  \* MERGEFORMAT ">
        <w:r w:rsidR="00846E9B">
          <w:rPr>
            <w:noProof/>
            <w:szCs w:val="24"/>
          </w:rPr>
          <w:t>10</w:t>
        </w:r>
        <w:r w:rsidR="00846E9B" w:rsidRPr="0090638F">
          <w:rPr>
            <w:szCs w:val="24"/>
          </w:rPr>
          <w:t>.</w:t>
        </w:r>
        <w:r w:rsidR="00846E9B">
          <w:rPr>
            <w:szCs w:val="24"/>
          </w:rPr>
          <w:t>1</w:t>
        </w:r>
      </w:fldSimple>
      <w:r w:rsidRPr="0090638F">
        <w:t xml:space="preserve">,а и </w:t>
      </w:r>
      <w:r w:rsidR="00C2772B">
        <w:t>1</w:t>
      </w:r>
      <w:fldSimple w:instr=" REF _Ref361953133 \h  \* MERGEFORMAT ">
        <w:r w:rsidR="00846E9B">
          <w:rPr>
            <w:noProof/>
            <w:szCs w:val="24"/>
          </w:rPr>
          <w:t>10</w:t>
        </w:r>
        <w:r w:rsidR="00846E9B" w:rsidRPr="0090638F">
          <w:rPr>
            <w:szCs w:val="24"/>
          </w:rPr>
          <w:t>.</w:t>
        </w:r>
        <w:r w:rsidR="00846E9B">
          <w:rPr>
            <w:szCs w:val="24"/>
          </w:rPr>
          <w:t>1</w:t>
        </w:r>
      </w:fldSimple>
      <w:r w:rsidRPr="0090638F">
        <w:t>,б, а передаточная  характери</w:t>
      </w:r>
      <w:r w:rsidR="0024783E">
        <w:t xml:space="preserve">стика по напряжению – на рис. </w:t>
      </w:r>
      <w:r w:rsidR="00C2772B">
        <w:t>1</w:t>
      </w:r>
      <w:fldSimple w:instr=" REF _Ref361953133 \h  \* MERGEFORMAT ">
        <w:r w:rsidR="00846E9B">
          <w:rPr>
            <w:noProof/>
            <w:szCs w:val="24"/>
          </w:rPr>
          <w:t>10</w:t>
        </w:r>
        <w:r w:rsidR="00846E9B" w:rsidRPr="0090638F">
          <w:rPr>
            <w:szCs w:val="24"/>
          </w:rPr>
          <w:t>.</w:t>
        </w:r>
        <w:r w:rsidR="00846E9B">
          <w:rPr>
            <w:szCs w:val="24"/>
          </w:rPr>
          <w:t>1</w:t>
        </w:r>
      </w:fldSimple>
      <w:r w:rsidRPr="0090638F">
        <w:t xml:space="preserve">, в. Последняя представляет  собой график зависимости выходного напряжения инверторной схемы от ее входного напряжения. В таком инверторе для МОП транзистора соединены последовательно (сток </w:t>
      </w:r>
      <w:r w:rsidRPr="0090638F">
        <w:rPr>
          <w:i/>
        </w:rPr>
        <w:t>р</w:t>
      </w:r>
      <w:r w:rsidR="009A0A41">
        <w:t>-канального</w:t>
      </w:r>
      <w:r w:rsidRPr="0090638F">
        <w:t xml:space="preserve"> транзистора соединен со стоком </w:t>
      </w:r>
      <w:r w:rsidRPr="0090638F">
        <w:rPr>
          <w:i/>
        </w:rPr>
        <w:t>n</w:t>
      </w:r>
      <w:r w:rsidRPr="0090638F">
        <w:t>-канального), а их затворы соединены друг с друго</w:t>
      </w:r>
      <w:r w:rsidR="009A0A41">
        <w:t>м. Чтобы объяснить работу этого</w:t>
      </w:r>
      <w:r w:rsidRPr="0090638F">
        <w:t xml:space="preserve"> инвертора, допустим, что его входное напряжение ниже порогового напряжения </w:t>
      </w:r>
      <w:r w:rsidRPr="0090638F">
        <w:rPr>
          <w:i/>
        </w:rPr>
        <w:t>n</w:t>
      </w:r>
      <w:r w:rsidR="00502989">
        <w:t>-канального</w:t>
      </w:r>
      <w:r w:rsidRPr="0090638F">
        <w:t xml:space="preserve"> транзистора и вместе с тем имеет большую отрицательную величину относительно подложки </w:t>
      </w:r>
      <w:r w:rsidRPr="0090638F">
        <w:rPr>
          <w:i/>
        </w:rPr>
        <w:t>р</w:t>
      </w:r>
      <w:r w:rsidRPr="0090638F">
        <w:t xml:space="preserve">-канального МОП транзистора, достаточную для его включения. </w:t>
      </w:r>
    </w:p>
    <w:p w:rsidR="00E83321" w:rsidRPr="0090638F" w:rsidRDefault="00E83321" w:rsidP="00E83321">
      <w:pPr>
        <w:jc w:val="center"/>
      </w:pPr>
      <w:r>
        <w:rPr>
          <w:noProof/>
        </w:rPr>
        <w:lastRenderedPageBreak/>
        <w:drawing>
          <wp:inline distT="0" distB="0" distL="0" distR="0">
            <wp:extent cx="5796280" cy="5939790"/>
            <wp:effectExtent l="0" t="0" r="0" b="0"/>
            <wp:docPr id="670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21" w:rsidRPr="0090638F" w:rsidRDefault="00E83321" w:rsidP="00E83321">
      <w:pPr>
        <w:pStyle w:val="ab"/>
      </w:pPr>
      <w:r w:rsidRPr="0090638F">
        <w:rPr>
          <w:szCs w:val="24"/>
        </w:rPr>
        <w:t xml:space="preserve">Рисунок </w:t>
      </w:r>
      <w:bookmarkStart w:id="5" w:name="_Ref361953133"/>
      <w:r w:rsidR="00C2772B">
        <w:rPr>
          <w:szCs w:val="24"/>
        </w:rPr>
        <w:t>1</w:t>
      </w:r>
      <w:r w:rsidR="0047118E" w:rsidRPr="0090638F">
        <w:rPr>
          <w:szCs w:val="24"/>
        </w:rPr>
        <w:fldChar w:fldCharType="begin"/>
      </w:r>
      <w:r w:rsidRPr="0090638F">
        <w:rPr>
          <w:szCs w:val="24"/>
        </w:rPr>
        <w:instrText xml:space="preserve"> STYLEREF 1 \s </w:instrText>
      </w:r>
      <w:r w:rsidR="0047118E" w:rsidRPr="0090638F">
        <w:rPr>
          <w:szCs w:val="24"/>
        </w:rPr>
        <w:fldChar w:fldCharType="separate"/>
      </w:r>
      <w:r w:rsidR="00846E9B">
        <w:rPr>
          <w:noProof/>
          <w:szCs w:val="24"/>
        </w:rPr>
        <w:t>0</w:t>
      </w:r>
      <w:r w:rsidR="0047118E" w:rsidRPr="0090638F">
        <w:rPr>
          <w:szCs w:val="24"/>
        </w:rPr>
        <w:fldChar w:fldCharType="end"/>
      </w:r>
      <w:r w:rsidRPr="0090638F">
        <w:rPr>
          <w:szCs w:val="24"/>
        </w:rPr>
        <w:t>.</w:t>
      </w:r>
      <w:r w:rsidR="0047118E" w:rsidRPr="0090638F">
        <w:rPr>
          <w:szCs w:val="24"/>
        </w:rPr>
        <w:fldChar w:fldCharType="begin"/>
      </w:r>
      <w:r w:rsidRPr="0090638F">
        <w:rPr>
          <w:szCs w:val="24"/>
        </w:rPr>
        <w:instrText xml:space="preserve"> SEQ Рисунок \* ARABIC \s 1 </w:instrText>
      </w:r>
      <w:r w:rsidR="0047118E" w:rsidRPr="0090638F">
        <w:rPr>
          <w:szCs w:val="24"/>
        </w:rPr>
        <w:fldChar w:fldCharType="separate"/>
      </w:r>
      <w:r w:rsidR="00846E9B">
        <w:rPr>
          <w:noProof/>
          <w:szCs w:val="24"/>
        </w:rPr>
        <w:t>1</w:t>
      </w:r>
      <w:r w:rsidR="0047118E" w:rsidRPr="0090638F">
        <w:rPr>
          <w:szCs w:val="24"/>
        </w:rPr>
        <w:fldChar w:fldCharType="end"/>
      </w:r>
      <w:bookmarkEnd w:id="5"/>
      <w:r w:rsidRPr="0090638F">
        <w:t xml:space="preserve">–  а – схема КМОП инвертора, б – передаточная характеристика по напряжению для КМОП инвертора, </w:t>
      </w:r>
      <w:r w:rsidRPr="0090638F">
        <w:rPr>
          <w:i/>
        </w:rPr>
        <w:t>в</w:t>
      </w:r>
      <w:r w:rsidRPr="0090638F">
        <w:t xml:space="preserve"> – топология КМОП инвертора с карманом </w:t>
      </w:r>
      <w:r w:rsidRPr="0090638F">
        <w:rPr>
          <w:i/>
        </w:rPr>
        <w:t>р</w:t>
      </w:r>
      <w:r w:rsidRPr="0090638F">
        <w:t>-типа.</w:t>
      </w:r>
    </w:p>
    <w:p w:rsidR="00E83321" w:rsidRPr="0090638F" w:rsidRDefault="00E83321" w:rsidP="00E83321">
      <w:r w:rsidRPr="0090638F">
        <w:t xml:space="preserve">В таком режиме </w:t>
      </w:r>
      <w:r w:rsidRPr="0090638F">
        <w:rPr>
          <w:i/>
        </w:rPr>
        <w:t>р</w:t>
      </w:r>
      <w:r w:rsidR="00E11566">
        <w:t>-канальный</w:t>
      </w:r>
      <w:r w:rsidRPr="0090638F">
        <w:t xml:space="preserve"> МОП транзистор образует проводящую цепь между выходом инвертора и источником питания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</m:oMath>
      <w:r w:rsidRPr="0090638F">
        <w:t xml:space="preserve">, а </w:t>
      </w:r>
      <w:r w:rsidRPr="0090638F">
        <w:rPr>
          <w:i/>
        </w:rPr>
        <w:t>n</w:t>
      </w:r>
      <w:r w:rsidR="00E11566">
        <w:t>-канальный</w:t>
      </w:r>
      <w:r w:rsidRPr="0090638F">
        <w:t xml:space="preserve"> транзистор выключен. Так как выходной электрод инвертора обычно соединен с входами других инверторных схем, которые не потребляют статического тока, его выходное напряжение (напряжение на стоке </w:t>
      </w:r>
      <w:r w:rsidRPr="0090638F">
        <w:rPr>
          <w:i/>
        </w:rPr>
        <w:t>р</w:t>
      </w:r>
      <w:r w:rsidRPr="0090638F">
        <w:t xml:space="preserve">-канального МОП транзистора) находится в своем «высоком» состоянии (равно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ВХ</m:t>
            </m:r>
          </m:sub>
        </m:sSub>
      </m:oMath>
      <w:r w:rsidR="00E11566">
        <w:t>).</w:t>
      </w:r>
      <w:r w:rsidRPr="0090638F">
        <w:t xml:space="preserve"> Если теперь входное напряжение увеличивается, то </w:t>
      </w:r>
      <w:r w:rsidRPr="0090638F">
        <w:rPr>
          <w:i/>
        </w:rPr>
        <w:t>р</w:t>
      </w:r>
      <w:r w:rsidRPr="0090638F">
        <w:t xml:space="preserve">-канальный МОП транзистор выключается, а когда входное напряжение становится больше порогового напряжения </w:t>
      </w:r>
      <w:r w:rsidRPr="0090638F">
        <w:rPr>
          <w:i/>
        </w:rPr>
        <w:t>n</w:t>
      </w:r>
      <w:r w:rsidRPr="0090638F">
        <w:t>-канального прибора, его канал включается и выходное напряжение инвертора уменьшает</w:t>
      </w:r>
      <w:r w:rsidR="00E11566">
        <w:t>ся до напряжения земли. Поэтому</w:t>
      </w:r>
      <w:r w:rsidRPr="0090638F">
        <w:t xml:space="preserve"> в статическом режиме работы тот или другой МОП транзистор инвертора всегда выключен и между источником питания и землей нет цепи для протекания постоянного тока (за исключением лишь токов утечки </w:t>
      </w:r>
      <w:r w:rsidRPr="0090638F">
        <w:lastRenderedPageBreak/>
        <w:t>переходов). По этой причине почти вся мощность, рассеиваемая КМОП схемами, - это мощность, рассеиваемая при переключательных процессах.</w:t>
      </w:r>
      <w:r w:rsidRPr="0090638F">
        <w:tab/>
      </w:r>
    </w:p>
    <w:p w:rsidR="00E83321" w:rsidRPr="0090638F" w:rsidRDefault="00E83321" w:rsidP="00E83321">
      <w:r w:rsidRPr="0090638F">
        <w:t>Малое потребление мощности в статическом режиме – одно из существенных преимущ</w:t>
      </w:r>
      <w:r w:rsidR="00E11566">
        <w:t xml:space="preserve">еств КМОП схем перед цифровыми </w:t>
      </w:r>
      <w:r w:rsidRPr="0090638F">
        <w:t xml:space="preserve">МОП ИС других типов. Другие их преимущества – крутая  и четко определенная передаточная характеристика КМОП инверторов по напряжению (рис. </w:t>
      </w:r>
      <w:r w:rsidR="00C2772B">
        <w:t>1</w:t>
      </w:r>
      <w:fldSimple w:instr=" REF _Ref361953133 \h  \* MERGEFORMAT ">
        <w:r w:rsidR="00846E9B">
          <w:rPr>
            <w:noProof/>
            <w:szCs w:val="24"/>
          </w:rPr>
          <w:t>10</w:t>
        </w:r>
        <w:r w:rsidR="00846E9B" w:rsidRPr="0090638F">
          <w:rPr>
            <w:szCs w:val="24"/>
          </w:rPr>
          <w:t>.</w:t>
        </w:r>
        <w:r w:rsidR="00846E9B">
          <w:rPr>
            <w:szCs w:val="24"/>
          </w:rPr>
          <w:t>1</w:t>
        </w:r>
      </w:fldSimple>
      <w:r w:rsidRPr="0090638F">
        <w:t>,в), что облегчает построение цифровых схем и устройств, и высокая помехоустойчивость благодаря малому сопротивлению между выходом логического сигнала и шиной питания или земли. Эти преимущества КМОП схем были известны и понятны задолго до того, как удалось успешно решить значительно</w:t>
      </w:r>
      <w:r w:rsidR="00E11566">
        <w:t xml:space="preserve"> более сложные технологические</w:t>
      </w:r>
      <w:r w:rsidRPr="0090638F">
        <w:t xml:space="preserve"> проблемы производства КМОП ИС.</w:t>
      </w:r>
    </w:p>
    <w:p w:rsidR="00E83321" w:rsidRPr="0090638F" w:rsidRDefault="00C70AF9" w:rsidP="00AC7364">
      <w:pPr>
        <w:pStyle w:val="2"/>
        <w:numPr>
          <w:ilvl w:val="0"/>
          <w:numId w:val="0"/>
        </w:numPr>
      </w:pPr>
      <w:bookmarkStart w:id="6" w:name="_Toc372119041"/>
      <w:bookmarkStart w:id="7" w:name="_Toc444779506"/>
      <w:bookmarkStart w:id="8" w:name="_Toc463483762"/>
      <w:r>
        <w:t>10.</w:t>
      </w:r>
      <w:r w:rsidR="00E83321">
        <w:t>2.</w:t>
      </w:r>
      <w:r w:rsidR="00876ED0" w:rsidRPr="00876ED0">
        <w:t xml:space="preserve"> </w:t>
      </w:r>
      <w:r w:rsidR="00E83321" w:rsidRPr="0090638F">
        <w:t>Особенности проектирования КМОП схем с технологической нормой более 0,2</w:t>
      </w:r>
      <w:r w:rsidR="007646D5">
        <w:t>9</w:t>
      </w:r>
      <w:r w:rsidR="00E83321" w:rsidRPr="0090638F">
        <w:t>мкм</w:t>
      </w:r>
      <w:bookmarkEnd w:id="6"/>
      <w:bookmarkEnd w:id="7"/>
      <w:bookmarkEnd w:id="8"/>
    </w:p>
    <w:p w:rsidR="00E83321" w:rsidRPr="0090638F" w:rsidRDefault="00E83321" w:rsidP="00E83321">
      <w:r w:rsidRPr="0090638F">
        <w:t xml:space="preserve">Главный принцип КМОП технологии состоит в том, чтобы выполнить на одном кристалле как </w:t>
      </w:r>
      <w:r w:rsidRPr="0090638F">
        <w:rPr>
          <w:i/>
        </w:rPr>
        <w:t>n</w:t>
      </w:r>
      <w:r w:rsidRPr="0090638F">
        <w:t xml:space="preserve">-, так и </w:t>
      </w:r>
      <w:r w:rsidRPr="0090638F">
        <w:rPr>
          <w:i/>
        </w:rPr>
        <w:t>р</w:t>
      </w:r>
      <w:r w:rsidRPr="0090638F">
        <w:t>-канальные МОП т</w:t>
      </w:r>
      <w:r w:rsidR="00E11566">
        <w:t>ранзисторы, поэтому на</w:t>
      </w:r>
      <w:r w:rsidRPr="0090638F">
        <w:t xml:space="preserve"> поверхности пластины требуется иметь области как </w:t>
      </w:r>
      <w:r w:rsidRPr="0090638F">
        <w:rPr>
          <w:i/>
        </w:rPr>
        <w:t>р</w:t>
      </w:r>
      <w:r w:rsidRPr="0090638F">
        <w:t xml:space="preserve">-, так и </w:t>
      </w:r>
      <w:r w:rsidRPr="0090638F">
        <w:rPr>
          <w:i/>
        </w:rPr>
        <w:t>n</w:t>
      </w:r>
      <w:r w:rsidRPr="0090638F">
        <w:t xml:space="preserve">-типа. Если ИС изготавливается на подложке </w:t>
      </w:r>
      <w:r w:rsidRPr="0090638F">
        <w:rPr>
          <w:i/>
        </w:rPr>
        <w:t>n</w:t>
      </w:r>
      <w:r w:rsidRPr="0090638F">
        <w:t>-типа и ее</w:t>
      </w:r>
      <w:r w:rsidRPr="0090638F">
        <w:rPr>
          <w:i/>
        </w:rPr>
        <w:t xml:space="preserve"> р</w:t>
      </w:r>
      <w:r w:rsidR="00E11566">
        <w:t xml:space="preserve">-канальные </w:t>
      </w:r>
      <w:r w:rsidRPr="0090638F">
        <w:t xml:space="preserve">транзисторы изготавливаются непосредственно в подложке, то для изготовления </w:t>
      </w:r>
      <w:r w:rsidRPr="0090638F">
        <w:rPr>
          <w:i/>
        </w:rPr>
        <w:t>n</w:t>
      </w:r>
      <w:r w:rsidRPr="0090638F">
        <w:t xml:space="preserve">-канальных МОП транзисторов в местах их расположения необходимо сформировать диффузионные области </w:t>
      </w:r>
      <w:r w:rsidRPr="0090638F">
        <w:rPr>
          <w:i/>
        </w:rPr>
        <w:t>р</w:t>
      </w:r>
      <w:r w:rsidRPr="0090638F">
        <w:t>-типа (сделать так называемые карманы</w:t>
      </w:r>
      <w:r w:rsidRPr="0090638F">
        <w:rPr>
          <w:i/>
        </w:rPr>
        <w:t xml:space="preserve"> р</w:t>
      </w:r>
      <w:r w:rsidRPr="0090638F">
        <w:t>-типа).  КМОП ИС можно также делать на пластинах</w:t>
      </w:r>
      <w:r w:rsidRPr="0090638F">
        <w:rPr>
          <w:i/>
        </w:rPr>
        <w:t xml:space="preserve"> р</w:t>
      </w:r>
      <w:r w:rsidRPr="0090638F">
        <w:t xml:space="preserve">-типа, формируя в них карманы </w:t>
      </w:r>
      <w:r w:rsidRPr="0090638F">
        <w:rPr>
          <w:i/>
        </w:rPr>
        <w:t>n-</w:t>
      </w:r>
      <w:r w:rsidRPr="0090638F">
        <w:t xml:space="preserve">типа. Сечение пары КМОП транзисторов на подложке с карманами </w:t>
      </w:r>
      <w:r w:rsidRPr="0090638F">
        <w:rPr>
          <w:i/>
        </w:rPr>
        <w:t>n</w:t>
      </w:r>
      <w:r w:rsidRPr="0090638F">
        <w:t>-</w:t>
      </w:r>
      <w:r w:rsidR="00E11566">
        <w:t>типа показано на рис.</w:t>
      </w:r>
      <w:r w:rsidRPr="0090638F">
        <w:t xml:space="preserve"> </w:t>
      </w:r>
      <w:r w:rsidR="00C2772B">
        <w:t>10.2</w:t>
      </w:r>
      <w:r w:rsidRPr="0090638F">
        <w:t>.</w:t>
      </w:r>
    </w:p>
    <w:p w:rsidR="00E83321" w:rsidRPr="0090638F" w:rsidRDefault="00E83321" w:rsidP="00E83321">
      <w:r w:rsidRPr="0090638F">
        <w:t xml:space="preserve">Оба конструктивных варианта КМОП схем – с карманами </w:t>
      </w:r>
      <w:r w:rsidRPr="0090638F">
        <w:rPr>
          <w:i/>
        </w:rPr>
        <w:t>n</w:t>
      </w:r>
      <w:r w:rsidRPr="0090638F">
        <w:t xml:space="preserve">- и </w:t>
      </w:r>
      <w:r w:rsidRPr="0090638F">
        <w:rPr>
          <w:i/>
        </w:rPr>
        <w:t>р</w:t>
      </w:r>
      <w:r w:rsidRPr="0090638F">
        <w:t xml:space="preserve">-типа – имеют свои достоинства и свои недостатки, поэтому ни один из них пока не завоевал однозначного преимущества при производстве КМОП схем. Например, при проектировании следует учитывать, что изготавливаемый в кармане транзистор делается в компенсированном кремнии, в котором из-за более высокой полной примесной концентрации падение подвижности носителей оказывается больше, чем в приборах, изготовленных непосредственно в подложке. </w:t>
      </w:r>
    </w:p>
    <w:p w:rsidR="00E83321" w:rsidRPr="0090638F" w:rsidRDefault="00E83321" w:rsidP="00E83321"/>
    <w:p w:rsidR="00E83321" w:rsidRPr="0090638F" w:rsidRDefault="00E83321" w:rsidP="00E83321"/>
    <w:p w:rsidR="00E83321" w:rsidRPr="0090638F" w:rsidRDefault="00E83321" w:rsidP="00E83321">
      <w:pPr>
        <w:jc w:val="center"/>
      </w:pPr>
      <w:r>
        <w:rPr>
          <w:noProof/>
        </w:rPr>
        <w:lastRenderedPageBreak/>
        <w:drawing>
          <wp:inline distT="0" distB="0" distL="0" distR="0">
            <wp:extent cx="5915660" cy="265557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21" w:rsidRPr="0090638F" w:rsidRDefault="00E83321" w:rsidP="00E83321">
      <w:pPr>
        <w:pStyle w:val="ab"/>
      </w:pPr>
      <w:r w:rsidRPr="0090638F">
        <w:t xml:space="preserve">Рисунок </w:t>
      </w:r>
      <w:bookmarkStart w:id="9" w:name="_Ref361953185"/>
      <w:r w:rsidR="00C2772B">
        <w:t>1</w:t>
      </w:r>
      <w:r w:rsidR="0047118E" w:rsidRPr="0090638F">
        <w:fldChar w:fldCharType="begin"/>
      </w:r>
      <w:r w:rsidRPr="0090638F">
        <w:instrText xml:space="preserve"> STYLEREF 1 \s </w:instrText>
      </w:r>
      <w:r w:rsidR="0047118E" w:rsidRPr="0090638F">
        <w:fldChar w:fldCharType="separate"/>
      </w:r>
      <w:r w:rsidR="00846E9B">
        <w:rPr>
          <w:noProof/>
        </w:rPr>
        <w:t>0</w:t>
      </w:r>
      <w:r w:rsidR="0047118E" w:rsidRPr="0090638F">
        <w:fldChar w:fldCharType="end"/>
      </w:r>
      <w:r w:rsidRPr="0090638F">
        <w:t>.</w:t>
      </w:r>
      <w:bookmarkEnd w:id="9"/>
      <w:r w:rsidR="00C2772B">
        <w:t>2</w:t>
      </w:r>
      <w:r w:rsidRPr="0090638F">
        <w:t xml:space="preserve">– Сечение запоминающего КМОП элемента с карманом </w:t>
      </w:r>
      <w:r w:rsidRPr="0090638F">
        <w:rPr>
          <w:i/>
        </w:rPr>
        <w:t>n</w:t>
      </w:r>
      <w:r w:rsidRPr="0090638F">
        <w:t>-типа</w:t>
      </w:r>
    </w:p>
    <w:p w:rsidR="00E83321" w:rsidRPr="0090638F" w:rsidRDefault="00E83321" w:rsidP="00E83321">
      <w:r w:rsidRPr="0090638F">
        <w:t xml:space="preserve">Желательно, чтобы выходные управляющие токи </w:t>
      </w:r>
      <w:r w:rsidRPr="0090638F">
        <w:rPr>
          <w:i/>
        </w:rPr>
        <w:t>n</w:t>
      </w:r>
      <w:r w:rsidRPr="0090638F">
        <w:t xml:space="preserve">-канальных и </w:t>
      </w:r>
      <w:r w:rsidRPr="0090638F">
        <w:rPr>
          <w:i/>
        </w:rPr>
        <w:t>р</w:t>
      </w:r>
      <w:r w:rsidRPr="0090638F">
        <w:t xml:space="preserve">-канальных   МОП транзисторов были примерно равны, поэтому с данной точки зрения предпочтительнее структура с карманами р-типа, так как подвижность электронов выше подвижности дырок. Однако это различие в подвижности можно скомпенсировать, изменив ширину канала транзистора, так как из других соображений более предпочтительной может оказаться структура с карманами </w:t>
      </w:r>
      <w:r w:rsidRPr="0090638F">
        <w:rPr>
          <w:i/>
        </w:rPr>
        <w:t>n</w:t>
      </w:r>
      <w:r w:rsidRPr="0090638F">
        <w:t xml:space="preserve">-типа. Особенно это важно если значительная часть логических схем (для адресации, чтения и записи), располагаемых на периферии КМОП ИС памяти, строится на </w:t>
      </w:r>
      <w:r w:rsidRPr="0090638F">
        <w:rPr>
          <w:i/>
        </w:rPr>
        <w:t>n</w:t>
      </w:r>
      <w:r w:rsidRPr="0090638F">
        <w:t xml:space="preserve">-канальных  транзисторах, именно по этим соображениям, например, выбраны карманы </w:t>
      </w:r>
      <w:r w:rsidRPr="0090638F">
        <w:rPr>
          <w:i/>
        </w:rPr>
        <w:t>n</w:t>
      </w:r>
      <w:r w:rsidRPr="0090638F">
        <w:t xml:space="preserve">-типа для КМОП структуры, показанной на рис. </w:t>
      </w:r>
      <w:r w:rsidR="00C2772B">
        <w:t>10.2</w:t>
      </w:r>
      <w:r w:rsidRPr="0090638F">
        <w:t>.</w:t>
      </w:r>
    </w:p>
    <w:p w:rsidR="00E83321" w:rsidRPr="0090638F" w:rsidRDefault="00E83321" w:rsidP="00E83321">
      <w:r w:rsidRPr="0090638F">
        <w:t>Чтобы обеспечить оптимальные характеристики КМОП схем, пороговые напряжения МОП транзисторов обоих типов проводимости должны быть антисимметричны (т.е.</w:t>
      </w:r>
      <w:r w:rsidR="00E115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тр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vertAlign w:val="subscript"/>
              </w:rPr>
              <m:t>тn</m:t>
            </m:r>
          </m:sub>
        </m:sSub>
      </m:oMath>
      <w:r w:rsidRPr="0090638F">
        <w:t>). Применение ионного легирования для подгонки пороговых напряжений позволило решить эту задачу на практике. Дальнейшие замечания относительно КМОП-технологии будут приведены после обсуждения некоторых соображений по проектированию приборов и схем при создании КМОП ИС.</w:t>
      </w:r>
    </w:p>
    <w:p w:rsidR="00E83321" w:rsidRPr="0090638F" w:rsidRDefault="00E83321" w:rsidP="00E83321">
      <w:r w:rsidRPr="0090638F">
        <w:t>В любой КМОП технологии по крайне мере один тип МОП транзисторов делается в карманах, поэтому две области объемного заряда – одна, связанная с переходами исток – карман и сток – карман, другая, связанная с переходами карман – подложка, - могут смыкаться друг с другом и вызывать сквозное обеднение по вертикали. В качестве конкретного примера рассмотрим КМОП технологию с карманами n-типа,</w:t>
      </w:r>
      <w:r w:rsidR="0002049A">
        <w:t xml:space="preserve"> для которой исток р-канального</w:t>
      </w:r>
      <w:r w:rsidRPr="0090638F">
        <w:t xml:space="preserve"> МОП транзистора и карман электрически соединены с положительным полюсом источника питания. Подложка ИС находится при потенциале земли. Поэтому в области кармана эти две обедненные области распространяются навстречу друг другу. Падение потенциала на переходе исток – карман равно всего лишь к</w:t>
      </w:r>
      <w:r w:rsidR="006A52C6">
        <w:t xml:space="preserve">онтактной разности потенциалов </w:t>
      </w:r>
      <w:r w:rsidRPr="0090638F">
        <w:t xml:space="preserve">перехода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k</m:t>
            </m:r>
          </m:sub>
        </m:sSub>
      </m:oMath>
      <w:r w:rsidRPr="0090638F">
        <w:t xml:space="preserve">, тогда как на переход карман – подложка дополнительно действует </w:t>
      </w:r>
      <w:r w:rsidRPr="0090638F">
        <w:lastRenderedPageBreak/>
        <w:t xml:space="preserve">напряжение смещения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с</m:t>
            </m:r>
          </m:sub>
        </m:sSub>
      </m:oMath>
      <w:r w:rsidR="0002049A">
        <w:t>.</w:t>
      </w:r>
      <w:r w:rsidRPr="0090638F">
        <w:t xml:space="preserve"> Чтобы </w:t>
      </w:r>
      <w:r w:rsidR="0002049A">
        <w:t>избежать отбора больших токов</w:t>
      </w:r>
      <w:r w:rsidRPr="0090638F">
        <w:t xml:space="preserve"> из истоковой области, соответствующая нейтральная область (а следовательно, и глубина кармана </w:t>
      </w:r>
      <w:r w:rsidRPr="0090638F">
        <w:rPr>
          <w:i/>
        </w:rPr>
        <w:t>n</w:t>
      </w:r>
      <w:r w:rsidRPr="0090638F">
        <w:t xml:space="preserve">-типа) должна быть достаточных размеров, исключающих сквозное обеднение между истоком и подложкой. Однако эта глубина не должна быть и слишком большой, так как горизонтальная диффузия примеси </w:t>
      </w:r>
      <w:r w:rsidRPr="0090638F">
        <w:rPr>
          <w:i/>
        </w:rPr>
        <w:t>n</w:t>
      </w:r>
      <w:r w:rsidR="0002049A">
        <w:t>-типа на стадии</w:t>
      </w:r>
      <w:r w:rsidRPr="0090638F">
        <w:t xml:space="preserve"> разгонки примеси вызывает непроиз</w:t>
      </w:r>
      <w:r w:rsidR="0002049A">
        <w:t>водительное расходование ценной</w:t>
      </w:r>
      <w:r w:rsidRPr="0090638F">
        <w:t xml:space="preserve"> площади схемного кристалла ИС. Концентрацию примеси </w:t>
      </w:r>
      <w:r w:rsidRPr="0090638F">
        <w:rPr>
          <w:i/>
        </w:rPr>
        <w:t>n</w:t>
      </w:r>
      <w:r w:rsidRPr="0090638F">
        <w:t>-типа в кармане можно увеличить и тем самым уменьшить ширину обедненных областей и избежать сквозного обеднения, однако это приведет к уменьшению подвижности носителей в канале и увеличению паразитной емкости стока. Следствием станет снижение быстродействия при переключении схемы. Для оптимального проектирования конструкции и технологии изготовления КМОП-схемы необходимо тщательно подобрать и сбалансировать все эти факторы.</w:t>
      </w:r>
    </w:p>
    <w:p w:rsidR="00E83321" w:rsidRPr="00F33AEE" w:rsidRDefault="00E83321" w:rsidP="00E83321"/>
    <w:p w:rsidR="00E83321" w:rsidRPr="0090638F" w:rsidRDefault="00C70AF9" w:rsidP="00AC7364">
      <w:pPr>
        <w:pStyle w:val="2"/>
        <w:numPr>
          <w:ilvl w:val="0"/>
          <w:numId w:val="0"/>
        </w:numPr>
        <w:spacing w:after="240"/>
      </w:pPr>
      <w:bookmarkStart w:id="10" w:name="_Toc372119043"/>
      <w:bookmarkStart w:id="11" w:name="_Toc444779508"/>
      <w:bookmarkStart w:id="12" w:name="_Toc463483763"/>
      <w:r>
        <w:t>10.</w:t>
      </w:r>
      <w:r w:rsidR="00E83321">
        <w:t>3.</w:t>
      </w:r>
      <w:r w:rsidR="00876ED0" w:rsidRPr="00797A12">
        <w:t xml:space="preserve"> </w:t>
      </w:r>
      <w:r w:rsidR="00E83321" w:rsidRPr="0090638F">
        <w:t>Защелкивание КМОП структур</w:t>
      </w:r>
      <w:bookmarkEnd w:id="10"/>
      <w:bookmarkEnd w:id="11"/>
      <w:bookmarkEnd w:id="12"/>
    </w:p>
    <w:p w:rsidR="00E83321" w:rsidRPr="0090638F" w:rsidRDefault="00E83321" w:rsidP="00E83321">
      <w:r w:rsidRPr="0090638F">
        <w:t xml:space="preserve">Серьезная проблема проектирования КМОП схем заключается в том, чтобы избежать состояния, называемого </w:t>
      </w:r>
      <w:r w:rsidRPr="0090638F">
        <w:rPr>
          <w:i/>
        </w:rPr>
        <w:t>защелкиванием</w:t>
      </w:r>
      <w:r w:rsidRPr="0090638F">
        <w:t>. В этом состоянии в результате регенеративного срабатывания биполярных транзисторных структур между источником питания и землей схемы образуется фиксированная низкоомная проводящая цепь. Особенно важно избегать защелкивания в КМОП-структурах с малыми геометрическими размерами элементов, предназначенных для создания СБИС с высокой плотностью упаковки.</w:t>
      </w:r>
    </w:p>
    <w:p w:rsidR="00E83321" w:rsidRPr="0090638F" w:rsidRDefault="00E83321" w:rsidP="00E83321">
      <w:r w:rsidRPr="0090638F">
        <w:t xml:space="preserve">Чтобы объяснить суть явления защелкивания, рассмотрим КМОП структуру с карманами </w:t>
      </w:r>
      <w:r w:rsidRPr="0090638F">
        <w:rPr>
          <w:i/>
        </w:rPr>
        <w:t>р</w:t>
      </w:r>
      <w:r w:rsidR="0024783E">
        <w:t xml:space="preserve">-типа (рис. </w:t>
      </w:r>
      <w:r w:rsidR="00C2772B">
        <w:t>10.3</w:t>
      </w:r>
      <w:r w:rsidRPr="0090638F">
        <w:t>). На сечения отдельных МОП транзисторов этой</w:t>
      </w:r>
      <w:r w:rsidR="0024783E">
        <w:t xml:space="preserve"> структуры, показанные на рис. </w:t>
      </w:r>
      <w:r w:rsidR="00C2772B">
        <w:t>10.3</w:t>
      </w:r>
      <w:r w:rsidRPr="0090638F">
        <w:t xml:space="preserve">, наложены схемные изображения нежелательных, или паразитных, биполярных </w:t>
      </w:r>
      <w:r w:rsidRPr="0090638F">
        <w:rPr>
          <w:i/>
        </w:rPr>
        <w:t>n-p-n</w:t>
      </w:r>
      <w:r w:rsidRPr="0090638F">
        <w:t xml:space="preserve">  и  </w:t>
      </w:r>
      <w:r w:rsidRPr="0090638F">
        <w:rPr>
          <w:i/>
        </w:rPr>
        <w:t>p-n-p</w:t>
      </w:r>
      <w:r w:rsidRPr="0090638F">
        <w:t xml:space="preserve">-транзисторов. Эти транзисторы соединены друг с другом по перекрестной схеме, так что у них получается общий коллекторный переход. Из результирующей эквивалентной схемы биполярной структуры на рис. </w:t>
      </w:r>
      <w:r w:rsidR="0047118E">
        <w:fldChar w:fldCharType="begin"/>
      </w:r>
      <w:r w:rsidR="00811140">
        <w:instrText xml:space="preserve"> STYLEREF 1 \s </w:instrText>
      </w:r>
      <w:r w:rsidR="0047118E">
        <w:fldChar w:fldCharType="separate"/>
      </w:r>
      <w:r w:rsidR="00846E9B">
        <w:rPr>
          <w:noProof/>
        </w:rPr>
        <w:t>0</w:t>
      </w:r>
      <w:r w:rsidR="0047118E">
        <w:rPr>
          <w:noProof/>
        </w:rPr>
        <w:fldChar w:fldCharType="end"/>
      </w:r>
      <w:r w:rsidRPr="0090638F">
        <w:t>.</w:t>
      </w:r>
      <w:r w:rsidR="0047118E">
        <w:fldChar w:fldCharType="begin"/>
      </w:r>
      <w:r w:rsidR="00811140">
        <w:instrText xml:space="preserve"> SEQ Рисунок \* ARABIC \s 1 </w:instrText>
      </w:r>
      <w:r w:rsidR="0047118E">
        <w:fldChar w:fldCharType="separate"/>
      </w:r>
      <w:r w:rsidR="00846E9B">
        <w:rPr>
          <w:noProof/>
        </w:rPr>
        <w:t>2</w:t>
      </w:r>
      <w:r w:rsidR="0047118E">
        <w:rPr>
          <w:noProof/>
        </w:rPr>
        <w:fldChar w:fldCharType="end"/>
      </w:r>
      <w:r>
        <w:rPr>
          <w:noProof/>
        </w:rPr>
        <w:t xml:space="preserve"> </w:t>
      </w:r>
      <w:r w:rsidRPr="0090638F">
        <w:t xml:space="preserve">видно,  что в активном режиме смещения коллектор </w:t>
      </w:r>
      <w:r w:rsidRPr="0090638F">
        <w:rPr>
          <w:i/>
        </w:rPr>
        <w:t>p-n-p</w:t>
      </w:r>
      <w:r w:rsidRPr="0090638F">
        <w:t>-транзистора питает своим током базу</w:t>
      </w:r>
      <w:r w:rsidRPr="0090638F">
        <w:rPr>
          <w:i/>
        </w:rPr>
        <w:t xml:space="preserve"> n-p-n-</w:t>
      </w:r>
      <w:r w:rsidRPr="0090638F">
        <w:t>транзистора</w:t>
      </w:r>
      <w:r w:rsidRPr="0090638F">
        <w:rPr>
          <w:i/>
        </w:rPr>
        <w:t xml:space="preserve">, </w:t>
      </w:r>
      <w:r w:rsidRPr="0090638F">
        <w:t xml:space="preserve">а коллектор </w:t>
      </w:r>
      <w:r w:rsidRPr="0090638F">
        <w:rPr>
          <w:i/>
        </w:rPr>
        <w:t>n-p-n-</w:t>
      </w:r>
      <w:r w:rsidRPr="0090638F">
        <w:t xml:space="preserve">транзистора – базу  </w:t>
      </w:r>
      <w:r w:rsidRPr="0090638F">
        <w:rPr>
          <w:i/>
        </w:rPr>
        <w:t>p-n-p</w:t>
      </w:r>
      <w:r w:rsidRPr="0090638F">
        <w:t>-транзистора. Если эти биполярные транзисторы обладают хотя бы умеренными коэффициентами усиления по току, то в такой схеме включения оба они легко могут попасть в режим насыщения. В этом случае напряжение</w:t>
      </w:r>
    </w:p>
    <w:p w:rsidR="00E83321" w:rsidRPr="0090638F" w:rsidRDefault="00E83321" w:rsidP="00876ED0">
      <w:pPr>
        <w:jc w:val="center"/>
      </w:pPr>
      <w:r>
        <w:rPr>
          <w:noProof/>
        </w:rPr>
        <w:lastRenderedPageBreak/>
        <w:drawing>
          <wp:inline distT="0" distB="0" distL="0" distR="0">
            <wp:extent cx="5995035" cy="3251835"/>
            <wp:effectExtent l="0" t="0" r="0" b="0"/>
            <wp:docPr id="67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21" w:rsidRPr="0090638F" w:rsidRDefault="00E83321" w:rsidP="00E83321">
      <w:pPr>
        <w:pStyle w:val="ab"/>
      </w:pPr>
      <w:r w:rsidRPr="0090638F">
        <w:t xml:space="preserve">Рисунок </w:t>
      </w:r>
      <w:bookmarkStart w:id="13" w:name="_Ref361953261"/>
      <w:r w:rsidR="00C2772B">
        <w:t>1</w:t>
      </w:r>
      <w:r w:rsidR="0047118E" w:rsidRPr="0090638F">
        <w:fldChar w:fldCharType="begin"/>
      </w:r>
      <w:r w:rsidRPr="0090638F">
        <w:instrText xml:space="preserve"> STYLEREF 1 \s </w:instrText>
      </w:r>
      <w:r w:rsidR="0047118E" w:rsidRPr="0090638F">
        <w:fldChar w:fldCharType="separate"/>
      </w:r>
      <w:r w:rsidR="00846E9B">
        <w:rPr>
          <w:noProof/>
        </w:rPr>
        <w:t>0</w:t>
      </w:r>
      <w:r w:rsidR="0047118E" w:rsidRPr="0090638F">
        <w:fldChar w:fldCharType="end"/>
      </w:r>
      <w:r w:rsidRPr="0090638F">
        <w:t>.</w:t>
      </w:r>
      <w:bookmarkEnd w:id="13"/>
      <w:r>
        <w:t>3</w:t>
      </w:r>
      <w:r w:rsidRPr="0090638F">
        <w:t xml:space="preserve">– Сечение КМОП-инвертора с карманом </w:t>
      </w:r>
      <w:r w:rsidRPr="0090638F">
        <w:rPr>
          <w:i/>
        </w:rPr>
        <w:t>р</w:t>
      </w:r>
      <w:r w:rsidRPr="0090638F">
        <w:t>-типа.</w:t>
      </w:r>
    </w:p>
    <w:p w:rsidR="00E83321" w:rsidRPr="0090638F" w:rsidRDefault="00E83321" w:rsidP="00E83321">
      <w:r w:rsidRPr="0090638F">
        <w:t xml:space="preserve">Паразитные биполярные </w:t>
      </w:r>
      <w:r w:rsidRPr="0090638F">
        <w:rPr>
          <w:i/>
        </w:rPr>
        <w:t>p-n-p</w:t>
      </w:r>
      <w:r w:rsidRPr="0090638F">
        <w:t xml:space="preserve">- и </w:t>
      </w:r>
      <w:r w:rsidRPr="0090638F">
        <w:rPr>
          <w:i/>
        </w:rPr>
        <w:t>n-p-n</w:t>
      </w:r>
      <w:r w:rsidRPr="0090638F">
        <w:t>-транзисторы показаны на рисунке вместе с соответствую</w:t>
      </w:r>
      <w:r w:rsidR="0002049A">
        <w:t xml:space="preserve">щими им подложечным резистором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 w:rsidRPr="0090638F">
        <w:t xml:space="preserve"> и резистором кармана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Pr="0090638F">
        <w:t xml:space="preserve">. </w:t>
      </w:r>
    </w:p>
    <w:p w:rsidR="00E83321" w:rsidRPr="0090638F" w:rsidRDefault="00E83321" w:rsidP="00E83321">
      <w:r w:rsidRPr="0090638F">
        <w:t>В нормальных режимах работы КМОП-схем эмиттерные переходы обоих биполярных транзисторов смещены в обратном направлении, так что защелкивание КМОП-структур при этом невозможно. Для удачно спроектированной схемы может оказаться, что защелкивание невозможно ни в одном из возможных режимов ее работы. Чтобы понять, как в схеме может произойти защелкивание, обратимся к рис.</w:t>
      </w:r>
      <w:r w:rsidR="00C2772B">
        <w:t>10.4</w:t>
      </w:r>
      <w:r w:rsidRPr="0090638F">
        <w:t>, где воспроизведена пара биполярных транзисторов с перекрестными связями, а параллельно их коллекторным переходам подключены еще два схемных элемента – конденсатор (карман-подложка)</w:t>
      </w:r>
      <w:r w:rsidR="0002049A">
        <w:t xml:space="preserve"> </w:t>
      </w:r>
      <w:r w:rsidRPr="006A52C6">
        <w:rPr>
          <w:i/>
        </w:rPr>
        <w:t>С</w:t>
      </w:r>
      <w:r w:rsidRPr="006A52C6">
        <w:rPr>
          <w:i/>
          <w:vertAlign w:val="subscript"/>
        </w:rPr>
        <w:t>кп</w:t>
      </w:r>
      <w:r w:rsidRPr="0090638F">
        <w:t xml:space="preserve"> и источник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Pr="0090638F">
        <w:t xml:space="preserve"> .  Емкость конденсатора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vertAlign w:val="subscript"/>
              </w:rPr>
              <m:t>кп</m:t>
            </m:r>
          </m:sub>
        </m:sSub>
      </m:oMath>
      <w:r w:rsidRPr="0090638F">
        <w:t xml:space="preserve"> значительно больше емкостей типовых коллекторных переходов транзисторов, так как этот конденсатор соответствует емкости перехода большой площади между карманом </w:t>
      </w:r>
      <w:r w:rsidRPr="0090638F">
        <w:rPr>
          <w:i/>
        </w:rPr>
        <w:t>р</w:t>
      </w:r>
      <w:r w:rsidR="0002049A">
        <w:t>-типа и подложкой ИС. В обычном режиме</w:t>
      </w:r>
      <w:r w:rsidRPr="0090638F">
        <w:t xml:space="preserve"> источник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="0002049A">
        <w:t xml:space="preserve"> </w:t>
      </w:r>
      <w:r w:rsidRPr="0090638F">
        <w:t xml:space="preserve">моделирует только утечку перехода, поэтому его ток очень мал. Однако существует несколько механизмов, способных значительно увеличить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Pr="0090638F">
        <w:t xml:space="preserve">.  </w:t>
      </w:r>
      <w:r w:rsidRPr="0090638F">
        <w:tab/>
      </w:r>
    </w:p>
    <w:p w:rsidR="00E83321" w:rsidRPr="0090638F" w:rsidRDefault="00E83321" w:rsidP="00E83321">
      <w:pPr>
        <w:jc w:val="center"/>
      </w:pPr>
      <w:r>
        <w:rPr>
          <w:noProof/>
        </w:rPr>
        <w:lastRenderedPageBreak/>
        <w:drawing>
          <wp:inline distT="0" distB="0" distL="0" distR="0">
            <wp:extent cx="4699000" cy="4763135"/>
            <wp:effectExtent l="0" t="0" r="0" b="0"/>
            <wp:docPr id="674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21" w:rsidRPr="0090638F" w:rsidRDefault="00E83321" w:rsidP="00E83321">
      <w:pPr>
        <w:pStyle w:val="ab"/>
      </w:pPr>
      <w:r w:rsidRPr="0090638F">
        <w:rPr>
          <w:szCs w:val="24"/>
        </w:rPr>
        <w:t xml:space="preserve">Рисунок </w:t>
      </w:r>
      <w:bookmarkStart w:id="14" w:name="_Ref361953542"/>
      <w:r w:rsidR="00C2772B">
        <w:rPr>
          <w:szCs w:val="24"/>
        </w:rPr>
        <w:t>1</w:t>
      </w:r>
      <w:r w:rsidR="0047118E" w:rsidRPr="0090638F">
        <w:rPr>
          <w:szCs w:val="24"/>
        </w:rPr>
        <w:fldChar w:fldCharType="begin"/>
      </w:r>
      <w:r w:rsidRPr="0090638F">
        <w:rPr>
          <w:szCs w:val="24"/>
        </w:rPr>
        <w:instrText xml:space="preserve"> STYLEREF 1 \s </w:instrText>
      </w:r>
      <w:r w:rsidR="0047118E" w:rsidRPr="0090638F">
        <w:rPr>
          <w:szCs w:val="24"/>
        </w:rPr>
        <w:fldChar w:fldCharType="separate"/>
      </w:r>
      <w:r w:rsidR="00846E9B">
        <w:rPr>
          <w:noProof/>
          <w:szCs w:val="24"/>
        </w:rPr>
        <w:t>0</w:t>
      </w:r>
      <w:r w:rsidR="0047118E" w:rsidRPr="0090638F">
        <w:rPr>
          <w:szCs w:val="24"/>
        </w:rPr>
        <w:fldChar w:fldCharType="end"/>
      </w:r>
      <w:r w:rsidRPr="0090638F">
        <w:rPr>
          <w:szCs w:val="24"/>
        </w:rPr>
        <w:t>.</w:t>
      </w:r>
      <w:bookmarkEnd w:id="14"/>
      <w:r>
        <w:rPr>
          <w:szCs w:val="24"/>
        </w:rPr>
        <w:t>4</w:t>
      </w:r>
      <w:r w:rsidR="0024783E" w:rsidRPr="0024783E">
        <w:rPr>
          <w:szCs w:val="24"/>
        </w:rPr>
        <w:t xml:space="preserve"> </w:t>
      </w:r>
      <w:r w:rsidRPr="0090638F">
        <w:t>- Эквивалентная схема, моделирующая эффект защелкивания в КМОП-структуре</w:t>
      </w:r>
    </w:p>
    <w:p w:rsidR="00E83321" w:rsidRPr="0090638F" w:rsidRDefault="00E83321" w:rsidP="00E83321">
      <w:r w:rsidRPr="0090638F">
        <w:t xml:space="preserve">В число возможных источников дополнительного тока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vertAlign w:val="subscript"/>
              </w:rPr>
              <m:t>кп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</m:oMath>
      <w:r w:rsidRPr="0090638F">
        <w:t xml:space="preserve"> входят:</w:t>
      </w:r>
    </w:p>
    <w:p w:rsidR="00E83321" w:rsidRPr="0090638F" w:rsidRDefault="00E83321" w:rsidP="00E83321">
      <w:r>
        <w:t>-о</w:t>
      </w:r>
      <w:r w:rsidR="0002049A">
        <w:t>блучение областей рентген</w:t>
      </w:r>
      <w:r w:rsidRPr="0090638F">
        <w:t>овским или гамма-излучением (энергия α-излучения недостаточна для включения тиристора)</w:t>
      </w:r>
    </w:p>
    <w:p w:rsidR="00E83321" w:rsidRPr="0090638F" w:rsidRDefault="00E83321" w:rsidP="00E83321">
      <w:r>
        <w:t>-и</w:t>
      </w:r>
      <w:r w:rsidRPr="0090638F">
        <w:t xml:space="preserve">нжекция неосновных носителей. Если в процессе работы БИС через эквивалентные сопротивления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П</m:t>
            </m:r>
          </m:sub>
        </m:sSub>
      </m:oMath>
      <w:r w:rsidRPr="002478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К</m:t>
            </m:r>
          </m:sub>
        </m:sSub>
      </m:oMath>
      <w:r w:rsidRPr="0090638F">
        <w:rPr>
          <w:vertAlign w:val="subscript"/>
        </w:rPr>
        <w:t xml:space="preserve"> </w:t>
      </w:r>
      <w:r w:rsidRPr="0090638F">
        <w:t xml:space="preserve">протекает значительный ток, приводящий к вхождению одного из биполярных транзисторов тиристорной пары в режим насыщения, то какой-нибудь из эмиттеров начинает инжектировать носители, и тиристор включается. Аналогичный результат может иметь место и при включении питания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С</m:t>
            </m:r>
          </m:sub>
        </m:sSub>
      </m:oMath>
      <w:r w:rsidRPr="0090638F">
        <w:t xml:space="preserve"> (в случае</w:t>
      </w:r>
      <w:r w:rsidR="0002049A">
        <w:t xml:space="preserve"> </w:t>
      </w:r>
      <w:r w:rsidRPr="0090638F">
        <w:t xml:space="preserve">высокой скорости нарастания напряжения) из-за влияния тока заряда емкости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Н</m:t>
            </m:r>
          </m:sub>
        </m:sSub>
      </m:oMath>
      <w:r w:rsidRPr="0090638F">
        <w:t xml:space="preserve">, а также при пиковых увеличениях (“бросках”)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С</m:t>
            </m:r>
          </m:sub>
        </m:sSub>
      </m:oMath>
      <w:r w:rsidRPr="0090638F">
        <w:t xml:space="preserve">. </w:t>
      </w:r>
    </w:p>
    <w:p w:rsidR="00E83321" w:rsidRPr="0090638F" w:rsidRDefault="00E83321" w:rsidP="00E83321">
      <w:r w:rsidRPr="0090638F">
        <w:t xml:space="preserve">Инжекция из стоковых областей (управляющих электродов транзистора) в базовые области биполярных транзисторов. Этот эффект возможен при кратковременных пиковых превышениях выходного напряжения КМОП-схемы на 0,7В больше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С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</m:oMath>
      <w:r w:rsidRPr="0090638F">
        <w:t>или на 0,7</w:t>
      </w:r>
      <w:r w:rsidR="006A52C6" w:rsidRPr="006A52C6">
        <w:t xml:space="preserve"> </w:t>
      </w:r>
      <w:r w:rsidRPr="0090638F">
        <w:t>В н</w:t>
      </w:r>
      <w:r w:rsidR="0002049A">
        <w:t>и</w:t>
      </w:r>
      <w:r w:rsidRPr="0090638F">
        <w:t xml:space="preserve">же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И</m:t>
            </m:r>
          </m:sub>
        </m:sSub>
      </m:oMath>
      <w:r w:rsidRPr="0090638F">
        <w:t>. Подобные броски выходных напряжений могут быть обусловлены как внешними импульсными помеха</w:t>
      </w:r>
      <w:r w:rsidR="0002049A">
        <w:t>ми, так и паразитным влиянием ем</w:t>
      </w:r>
      <w:r w:rsidRPr="0090638F">
        <w:t>кости сток – затвор МОП-транзисторов быстродействующих базовых КМОП-схем.</w:t>
      </w:r>
    </w:p>
    <w:p w:rsidR="00E83321" w:rsidRPr="0090638F" w:rsidRDefault="0002049A" w:rsidP="00E83321">
      <w:r>
        <w:lastRenderedPageBreak/>
        <w:t xml:space="preserve">Любой из </w:t>
      </w:r>
      <w:r w:rsidR="00E83321" w:rsidRPr="0090638F">
        <w:t xml:space="preserve">этих источников тока может привести к включению одного или обоих биполярных транзисторов. Следовательно, защелкивание будет происходить, если пара биполярных транзисторов с перекрестными связями имеет </w:t>
      </w:r>
      <w:r>
        <w:t xml:space="preserve">достаточно высокое усиление, а </w:t>
      </w:r>
      <w:r w:rsidR="00E83321" w:rsidRPr="0090638F">
        <w:t xml:space="preserve">источник питания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E83321" w:rsidRPr="0090638F">
        <w:t>может отдавать достаточно большой ток.</w:t>
      </w:r>
    </w:p>
    <w:p w:rsidR="00E83321" w:rsidRPr="0090638F" w:rsidRDefault="00E83321" w:rsidP="00E83321">
      <w:r w:rsidRPr="0090638F">
        <w:t>В настоящее время для создания карманов МОПТ разного типа проводимости используют фосфор и бор, с помощью которых формируют карманы на эпитаксиальных n</w:t>
      </w:r>
      <w:r w:rsidRPr="0090638F">
        <w:rPr>
          <w:vertAlign w:val="superscript"/>
        </w:rPr>
        <w:t>-</w:t>
      </w:r>
      <w:r w:rsidRPr="0090638F">
        <w:t>–пленке (рис.</w:t>
      </w:r>
      <w:r w:rsidR="00C2772B">
        <w:t xml:space="preserve"> 10.5</w:t>
      </w:r>
      <w:r w:rsidRPr="0090638F">
        <w:t>), стенки которых окисляют, а внутренность заполняют поликремнием. Эта технология стала доминирующей в транзисторах, выполненных по 0,2</w:t>
      </w:r>
      <w:r w:rsidR="007646D5">
        <w:t>9</w:t>
      </w:r>
      <w:r w:rsidRPr="0090638F">
        <w:t xml:space="preserve"> микронной технологии и пришла на смену изоляции локальным окислением кремния (LOCOS). Это позволило минимизировать перекомпенсацию примеси в кармане и практически устранить эффект защелкивания.</w:t>
      </w:r>
    </w:p>
    <w:p w:rsidR="00E83321" w:rsidRPr="0090638F" w:rsidRDefault="00E83321" w:rsidP="00E83321">
      <w:r>
        <w:rPr>
          <w:noProof/>
        </w:rPr>
        <w:drawing>
          <wp:inline distT="0" distB="0" distL="0" distR="0">
            <wp:extent cx="5589905" cy="2488565"/>
            <wp:effectExtent l="0" t="0" r="0" b="0"/>
            <wp:docPr id="675" name="Рисунок 675" descr="p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pa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21" w:rsidRPr="0090638F" w:rsidRDefault="00E83321" w:rsidP="00E83321">
      <w:pPr>
        <w:pStyle w:val="ab"/>
      </w:pPr>
      <w:r w:rsidRPr="0090638F">
        <w:rPr>
          <w:szCs w:val="24"/>
        </w:rPr>
        <w:t xml:space="preserve">Рисунок </w:t>
      </w:r>
      <w:bookmarkStart w:id="15" w:name="_Ref368314339"/>
      <w:r w:rsidR="00C2772B">
        <w:rPr>
          <w:szCs w:val="24"/>
        </w:rPr>
        <w:t>1</w:t>
      </w:r>
      <w:r w:rsidR="0047118E" w:rsidRPr="0090638F">
        <w:rPr>
          <w:szCs w:val="24"/>
        </w:rPr>
        <w:fldChar w:fldCharType="begin"/>
      </w:r>
      <w:r w:rsidRPr="0090638F">
        <w:rPr>
          <w:szCs w:val="24"/>
        </w:rPr>
        <w:instrText xml:space="preserve"> STYLEREF 1 \s </w:instrText>
      </w:r>
      <w:r w:rsidR="0047118E" w:rsidRPr="0090638F">
        <w:rPr>
          <w:szCs w:val="24"/>
        </w:rPr>
        <w:fldChar w:fldCharType="separate"/>
      </w:r>
      <w:r w:rsidR="00846E9B">
        <w:rPr>
          <w:noProof/>
          <w:szCs w:val="24"/>
        </w:rPr>
        <w:t>0</w:t>
      </w:r>
      <w:r w:rsidR="0047118E" w:rsidRPr="0090638F">
        <w:rPr>
          <w:szCs w:val="24"/>
        </w:rPr>
        <w:fldChar w:fldCharType="end"/>
      </w:r>
      <w:r w:rsidRPr="0090638F">
        <w:rPr>
          <w:szCs w:val="24"/>
        </w:rPr>
        <w:t>.</w:t>
      </w:r>
      <w:bookmarkEnd w:id="15"/>
      <w:r w:rsidR="00C2772B">
        <w:rPr>
          <w:szCs w:val="24"/>
        </w:rPr>
        <w:t>5</w:t>
      </w:r>
      <w:r w:rsidRPr="0090638F">
        <w:t>– Комплементарная пара транзисторов использованная в 0,2</w:t>
      </w:r>
      <w:r w:rsidR="007646D5">
        <w:t>9</w:t>
      </w:r>
      <w:r w:rsidRPr="0090638F">
        <w:t>-мкм технологическом процессе.</w:t>
      </w:r>
    </w:p>
    <w:p w:rsidR="00E83321" w:rsidRPr="0090638F" w:rsidRDefault="00E83321" w:rsidP="00E83321">
      <w:r w:rsidRPr="0090638F">
        <w:t xml:space="preserve">В заключение отметим, что структуры ПТШ без электрода стока или с объединенными электродами стока и истока используются в качестве планарных диодов Шоттки. В последнем случае за счет снижения сопротивления базы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14840" w:rsidRPr="00214840">
        <w:t xml:space="preserve"> </w:t>
      </w:r>
      <w:r w:rsidRPr="0090638F">
        <w:t xml:space="preserve">достигается минимальное значение постоянной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Б</m:t>
            </m:r>
          </m:sub>
        </m:sSub>
        <m:r>
          <w:rPr>
            <w:rFonts w:ascii="Cambria Math" w:hAnsi="Cambria Math"/>
          </w:rPr>
          <m:t>С</m:t>
        </m:r>
      </m:oMath>
      <w:r w:rsidRPr="0090638F">
        <w:t>, которая может составлять менее одной пикосекунды.</w:t>
      </w:r>
    </w:p>
    <w:p w:rsidR="00E83321" w:rsidRPr="0090638F" w:rsidRDefault="00C70AF9" w:rsidP="00AC7364">
      <w:pPr>
        <w:pStyle w:val="2"/>
        <w:numPr>
          <w:ilvl w:val="0"/>
          <w:numId w:val="0"/>
        </w:numPr>
      </w:pPr>
      <w:bookmarkStart w:id="16" w:name="_Toc372119044"/>
      <w:bookmarkStart w:id="17" w:name="_Toc444779509"/>
      <w:bookmarkStart w:id="18" w:name="_Toc463483764"/>
      <w:r>
        <w:t>10.</w:t>
      </w:r>
      <w:r w:rsidR="00E83321">
        <w:t xml:space="preserve">4 </w:t>
      </w:r>
      <w:r w:rsidR="009B5188">
        <w:t>П</w:t>
      </w:r>
      <w:r w:rsidR="009B5188" w:rsidRPr="0090638F">
        <w:t xml:space="preserve">отеря мощности в </w:t>
      </w:r>
      <w:r w:rsidR="00E83321" w:rsidRPr="0090638F">
        <w:t>КМОП БИС</w:t>
      </w:r>
      <w:bookmarkEnd w:id="16"/>
      <w:bookmarkEnd w:id="17"/>
      <w:bookmarkEnd w:id="18"/>
    </w:p>
    <w:p w:rsidR="00E83321" w:rsidRPr="0090638F" w:rsidRDefault="00E83321" w:rsidP="00E83321">
      <w:r w:rsidRPr="0090638F">
        <w:t>Фундаментальной проблемой при увеличении степени интеграции в КМОП БИС является проблема тепловыделения.</w:t>
      </w:r>
      <w:r w:rsidR="001F4514">
        <w:t xml:space="preserve"> </w:t>
      </w:r>
      <w:r w:rsidRPr="0090638F">
        <w:t>Рассеиваемую мощность КМОП схем можно разделить на два вида – динамическую и статическую. Классификация источников рассеиваемой мощности представлена на рис.</w:t>
      </w:r>
      <w:r w:rsidR="00C2772B">
        <w:t>1</w:t>
      </w:r>
      <w:fldSimple w:instr=" REF _Ref361953772 \h  \* MERGEFORMAT ">
        <w:r w:rsidR="00846E9B">
          <w:rPr>
            <w:noProof/>
          </w:rPr>
          <w:t>10</w:t>
        </w:r>
        <w:r w:rsidR="00846E9B" w:rsidRPr="0090638F">
          <w:t>.</w:t>
        </w:r>
        <w:r w:rsidR="00846E9B">
          <w:t>6</w:t>
        </w:r>
      </w:fldSimple>
      <w:r w:rsidRPr="0090638F">
        <w:t>.</w:t>
      </w:r>
    </w:p>
    <w:p w:rsidR="00E83321" w:rsidRPr="0090638F" w:rsidRDefault="00E83321" w:rsidP="00E83321">
      <w:pPr>
        <w:jc w:val="center"/>
      </w:pPr>
      <w:r>
        <w:rPr>
          <w:noProof/>
        </w:rPr>
        <w:lastRenderedPageBreak/>
        <w:drawing>
          <wp:inline distT="0" distB="0" distL="0" distR="0">
            <wp:extent cx="5542280" cy="2600325"/>
            <wp:effectExtent l="0" t="0" r="0" b="0"/>
            <wp:docPr id="676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21" w:rsidRPr="0090638F" w:rsidRDefault="00E83321" w:rsidP="00E83321">
      <w:pPr>
        <w:pStyle w:val="ab"/>
      </w:pPr>
      <w:r w:rsidRPr="0090638F">
        <w:t xml:space="preserve">Рисунок </w:t>
      </w:r>
      <w:bookmarkStart w:id="19" w:name="_Ref361953772"/>
      <w:r w:rsidR="00C2772B">
        <w:t>1</w:t>
      </w:r>
      <w:r w:rsidR="0047118E" w:rsidRPr="0090638F">
        <w:fldChar w:fldCharType="begin"/>
      </w:r>
      <w:r w:rsidRPr="0090638F">
        <w:instrText xml:space="preserve"> STYLEREF 1 \s </w:instrText>
      </w:r>
      <w:r w:rsidR="0047118E" w:rsidRPr="0090638F">
        <w:fldChar w:fldCharType="separate"/>
      </w:r>
      <w:r w:rsidR="00846E9B">
        <w:rPr>
          <w:noProof/>
        </w:rPr>
        <w:t>0</w:t>
      </w:r>
      <w:r w:rsidR="0047118E" w:rsidRPr="0090638F">
        <w:fldChar w:fldCharType="end"/>
      </w:r>
      <w:r w:rsidRPr="0090638F">
        <w:t>.</w:t>
      </w:r>
      <w:r>
        <w:t>6</w:t>
      </w:r>
      <w:bookmarkEnd w:id="19"/>
      <w:r>
        <w:t xml:space="preserve"> </w:t>
      </w:r>
      <w:r w:rsidRPr="0090638F">
        <w:t>- Источники рассеиваемой мощности КМОП схем</w:t>
      </w:r>
    </w:p>
    <w:p w:rsidR="00E83321" w:rsidRPr="0090638F" w:rsidRDefault="00E83321" w:rsidP="00E83321">
      <w:r w:rsidRPr="0090638F">
        <w:t>По мере уменьшения проектно–технологической нормы изготовления КМОП схем соотношения между этими мощностями в общем объеме рассеиваемой мощности меняется (рис.</w:t>
      </w:r>
      <w:r w:rsidR="00C2772B">
        <w:t>1</w:t>
      </w:r>
      <w:fldSimple w:instr=" REF _Ref361953691 \h  \* MERGEFORMAT ">
        <w:r w:rsidR="00846E9B">
          <w:rPr>
            <w:noProof/>
          </w:rPr>
          <w:t>10</w:t>
        </w:r>
        <w:r w:rsidR="00846E9B" w:rsidRPr="0090638F">
          <w:rPr>
            <w:noProof/>
          </w:rPr>
          <w:t>.</w:t>
        </w:r>
      </w:fldSimple>
      <w:r w:rsidR="00C2772B">
        <w:t>7</w:t>
      </w:r>
      <w:r w:rsidRPr="0090638F">
        <w:t>).</w:t>
      </w:r>
      <w:r w:rsidR="00CB2DF0" w:rsidRPr="00C2772B">
        <w:t xml:space="preserve"> </w:t>
      </w:r>
      <w:r w:rsidRPr="0090638F">
        <w:t>Рассмотрим эти источники более подробно.</w:t>
      </w:r>
    </w:p>
    <w:p w:rsidR="00E83321" w:rsidRPr="0090638F" w:rsidRDefault="00E83321" w:rsidP="00E83321">
      <w:pPr>
        <w:jc w:val="center"/>
      </w:pPr>
      <w:r>
        <w:rPr>
          <w:noProof/>
        </w:rPr>
        <w:drawing>
          <wp:inline distT="0" distB="0" distL="0" distR="0">
            <wp:extent cx="3188335" cy="3244215"/>
            <wp:effectExtent l="0" t="0" r="0" b="0"/>
            <wp:docPr id="677" name="Рисунок 375" descr="рис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5" descr="рис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21" w:rsidRPr="0090638F" w:rsidRDefault="00E83321" w:rsidP="00E83321">
      <w:pPr>
        <w:pStyle w:val="ab"/>
      </w:pPr>
      <w:r w:rsidRPr="0090638F">
        <w:t xml:space="preserve">Рисунок </w:t>
      </w:r>
      <w:bookmarkStart w:id="20" w:name="_Ref361953691"/>
      <w:r w:rsidR="00C2772B">
        <w:t>1</w:t>
      </w:r>
      <w:r w:rsidR="0047118E" w:rsidRPr="0090638F">
        <w:fldChar w:fldCharType="begin"/>
      </w:r>
      <w:r w:rsidRPr="0090638F">
        <w:instrText xml:space="preserve"> STYLEREF 1 \s </w:instrText>
      </w:r>
      <w:r w:rsidR="0047118E" w:rsidRPr="0090638F">
        <w:fldChar w:fldCharType="separate"/>
      </w:r>
      <w:r w:rsidR="00846E9B">
        <w:rPr>
          <w:noProof/>
        </w:rPr>
        <w:t>0</w:t>
      </w:r>
      <w:r w:rsidR="0047118E" w:rsidRPr="0090638F">
        <w:fldChar w:fldCharType="end"/>
      </w:r>
      <w:r w:rsidRPr="0090638F">
        <w:t>.</w:t>
      </w:r>
      <w:bookmarkEnd w:id="20"/>
      <w:r>
        <w:t>7</w:t>
      </w:r>
      <w:r w:rsidRPr="0090638F">
        <w:t>– Соотношение типов мощностей, рассеиваемых в КМОП схемах.</w:t>
      </w:r>
    </w:p>
    <w:p w:rsidR="00E83321" w:rsidRPr="0067096D" w:rsidRDefault="00C70AF9" w:rsidP="00AC7364">
      <w:pPr>
        <w:pStyle w:val="3"/>
        <w:numPr>
          <w:ilvl w:val="0"/>
          <w:numId w:val="0"/>
        </w:numPr>
        <w:rPr>
          <w:b/>
        </w:rPr>
      </w:pPr>
      <w:bookmarkStart w:id="21" w:name="_Toc372119045"/>
      <w:bookmarkStart w:id="22" w:name="_Toc444779510"/>
      <w:bookmarkStart w:id="23" w:name="_Toc463483765"/>
      <w:r>
        <w:t>10.</w:t>
      </w:r>
      <w:r w:rsidR="00E83321" w:rsidRPr="0067096D">
        <w:t>4.1.</w:t>
      </w:r>
      <w:r w:rsidR="001F4514" w:rsidRPr="0067096D">
        <w:t xml:space="preserve"> </w:t>
      </w:r>
      <w:r w:rsidR="00E83321" w:rsidRPr="0067096D">
        <w:t>Статическая рассеиваемая мощность.</w:t>
      </w:r>
      <w:bookmarkEnd w:id="21"/>
      <w:bookmarkEnd w:id="22"/>
      <w:bookmarkEnd w:id="23"/>
    </w:p>
    <w:p w:rsidR="00E83321" w:rsidRPr="0090638F" w:rsidRDefault="00E83321" w:rsidP="00E83321">
      <w:r w:rsidRPr="0090638F">
        <w:t xml:space="preserve">Статическая мощность в КМОП БИС рассеивается тогда, когда логический элемент находится в некотором фиксированном состоянии («0» или «1»), и ее величина определяется значением токов утечек канала МОП транзистора, обратных токов </w:t>
      </w:r>
      <w:r w:rsidR="00CB2DF0">
        <w:rPr>
          <w:i/>
        </w:rPr>
        <w:t>p</w:t>
      </w:r>
      <w:r w:rsidR="00CB2DF0" w:rsidRPr="00CB2DF0">
        <w:rPr>
          <w:i/>
        </w:rPr>
        <w:t>-</w:t>
      </w:r>
      <w:r w:rsidRPr="0090638F">
        <w:rPr>
          <w:i/>
        </w:rPr>
        <w:t>n</w:t>
      </w:r>
      <w:r w:rsidRPr="0090638F">
        <w:t>-переходов и нагрузочными токами.</w:t>
      </w:r>
    </w:p>
    <w:p w:rsidR="00E83321" w:rsidRPr="0090638F" w:rsidRDefault="00E83321" w:rsidP="00E83321">
      <w:r w:rsidRPr="0090638F">
        <w:t xml:space="preserve">К статическому </w:t>
      </w:r>
      <w:r w:rsidR="001F4514" w:rsidRPr="0090638F">
        <w:t>энергопотреблению</w:t>
      </w:r>
      <w:r w:rsidRPr="0090638F">
        <w:t xml:space="preserve"> относятся: подпороговые токи утечки из истока в сток за счет надбарьерного активационного переноса носителей между стоком и истоком; туннельные токи утечки через </w:t>
      </w:r>
      <w:r w:rsidRPr="0090638F">
        <w:lastRenderedPageBreak/>
        <w:t xml:space="preserve">ультратонкий (~ 1 нм) подзатворный окисел; межзонные туннельные токи утечки через </w:t>
      </w:r>
      <w:r w:rsidR="00CB2DF0">
        <w:rPr>
          <w:i/>
        </w:rPr>
        <w:t>p</w:t>
      </w:r>
      <w:r w:rsidR="00CB2DF0" w:rsidRPr="00CB2DF0">
        <w:rPr>
          <w:i/>
        </w:rPr>
        <w:t>-</w:t>
      </w:r>
      <w:r w:rsidRPr="0090638F">
        <w:rPr>
          <w:i/>
        </w:rPr>
        <w:t>n</w:t>
      </w:r>
      <w:r w:rsidRPr="0090638F">
        <w:t>-переход стока в подложку.</w:t>
      </w:r>
    </w:p>
    <w:p w:rsidR="00E83321" w:rsidRPr="0090638F" w:rsidRDefault="00E83321" w:rsidP="00E83321">
      <w:r w:rsidRPr="0090638F">
        <w:t>Наиболее важными механизмами токов утечек в современных транзисторах являются:</w:t>
      </w:r>
    </w:p>
    <w:p w:rsidR="00E83321" w:rsidRPr="0090638F" w:rsidRDefault="00E83321" w:rsidP="00E83321">
      <w:r w:rsidRPr="0090638F">
        <w:rPr>
          <w:i/>
        </w:rPr>
        <w:t>–</w:t>
      </w:r>
      <w:r w:rsidRPr="0090638F">
        <w:t xml:space="preserve">ток </w:t>
      </w:r>
      <w:r w:rsidR="00502989">
        <w:t>обратно</w:t>
      </w:r>
      <w:r w:rsidR="00502989" w:rsidRPr="0090638F">
        <w:t>смещенного</w:t>
      </w:r>
      <w:r w:rsidRPr="0090638F">
        <w:t xml:space="preserve"> </w:t>
      </w:r>
      <w:r w:rsidRPr="0090638F">
        <w:rPr>
          <w:i/>
        </w:rPr>
        <w:t>p</w:t>
      </w:r>
      <w:r w:rsidR="00CB2DF0" w:rsidRPr="00CB2DF0">
        <w:rPr>
          <w:i/>
        </w:rPr>
        <w:t>-</w:t>
      </w:r>
      <w:r w:rsidRPr="0090638F">
        <w:rPr>
          <w:i/>
        </w:rPr>
        <w:t>n</w:t>
      </w:r>
      <w:r w:rsidRPr="0090638F">
        <w:t xml:space="preserve">-перехода стока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</m:t>
            </m:r>
          </m:sub>
        </m:sSub>
      </m:oMath>
      <w:r w:rsidRPr="0090638F">
        <w:rPr>
          <w:sz w:val="32"/>
          <w:szCs w:val="32"/>
        </w:rPr>
        <w:t>,</w:t>
      </w:r>
    </w:p>
    <w:p w:rsidR="00E83321" w:rsidRPr="0090638F" w:rsidRDefault="00E83321" w:rsidP="00E83321">
      <w:r w:rsidRPr="0090638F">
        <w:rPr>
          <w:i/>
        </w:rPr>
        <w:t>–</w:t>
      </w:r>
      <w:r w:rsidRPr="0090638F">
        <w:t xml:space="preserve">подпороговый ток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2</m:t>
            </m:r>
          </m:sub>
        </m:sSub>
      </m:oMath>
      <w:r w:rsidRPr="0090638F">
        <w:rPr>
          <w:sz w:val="32"/>
          <w:szCs w:val="32"/>
        </w:rPr>
        <w:t>,</w:t>
      </w:r>
    </w:p>
    <w:p w:rsidR="00E83321" w:rsidRPr="0090638F" w:rsidRDefault="00E83321" w:rsidP="00E83321">
      <w:r w:rsidRPr="0090638F">
        <w:rPr>
          <w:i/>
        </w:rPr>
        <w:t>–</w:t>
      </w:r>
      <w:r w:rsidRPr="0090638F">
        <w:t xml:space="preserve">туннельный ток из затвора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3</m:t>
            </m:r>
          </m:sub>
        </m:sSub>
      </m:oMath>
      <w:r w:rsidRPr="0090638F">
        <w:rPr>
          <w:sz w:val="32"/>
          <w:szCs w:val="32"/>
        </w:rPr>
        <w:t>,</w:t>
      </w:r>
    </w:p>
    <w:p w:rsidR="00E83321" w:rsidRPr="0090638F" w:rsidRDefault="00E83321" w:rsidP="00E83321">
      <w:r w:rsidRPr="0090638F">
        <w:rPr>
          <w:i/>
        </w:rPr>
        <w:t>–</w:t>
      </w:r>
      <w:r w:rsidRPr="0090638F">
        <w:t xml:space="preserve">ток затвора из-за инжекции горячих носителей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4</m:t>
            </m:r>
          </m:sub>
        </m:sSub>
      </m:oMath>
      <w:r w:rsidRPr="0090638F">
        <w:t>,</w:t>
      </w:r>
    </w:p>
    <w:p w:rsidR="00E83321" w:rsidRPr="0090638F" w:rsidRDefault="00E83321" w:rsidP="00E83321">
      <w:r w:rsidRPr="0090638F">
        <w:rPr>
          <w:i/>
        </w:rPr>
        <w:t>–</w:t>
      </w:r>
      <w:r w:rsidRPr="0090638F">
        <w:t>ток утечки стока, индуцированный затвором</w:t>
      </w:r>
      <w:r w:rsidRPr="0090638F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9</m:t>
            </m:r>
          </m:sub>
        </m:sSub>
      </m:oMath>
      <w:r w:rsidRPr="0090638F">
        <w:rPr>
          <w:sz w:val="32"/>
          <w:szCs w:val="32"/>
        </w:rPr>
        <w:t>.</w:t>
      </w:r>
    </w:p>
    <w:p w:rsidR="00E83321" w:rsidRPr="0090638F" w:rsidRDefault="00E83321" w:rsidP="00E83321">
      <w:pPr>
        <w:jc w:val="center"/>
      </w:pPr>
      <w:r>
        <w:rPr>
          <w:noProof/>
        </w:rPr>
        <w:drawing>
          <wp:inline distT="0" distB="0" distL="0" distR="0">
            <wp:extent cx="5589905" cy="3148965"/>
            <wp:effectExtent l="0" t="0" r="0" b="0"/>
            <wp:docPr id="678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21" w:rsidRPr="0090638F" w:rsidRDefault="00E83321" w:rsidP="00E83321">
      <w:pPr>
        <w:pStyle w:val="ab"/>
      </w:pPr>
      <w:r w:rsidRPr="0090638F">
        <w:rPr>
          <w:szCs w:val="24"/>
        </w:rPr>
        <w:t xml:space="preserve">Рисунок </w:t>
      </w:r>
      <w:bookmarkStart w:id="24" w:name="_Ref361953731"/>
      <w:r w:rsidR="00C2772B">
        <w:rPr>
          <w:szCs w:val="24"/>
        </w:rPr>
        <w:t>1</w:t>
      </w:r>
      <w:r w:rsidR="0047118E" w:rsidRPr="0090638F">
        <w:rPr>
          <w:szCs w:val="24"/>
        </w:rPr>
        <w:fldChar w:fldCharType="begin"/>
      </w:r>
      <w:r w:rsidRPr="0090638F">
        <w:rPr>
          <w:szCs w:val="24"/>
        </w:rPr>
        <w:instrText xml:space="preserve"> STYLEREF 1 \s </w:instrText>
      </w:r>
      <w:r w:rsidR="0047118E" w:rsidRPr="0090638F">
        <w:rPr>
          <w:szCs w:val="24"/>
        </w:rPr>
        <w:fldChar w:fldCharType="separate"/>
      </w:r>
      <w:r w:rsidR="00846E9B">
        <w:rPr>
          <w:noProof/>
          <w:szCs w:val="24"/>
        </w:rPr>
        <w:t>0</w:t>
      </w:r>
      <w:r w:rsidR="0047118E" w:rsidRPr="0090638F">
        <w:rPr>
          <w:szCs w:val="24"/>
        </w:rPr>
        <w:fldChar w:fldCharType="end"/>
      </w:r>
      <w:r w:rsidRPr="0090638F">
        <w:rPr>
          <w:szCs w:val="24"/>
        </w:rPr>
        <w:t>.</w:t>
      </w:r>
      <w:bookmarkEnd w:id="24"/>
      <w:r>
        <w:rPr>
          <w:szCs w:val="24"/>
        </w:rPr>
        <w:t>8</w:t>
      </w:r>
      <w:r w:rsidRPr="0090638F">
        <w:t>– Механизмы токов утечки в современных МОП транзисторах объемной технологии</w:t>
      </w:r>
    </w:p>
    <w:p w:rsidR="00E83321" w:rsidRPr="0090638F" w:rsidRDefault="00E83321" w:rsidP="00E83321">
      <w:r w:rsidRPr="0090638F">
        <w:t xml:space="preserve">Токи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2</m:t>
            </m:r>
          </m:sub>
        </m:sSub>
      </m:oMath>
      <w:r w:rsidRPr="0090638F">
        <w:rPr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9</m:t>
            </m:r>
          </m:sub>
        </m:sSub>
      </m:oMath>
      <w:r w:rsidRPr="0090638F">
        <w:rPr>
          <w:sz w:val="32"/>
          <w:szCs w:val="32"/>
        </w:rPr>
        <w:t xml:space="preserve"> – </w:t>
      </w:r>
      <w:r w:rsidRPr="0090638F">
        <w:t xml:space="preserve">утечки, существенные только в закрытом состоянии,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</m:t>
            </m:r>
          </m:sub>
        </m:sSub>
      </m:oMath>
      <w:r w:rsidRPr="0090638F">
        <w:rPr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3</m:t>
            </m:r>
          </m:sub>
        </m:sSub>
      </m:oMath>
      <w:r w:rsidR="00CB2DF0" w:rsidRPr="00CB2DF0">
        <w:t xml:space="preserve"> </w:t>
      </w:r>
      <w:r w:rsidRPr="0090638F">
        <w:t xml:space="preserve">– играют важную роль и в закрытом, и в открытом состояниях. Ток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4</m:t>
            </m:r>
          </m:sub>
        </m:sSub>
      </m:oMath>
      <w:r w:rsidR="00CB2DF0" w:rsidRPr="00CB2DF0">
        <w:t xml:space="preserve"> </w:t>
      </w:r>
      <w:r w:rsidRPr="0090638F">
        <w:t>может присутствовать в закрытом состоянии, но наиболее характерен для открытого состояния.</w:t>
      </w:r>
    </w:p>
    <w:p w:rsidR="00E83321" w:rsidRPr="0090638F" w:rsidRDefault="00E83321" w:rsidP="00E83321">
      <w:r w:rsidRPr="0090638F">
        <w:t xml:space="preserve">Роль различных механизмов утечки менялась по мере развития технологии. В технологиях с длиной канала 1 мкм преобладали токи обратносмещенного </w:t>
      </w:r>
      <w:r w:rsidRPr="0090638F">
        <w:rPr>
          <w:i/>
        </w:rPr>
        <w:t>p</w:t>
      </w:r>
      <w:r w:rsidR="00CB2DF0" w:rsidRPr="00CB2DF0">
        <w:rPr>
          <w:i/>
        </w:rPr>
        <w:t>-</w:t>
      </w:r>
      <w:r w:rsidRPr="0090638F">
        <w:rPr>
          <w:i/>
        </w:rPr>
        <w:t>n</w:t>
      </w:r>
      <w:r w:rsidRPr="0090638F">
        <w:t>-перехода, для длин канала ~0,</w:t>
      </w:r>
      <w:r w:rsidR="007646D5">
        <w:t>9</w:t>
      </w:r>
      <w:r w:rsidRPr="0090638F">
        <w:t xml:space="preserve"> мкм – подпороговые токи между стоком и истоком. Для технологий с технологической нормой менее 100 нм преобладает туннельный</w:t>
      </w:r>
      <w:r w:rsidR="001F4514">
        <w:t xml:space="preserve"> ток через тонкий подзатворный </w:t>
      </w:r>
      <w:r w:rsidRPr="0090638F">
        <w:t>окисел.</w:t>
      </w:r>
    </w:p>
    <w:p w:rsidR="00E83321" w:rsidRPr="0090638F" w:rsidRDefault="00E83321" w:rsidP="00E83321">
      <w:r w:rsidRPr="0090638F">
        <w:t xml:space="preserve">Прямое туннелирование через прямоугольный барьер подзатворного окисла </w:t>
      </w:r>
      <w:r w:rsidRPr="0090638F">
        <w:rPr>
          <w:i/>
        </w:rPr>
        <w:t>n</w:t>
      </w:r>
      <w:r w:rsidRPr="0090638F">
        <w:t>-МОП транзистора соответствует переходу электронов из зоны проводимости (или из валентной зоны) кремния непосредственно в затвор. Этот ток существенен только для малых</w:t>
      </w:r>
      <w:r w:rsidR="001F4514">
        <w:t xml:space="preserve"> толщин подзатворных окислов (&lt;</w:t>
      </w:r>
      <w:r w:rsidRPr="0090638F">
        <w:t>3 – 4 нм), типичных для современных приборов. При такой толщине барьера туннельный ток заметен даже при малых электрических полях в окисле и малых смещениях на затворе.</w:t>
      </w:r>
    </w:p>
    <w:p w:rsidR="00E83321" w:rsidRPr="0090638F" w:rsidRDefault="00E83321" w:rsidP="00E83321">
      <w:r w:rsidRPr="0090638F">
        <w:lastRenderedPageBreak/>
        <w:t>При прямом туннелировании ток пропорцион</w:t>
      </w:r>
      <w:r w:rsidR="001F4514">
        <w:t>ален вероятности туннелирования</w:t>
      </w:r>
      <w:r w:rsidRPr="0090638F">
        <w:t>, которая определяется как</w:t>
      </w:r>
    </w:p>
    <w:tbl>
      <w:tblPr>
        <w:tblW w:w="0" w:type="auto"/>
        <w:tblLook w:val="00A0"/>
      </w:tblPr>
      <w:tblGrid>
        <w:gridCol w:w="8558"/>
        <w:gridCol w:w="1013"/>
      </w:tblGrid>
      <w:tr w:rsidR="00E83321" w:rsidRPr="0090638F" w:rsidTr="004B4DD4">
        <w:trPr>
          <w:trHeight w:val="836"/>
        </w:trPr>
        <w:tc>
          <w:tcPr>
            <w:tcW w:w="8838" w:type="dxa"/>
            <w:vAlign w:val="center"/>
          </w:tcPr>
          <w:p w:rsidR="00E83321" w:rsidRPr="00CB2DF0" w:rsidRDefault="00CB2DF0" w:rsidP="00CB2DF0">
            <w:pPr>
              <w:ind w:firstLine="0"/>
              <w:jc w:val="center"/>
              <w:rPr>
                <w:position w:val="-6"/>
                <w:lang w:val="en-US"/>
              </w:rPr>
            </w:pPr>
            <m:oMath>
              <m:r>
                <w:rPr>
                  <w:rFonts w:ascii="Cambria Math" w:hAnsi="Cambria Math"/>
                </w:rPr>
                <m:t>P~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(-)</m:t>
              </m:r>
            </m:oMath>
            <w:r>
              <w:rPr>
                <w:i/>
                <w:lang w:val="en-US"/>
              </w:rPr>
              <w:t>,</w:t>
            </w:r>
          </w:p>
        </w:tc>
        <w:tc>
          <w:tcPr>
            <w:tcW w:w="1017" w:type="dxa"/>
            <w:vAlign w:val="center"/>
          </w:tcPr>
          <w:p w:rsidR="00E83321" w:rsidRPr="007069DE" w:rsidRDefault="00E83321" w:rsidP="004B4DD4">
            <w:pPr>
              <w:pStyle w:val="ac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C2772B">
              <w:rPr>
                <w:sz w:val="28"/>
              </w:rPr>
              <w:t>1</w:t>
            </w:r>
            <w:r w:rsidR="0047118E"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STYLEREF 1 \s </w:instrText>
            </w:r>
            <w:r w:rsidR="0047118E" w:rsidRPr="007069DE">
              <w:rPr>
                <w:sz w:val="28"/>
              </w:rPr>
              <w:fldChar w:fldCharType="separate"/>
            </w:r>
            <w:r w:rsidR="00846E9B">
              <w:rPr>
                <w:noProof/>
                <w:sz w:val="28"/>
              </w:rPr>
              <w:t>0</w:t>
            </w:r>
            <w:r w:rsidR="0047118E" w:rsidRPr="007069DE">
              <w:rPr>
                <w:sz w:val="28"/>
              </w:rPr>
              <w:fldChar w:fldCharType="end"/>
            </w:r>
            <w:r w:rsidRPr="007069DE">
              <w:rPr>
                <w:sz w:val="28"/>
              </w:rPr>
              <w:t>.</w:t>
            </w:r>
            <w:r>
              <w:rPr>
                <w:sz w:val="28"/>
              </w:rPr>
              <w:t>1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E83321" w:rsidRPr="0090638F" w:rsidRDefault="00CB2DF0" w:rsidP="00E83321">
      <w:r>
        <w:t xml:space="preserve">где </w:t>
      </w:r>
      <w:r w:rsidR="00E83321" w:rsidRPr="0090638F">
        <w:t xml:space="preserve">- эффективная длина, характеризующая вероятность туннелирования; </w:t>
      </w:r>
      <m:oMath>
        <m:r>
          <w:rPr>
            <w:rFonts w:ascii="Cambria Math" w:hAnsi="Cambria Math"/>
            <w:lang w:val="en-US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Б</m:t>
            </m:r>
          </m:sub>
        </m:sSub>
        <m:r>
          <w:rPr>
            <w:rFonts w:ascii="Cambria Math" w:hAnsi="Cambria Math"/>
            <w:i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QUOTE </m:t>
        </m:r>
        <m:r>
          <w:rPr>
            <w:rFonts w:ascii="Cambria Math" w:hAnsi="Cambria Math"/>
            <w:i/>
            <w:noProof/>
          </w:rPr>
          <w:drawing>
            <wp:inline distT="0" distB="0" distL="0" distR="0">
              <wp:extent cx="294005" cy="198755"/>
              <wp:effectExtent l="0" t="0" r="0" b="0"/>
              <wp:docPr id="679" name="Рисунок 67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9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400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i/>
          </w:rPr>
          <w:fldChar w:fldCharType="end"/>
        </m:r>
        <m:r>
          <w:rPr>
            <w:rFonts w:ascii="Cambria Math" w:hAnsi="Cambria Math"/>
          </w:rPr>
          <m:t>~3,1</m:t>
        </m:r>
      </m:oMath>
      <w:r w:rsidR="00E83321" w:rsidRPr="0090638F">
        <w:t xml:space="preserve"> эВ – эффективная высота потенциального барьера, разделяющая </w:t>
      </w:r>
      <w:r w:rsidR="00E83321" w:rsidRPr="00CB2DF0">
        <w:t>кремниевую</w:t>
      </w:r>
      <w:r w:rsidR="00E83321" w:rsidRPr="0090638F">
        <w:t xml:space="preserve"> подложку и затвор.</w:t>
      </w:r>
    </w:p>
    <w:p w:rsidR="00E83321" w:rsidRPr="0090638F" w:rsidRDefault="00E83321" w:rsidP="00E83321">
      <w:r w:rsidRPr="0090638F">
        <w:t>При сильных электрических полях в окисле трапециевидный потенциальный барьер вырождается в треугольный, что приводит к увеличению вероятности туннелирования из зоны проводимости кремния непосредственно в зону проводимости SiO</w:t>
      </w:r>
      <w:r w:rsidRPr="0090638F">
        <w:rPr>
          <w:vertAlign w:val="subscript"/>
        </w:rPr>
        <w:t>2</w:t>
      </w:r>
      <w:r w:rsidRPr="0090638F">
        <w:t>.</w:t>
      </w:r>
    </w:p>
    <w:p w:rsidR="00E83321" w:rsidRPr="0090638F" w:rsidRDefault="00E83321" w:rsidP="00E83321">
      <w:r w:rsidRPr="0090638F">
        <w:t xml:space="preserve">Такое происходит при электрических полях, больших некоторого критического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</w:rPr>
              <m:t>ок.кр</m:t>
            </m:r>
          </m:sub>
        </m:sSub>
      </m:oMath>
      <w:r w:rsidRPr="0090638F">
        <w:t>, при кото</w:t>
      </w:r>
      <w:r w:rsidR="001F4514">
        <w:t>рых падение потенциала в окисле</w:t>
      </w:r>
      <w:r w:rsidRPr="0090638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ок</m:t>
            </m:r>
          </m:sub>
        </m:sSub>
      </m:oMath>
      <w:r w:rsidRPr="0090638F">
        <w:rPr>
          <w:vertAlign w:val="subscript"/>
        </w:rPr>
        <w:t xml:space="preserve">  </w:t>
      </w:r>
      <w:r w:rsidRPr="0090638F">
        <w:t xml:space="preserve">превосходит высоту барьера </w:t>
      </w:r>
      <m:oMath>
        <m:r>
          <w:rPr>
            <w:rFonts w:ascii="Cambria Math" w:hAnsi="Cambria Math"/>
            <w:lang w:val="en-US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Б</m:t>
            </m:r>
          </m:sub>
        </m:sSub>
      </m:oMath>
      <w:r w:rsidR="005E485A" w:rsidRPr="0090638F">
        <w:t xml:space="preserve"> </w:t>
      </w:r>
      <w:r w:rsidR="0047118E" w:rsidRPr="0090638F">
        <w:fldChar w:fldCharType="begin"/>
      </w:r>
      <w:r w:rsidRPr="0090638F">
        <w:instrText xml:space="preserve"> QUOTE </w:instrText>
      </w:r>
      <w:r>
        <w:rPr>
          <w:noProof/>
        </w:rPr>
        <w:drawing>
          <wp:inline distT="0" distB="0" distL="0" distR="0">
            <wp:extent cx="294005" cy="198755"/>
            <wp:effectExtent l="0" t="0" r="0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18E" w:rsidRPr="0090638F">
        <w:fldChar w:fldCharType="end"/>
      </w:r>
      <w:r w:rsidRPr="0090638F">
        <w:t>между зоной проводимости Si и SiO</w:t>
      </w:r>
      <w:r w:rsidRPr="0090638F">
        <w:rPr>
          <w:vertAlign w:val="subscript"/>
        </w:rPr>
        <w:t>2</w:t>
      </w:r>
      <w:r w:rsidRPr="0090638F">
        <w:t>.</w:t>
      </w:r>
    </w:p>
    <w:p w:rsidR="00E83321" w:rsidRPr="0090638F" w:rsidRDefault="00E83321" w:rsidP="00E83321">
      <w:r w:rsidRPr="0090638F">
        <w:t xml:space="preserve">Измеряемый ток Фаулера – Нордгейма невелик даже при очень больших полях (~ </w:t>
      </w:r>
      <w:r w:rsidR="007646D5">
        <w:t>9</w:t>
      </w:r>
      <w:r w:rsidRPr="0090638F">
        <w:t>-10</w:t>
      </w:r>
      <w:r w:rsidRPr="0090638F">
        <w:rPr>
          <w:vertAlign w:val="superscript"/>
        </w:rPr>
        <w:t>-7</w:t>
      </w:r>
      <w:r w:rsidRPr="0090638F">
        <w:t>А/см</w:t>
      </w:r>
      <w:r w:rsidRPr="0090638F">
        <w:rPr>
          <w:vertAlign w:val="superscript"/>
        </w:rPr>
        <w:t>2</w:t>
      </w:r>
      <w:r w:rsidRPr="0090638F">
        <w:t>при поле 8 МВ/см). Поэтому в нормальном режиме работы транзисторов им можно всегда пренебрегать.</w:t>
      </w:r>
    </w:p>
    <w:p w:rsidR="00E83321" w:rsidRPr="0090638F" w:rsidRDefault="00E83321" w:rsidP="00E83321">
      <w:pPr>
        <w:rPr>
          <w:i/>
        </w:rPr>
      </w:pPr>
      <w:r w:rsidRPr="0090638F">
        <w:t xml:space="preserve">Если обе стороны </w:t>
      </w:r>
      <w:r w:rsidRPr="0090638F">
        <w:rPr>
          <w:i/>
        </w:rPr>
        <w:t>p</w:t>
      </w:r>
      <w:r w:rsidR="000925D5">
        <w:rPr>
          <w:i/>
        </w:rPr>
        <w:t>-</w:t>
      </w:r>
      <w:r w:rsidRPr="0090638F">
        <w:rPr>
          <w:i/>
        </w:rPr>
        <w:t>n</w:t>
      </w:r>
      <w:r w:rsidRPr="0090638F">
        <w:t>-перехода сток-подложка достаточно сильно</w:t>
      </w:r>
      <w:r w:rsidR="001F4514">
        <w:t xml:space="preserve"> </w:t>
      </w:r>
      <w:r w:rsidRPr="0090638F">
        <w:t xml:space="preserve">легированы, то при обратном смещении перехода создаются условия для прямого туннелирования между валентной зоной стока и зоной проводимости </w:t>
      </w:r>
      <w:r w:rsidR="006A52C6">
        <w:rPr>
          <w:i/>
        </w:rPr>
        <w:t>p–</w:t>
      </w:r>
      <w:r w:rsidRPr="0090638F">
        <w:t xml:space="preserve">подложки(ток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Pr="0090638F">
        <w:t xml:space="preserve">, рис. </w:t>
      </w:r>
      <w:r w:rsidR="00C2772B">
        <w:t>1</w:t>
      </w:r>
      <w:fldSimple w:instr=" REF _Ref361953731 \h  \* MERGEFORMAT ">
        <w:r w:rsidR="00846E9B">
          <w:rPr>
            <w:noProof/>
            <w:szCs w:val="24"/>
          </w:rPr>
          <w:t>10</w:t>
        </w:r>
        <w:r w:rsidR="00846E9B" w:rsidRPr="0090638F">
          <w:rPr>
            <w:noProof/>
            <w:szCs w:val="24"/>
          </w:rPr>
          <w:t>.</w:t>
        </w:r>
      </w:fldSimple>
      <w:r w:rsidR="00C2772B">
        <w:t>8</w:t>
      </w:r>
      <w:r w:rsidRPr="0090638F">
        <w:t xml:space="preserve">). Выражение для плотности туннельного тока зона-зона имеет тот же вид, что и для тока туннельного пробоя </w:t>
      </w:r>
      <w:r w:rsidR="000925D5">
        <w:rPr>
          <w:i/>
        </w:rPr>
        <w:t>p-</w:t>
      </w:r>
      <w:r w:rsidRPr="0090638F">
        <w:rPr>
          <w:i/>
        </w:rPr>
        <w:t>n</w:t>
      </w:r>
      <w:r w:rsidRPr="0090638F">
        <w:t xml:space="preserve">-перехода. Туннельный ток утечки через обратносмещенный </w:t>
      </w:r>
      <w:r w:rsidR="000925D5">
        <w:rPr>
          <w:i/>
        </w:rPr>
        <w:t>p-</w:t>
      </w:r>
      <w:r w:rsidRPr="0090638F">
        <w:rPr>
          <w:i/>
        </w:rPr>
        <w:t>n</w:t>
      </w:r>
      <w:r w:rsidRPr="0090638F">
        <w:t xml:space="preserve">-переход стока ставит верхний предел легирования подложки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18</m:t>
            </m:r>
          </m:sup>
        </m:sSup>
      </m:oMath>
      <w:r w:rsidRPr="0090638F">
        <w:t xml:space="preserve"> см</w:t>
      </w:r>
      <w:r w:rsidRPr="0090638F">
        <w:rPr>
          <w:vertAlign w:val="superscript"/>
        </w:rPr>
        <w:t>-3</w:t>
      </w:r>
      <w:r w:rsidRPr="0090638F">
        <w:t>.</w:t>
      </w:r>
    </w:p>
    <w:p w:rsidR="00E83321" w:rsidRPr="0090638F" w:rsidRDefault="00E83321" w:rsidP="00E83321">
      <w:r w:rsidRPr="0090638F">
        <w:t xml:space="preserve">Подпороговый ток утечки обусловлен термоактивационным перебросом носителей из истока в сток (ток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Pr="0090638F">
        <w:t xml:space="preserve">, рис. </w:t>
      </w:r>
      <w:r w:rsidR="00C2772B">
        <w:t>1</w:t>
      </w:r>
      <w:fldSimple w:instr=" REF _Ref361953731 \h  \* MERGEFORMAT ">
        <w:r w:rsidR="00846E9B">
          <w:rPr>
            <w:noProof/>
            <w:szCs w:val="24"/>
          </w:rPr>
          <w:t>10</w:t>
        </w:r>
        <w:r w:rsidR="00846E9B" w:rsidRPr="0090638F">
          <w:rPr>
            <w:noProof/>
            <w:szCs w:val="24"/>
          </w:rPr>
          <w:t>.</w:t>
        </w:r>
      </w:fldSimple>
      <w:r w:rsidR="00C2772B">
        <w:t>8</w:t>
      </w:r>
      <w:r w:rsidRPr="0090638F">
        <w:t>).</w:t>
      </w:r>
    </w:p>
    <w:p w:rsidR="00E83321" w:rsidRPr="0090638F" w:rsidRDefault="00E83321" w:rsidP="00E83321">
      <w:r w:rsidRPr="0090638F">
        <w:t xml:space="preserve">Подпороговый ток утечки определяется как подпороговый ток транзистора при нулевом затворном напряжении. Выбор порогового напряжения обусловлен компромиссом между потреблением мощности и быстродействием. Для быстродействующих схем, где необходимо использование максимальных рабочих токов, порог выбирается на уровне </w:t>
      </w:r>
      <m:oMath>
        <m:r>
          <w:rPr>
            <w:rFonts w:ascii="Cambria Math" w:hAnsi="Cambria Math"/>
          </w:rPr>
          <m:t xml:space="preserve">19-20%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</m:oMath>
      <w:r w:rsidRPr="0090638F">
        <w:t xml:space="preserve">. Для маломощных схем, где важно минимизировать ток в закрытом состоянии, пороговое напряжение выбирается на уровне </w:t>
      </w:r>
      <m:oMath>
        <m:r>
          <w:rPr>
            <w:rFonts w:ascii="Cambria Math" w:hAnsi="Cambria Math"/>
          </w:rPr>
          <m:t xml:space="preserve">40-90%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</m:oMath>
      <w:r w:rsidRPr="0090638F">
        <w:t>.</w:t>
      </w:r>
    </w:p>
    <w:p w:rsidR="00E83321" w:rsidRPr="0090638F" w:rsidRDefault="00E83321" w:rsidP="00E83321">
      <w:r w:rsidRPr="0090638F">
        <w:t xml:space="preserve">Эффективная туннельная проницаемость подзатворного окисла сильно зависит от величины электрического поля в окисле. Наибольшее электрическое поле в окисле сосредоточено в области между затвором и стоком, для случая, когда на сток подано большое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ск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пор</m:t>
            </m:r>
          </m:sub>
        </m:sSub>
      </m:oMath>
      <w:r w:rsidRPr="0090638F">
        <w:t xml:space="preserve">, близкое к напряжению питания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</m:oMath>
      <w:r w:rsidRPr="0090638F">
        <w:t>, а на затвор близкое к нулю, поскольку в этой области максимальна разность потенциалов между двумя электродами.</w:t>
      </w:r>
    </w:p>
    <w:p w:rsidR="00E83321" w:rsidRPr="0090638F" w:rsidRDefault="00E83321" w:rsidP="00E83321">
      <w:r w:rsidRPr="0090638F">
        <w:t xml:space="preserve">Между затвором и стоком появляется большая (порядка напряжения питания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</m:oMath>
      <w:r w:rsidRPr="0090638F">
        <w:t>) разность потенциалов и возникает сильное электрическое поле в окисле. Это приводит к тому, что в области перекрытия стока затвором реализуется режим глубокого обеднения. Если изгиб зон на поверхности</w:t>
      </w:r>
      <w:r w:rsidR="000925D5" w:rsidRPr="000925D5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s</m:t>
            </m:r>
          </m:sub>
        </m:sSub>
      </m:oMath>
      <w:r w:rsidRPr="0090638F">
        <w:rPr>
          <w:vertAlign w:val="subscript"/>
        </w:rPr>
        <w:t xml:space="preserve"> </w:t>
      </w:r>
      <w:r w:rsidRPr="0090638F">
        <w:lastRenderedPageBreak/>
        <w:t xml:space="preserve">превысит величину </w:t>
      </w:r>
      <m:oMath>
        <m:r>
          <w:rPr>
            <w:rFonts w:ascii="Cambria Math" w:hAnsi="Cambria Math"/>
          </w:rPr>
          <m:t>~ 1,12</m:t>
        </m:r>
      </m:oMath>
      <w:r w:rsidRPr="0090638F">
        <w:t xml:space="preserve"> эВ, равную ширине запрещенной зоны кремния, возникает режим инверсии и появляется возможность прямого туннелирования электронов из валентной зоны в зону проводимости (ток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9</m:t>
            </m:r>
          </m:sub>
        </m:sSub>
      </m:oMath>
      <w:r w:rsidRPr="0090638F">
        <w:t xml:space="preserve">, рис. </w:t>
      </w:r>
      <w:fldSimple w:instr=" REF _Ref361953731 \h  \* MERGEFORMAT ">
        <w:r w:rsidR="00846E9B">
          <w:rPr>
            <w:noProof/>
            <w:szCs w:val="24"/>
          </w:rPr>
          <w:t>10</w:t>
        </w:r>
        <w:r w:rsidR="00846E9B" w:rsidRPr="0090638F">
          <w:rPr>
            <w:noProof/>
            <w:szCs w:val="24"/>
          </w:rPr>
          <w:t>.</w:t>
        </w:r>
      </w:fldSimple>
      <w:r w:rsidRPr="0090638F">
        <w:t>).</w:t>
      </w:r>
    </w:p>
    <w:p w:rsidR="00E83321" w:rsidRPr="0090638F" w:rsidRDefault="00E83321" w:rsidP="00E83321">
      <w:r w:rsidRPr="0090638F">
        <w:t>Переход электронов из валентной зоны в зону проводимости означает генерацию электронно-дырочных пар. При этом электроны движутся к электроду стока, а дырки уходят в подложку.</w:t>
      </w:r>
    </w:p>
    <w:p w:rsidR="00FF1465" w:rsidRPr="00FF1465" w:rsidRDefault="00E83321" w:rsidP="00FF1465">
      <w:r w:rsidRPr="0090638F">
        <w:t>Для приблизительной оценки величины мощности, рассеиваемой вследствие токов утечки, можно использовать следующее упрощенное выражение:</w:t>
      </w:r>
    </w:p>
    <w:tbl>
      <w:tblPr>
        <w:tblW w:w="0" w:type="auto"/>
        <w:tblLook w:val="00A0"/>
      </w:tblPr>
      <w:tblGrid>
        <w:gridCol w:w="8557"/>
        <w:gridCol w:w="1014"/>
      </w:tblGrid>
      <w:tr w:rsidR="00E83321" w:rsidRPr="0090638F" w:rsidTr="004B4DD4">
        <w:trPr>
          <w:trHeight w:val="836"/>
        </w:trPr>
        <w:tc>
          <w:tcPr>
            <w:tcW w:w="8838" w:type="dxa"/>
            <w:vAlign w:val="center"/>
          </w:tcPr>
          <w:p w:rsidR="00E83321" w:rsidRPr="0090638F" w:rsidRDefault="0047118E" w:rsidP="00FF1465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рас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ут</m:t>
                  </m:r>
                </m:sub>
              </m:sSub>
            </m:oMath>
            <w:r w:rsidRPr="00B26731">
              <w:rPr>
                <w:vertAlign w:val="subscript"/>
              </w:rPr>
              <w:fldChar w:fldCharType="begin"/>
            </w:r>
            <w:r w:rsidR="00E83321" w:rsidRPr="00B26731">
              <w:rPr>
                <w:vertAlign w:val="subscript"/>
              </w:rPr>
              <w:instrText xml:space="preserve"> QUOTE </w:instrText>
            </w:r>
            <w:r w:rsidR="00E83321">
              <w:rPr>
                <w:noProof/>
                <w:position w:val="-12"/>
              </w:rPr>
              <w:drawing>
                <wp:inline distT="0" distB="0" distL="0" distR="0">
                  <wp:extent cx="1701800" cy="262255"/>
                  <wp:effectExtent l="0" t="0" r="0" b="0"/>
                  <wp:docPr id="685" name="Рисунок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6731">
              <w:rPr>
                <w:vertAlign w:val="subscript"/>
              </w:rPr>
              <w:fldChar w:fldCharType="end"/>
            </w:r>
            <w:r w:rsidR="00FF1465" w:rsidRPr="00FF1465">
              <w:t>.</w:t>
            </w:r>
            <w:r w:rsidRPr="0090638F">
              <w:rPr>
                <w:vertAlign w:val="subscript"/>
              </w:rPr>
              <w:fldChar w:fldCharType="begin"/>
            </w:r>
            <w:r w:rsidR="00E83321" w:rsidRPr="0090638F">
              <w:rPr>
                <w:vertAlign w:val="subscript"/>
              </w:rPr>
              <w:instrText xml:space="preserve"> QUOTE </w:instrText>
            </w:r>
            <w:r w:rsidR="00E83321">
              <w:rPr>
                <w:noProof/>
              </w:rPr>
              <w:drawing>
                <wp:inline distT="0" distB="0" distL="0" distR="0">
                  <wp:extent cx="2783205" cy="1113155"/>
                  <wp:effectExtent l="0" t="0" r="0" b="0"/>
                  <wp:docPr id="687" name="Рисунок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205" cy="111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38F">
              <w:rPr>
                <w:vertAlign w:val="subscript"/>
              </w:rPr>
              <w:fldChar w:fldCharType="end"/>
            </w:r>
          </w:p>
        </w:tc>
        <w:tc>
          <w:tcPr>
            <w:tcW w:w="1017" w:type="dxa"/>
            <w:vAlign w:val="center"/>
          </w:tcPr>
          <w:p w:rsidR="00E83321" w:rsidRPr="007069DE" w:rsidRDefault="00E83321" w:rsidP="004B4DD4">
            <w:pPr>
              <w:pStyle w:val="ac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C2772B">
              <w:rPr>
                <w:sz w:val="28"/>
              </w:rPr>
              <w:t>1</w:t>
            </w:r>
            <w:r w:rsidR="0047118E" w:rsidRPr="007069DE">
              <w:rPr>
                <w:sz w:val="28"/>
              </w:rPr>
              <w:fldChar w:fldCharType="begin"/>
            </w:r>
            <w:r w:rsidRPr="007069DE">
              <w:rPr>
                <w:sz w:val="28"/>
              </w:rPr>
              <w:instrText xml:space="preserve"> STYLEREF 1 \s </w:instrText>
            </w:r>
            <w:r w:rsidR="0047118E" w:rsidRPr="007069DE">
              <w:rPr>
                <w:sz w:val="28"/>
              </w:rPr>
              <w:fldChar w:fldCharType="separate"/>
            </w:r>
            <w:r w:rsidR="00846E9B">
              <w:rPr>
                <w:noProof/>
                <w:sz w:val="28"/>
              </w:rPr>
              <w:t>0</w:t>
            </w:r>
            <w:r w:rsidR="0047118E" w:rsidRPr="007069DE">
              <w:rPr>
                <w:sz w:val="28"/>
              </w:rPr>
              <w:fldChar w:fldCharType="end"/>
            </w:r>
            <w:r w:rsidRPr="007069DE">
              <w:rPr>
                <w:sz w:val="28"/>
              </w:rPr>
              <w:t>.</w:t>
            </w:r>
            <w:r>
              <w:rPr>
                <w:sz w:val="28"/>
              </w:rPr>
              <w:t>2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E83321" w:rsidRPr="0090638F" w:rsidRDefault="00D32071" w:rsidP="00E83321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C</m:t>
            </m:r>
          </m:sub>
        </m:sSub>
      </m:oMath>
      <w:r w:rsidRPr="00D32071">
        <w:t xml:space="preserve"> </w:t>
      </w:r>
      <w:r w:rsidR="00E83321" w:rsidRPr="0090638F">
        <w:t xml:space="preserve">- напряжение питания, </w:t>
      </w:r>
      <m:oMath>
        <m:r>
          <w:rPr>
            <w:rFonts w:ascii="Cambria Math" w:hAnsi="Cambria Math"/>
            <w:lang w:val="en-US"/>
          </w:rPr>
          <m:t>N</m:t>
        </m:r>
      </m:oMath>
      <w:r w:rsidRPr="00D32071">
        <w:t xml:space="preserve"> </w:t>
      </w:r>
      <w:r w:rsidR="00E83321" w:rsidRPr="0090638F">
        <w:t xml:space="preserve">- число транзисторов,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sub>
        </m:sSub>
      </m:oMath>
      <w:r w:rsidRPr="00D32071">
        <w:t xml:space="preserve"> </w:t>
      </w:r>
      <w:r w:rsidR="00E83321" w:rsidRPr="0090638F">
        <w:t>- эмпирический коэффициент, учитывающий особе</w:t>
      </w:r>
      <w:r w:rsidR="006A52C6">
        <w:t xml:space="preserve">нности применяемой технологии, </w:t>
      </w:r>
      <w:r w:rsidR="00E83321" w:rsidRPr="0090638F">
        <w:t xml:space="preserve">- суммарный ток утечки одного транзистора. </w:t>
      </w:r>
    </w:p>
    <w:p w:rsidR="00E83321" w:rsidRPr="00797A12" w:rsidRDefault="00C70AF9" w:rsidP="00AC7364">
      <w:pPr>
        <w:pStyle w:val="3"/>
        <w:numPr>
          <w:ilvl w:val="0"/>
          <w:numId w:val="0"/>
        </w:numPr>
        <w:rPr>
          <w:b/>
        </w:rPr>
      </w:pPr>
      <w:bookmarkStart w:id="25" w:name="_Toc372119046"/>
      <w:bookmarkStart w:id="26" w:name="_Toc444779511"/>
      <w:bookmarkStart w:id="27" w:name="_Toc463483766"/>
      <w:r>
        <w:t>10.</w:t>
      </w:r>
      <w:r w:rsidR="00E83321" w:rsidRPr="00797A12">
        <w:t>4.2.</w:t>
      </w:r>
      <w:r w:rsidR="001F4514" w:rsidRPr="00797A12">
        <w:t xml:space="preserve"> </w:t>
      </w:r>
      <w:r w:rsidR="00E83321" w:rsidRPr="00797A12">
        <w:t>Динамическая рассеиваемая мощность</w:t>
      </w:r>
      <w:bookmarkEnd w:id="25"/>
      <w:bookmarkEnd w:id="26"/>
      <w:bookmarkEnd w:id="27"/>
    </w:p>
    <w:p w:rsidR="00E83321" w:rsidRPr="0090638F" w:rsidRDefault="00E83321" w:rsidP="00E83321">
      <w:r w:rsidRPr="0090638F">
        <w:t>Динамическая рассеиваемая мощность возникает в момент переключения схемы из одного логического состояния в другое и определяется двумя основными источниками – сквозными токами, которые протекают через логический элемент в момент переключения, и токами заряда/разряда паразитных емкостей логических элементов. Следовательно, чем выше переключательная активность схемы, тем больше рассеиваемая мощность. При отсутствии переключений динамическая мощность равна нулю.</w:t>
      </w:r>
    </w:p>
    <w:p w:rsidR="00E83321" w:rsidRPr="0090638F" w:rsidRDefault="00E83321" w:rsidP="00E83321">
      <w:r w:rsidRPr="0090638F">
        <w:t>Большинство цифровых КМОП БИС не требуют использования конденсаторов для выполнения своих функций. Исключение составляют устройства динамической памяти, устройства выборки – хранения, устройства задержки сигналов. Конденсаторы в эквивалентной схеме КМОП элемента образуются за счет паразитных емкостей транзисторов и линий связи, поэтому паразитная емкость оказывает существенное влияние как на время задержки распростране</w:t>
      </w:r>
      <w:r w:rsidR="001F4514">
        <w:t xml:space="preserve">ния сигнала, так и на величину </w:t>
      </w:r>
      <w:r w:rsidRPr="0090638F">
        <w:t>рассеиваемой мощности.</w:t>
      </w:r>
    </w:p>
    <w:p w:rsidR="00E83321" w:rsidRPr="0090638F" w:rsidRDefault="00E83321" w:rsidP="00E83321">
      <w:r w:rsidRPr="0090638F">
        <w:t xml:space="preserve">Вторым источником динамической рассеиваемой мощности КМОП-схем является сквозной ток через логический элемент при его переключении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Pr="0090638F">
        <w:t>.</w:t>
      </w:r>
    </w:p>
    <w:p w:rsidR="00E83321" w:rsidRPr="0090638F" w:rsidRDefault="00E83321" w:rsidP="00E83321">
      <w:r w:rsidRPr="0090638F">
        <w:t>Отметим особенности сквозного тока:</w:t>
      </w:r>
    </w:p>
    <w:p w:rsidR="00E83321" w:rsidRPr="0090638F" w:rsidRDefault="00E83321" w:rsidP="00E83321">
      <w:r w:rsidRPr="0090638F">
        <w:t xml:space="preserve">1) Сквозной ток протекает только в момент времени </w:t>
      </w:r>
      <m:oMath>
        <m:r>
          <w:rPr>
            <w:rFonts w:ascii="Cambria Math" w:hAnsi="Cambria Math"/>
          </w:rPr>
          <m:t>t</m:t>
        </m:r>
      </m:oMath>
      <w:r w:rsidRPr="0090638F">
        <w:t xml:space="preserve">, когда входное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вх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пор.n</m:t>
            </m:r>
          </m:sub>
        </m:sSub>
      </m:oMath>
      <w:r w:rsidRPr="0090638F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вх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пор.р</m:t>
            </m:r>
          </m:sub>
        </m:sSub>
      </m:oMath>
      <w:r w:rsidRPr="0090638F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пор.n</m:t>
            </m:r>
          </m:sub>
        </m:sSub>
      </m:oMath>
      <w:r w:rsidRPr="0090638F">
        <w:rPr>
          <w:vertAlign w:val="subscript"/>
        </w:rPr>
        <w:t xml:space="preserve"> </w:t>
      </w:r>
      <w:r w:rsidR="001F4514">
        <w:t xml:space="preserve"> </w:t>
      </w:r>
      <w:r w:rsidRPr="0090638F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пор. р</m:t>
            </m:r>
          </m:sub>
        </m:sSub>
      </m:oMath>
      <w:r w:rsidRPr="0090638F">
        <w:t xml:space="preserve"> соответственно пороговые напряжения </w:t>
      </w:r>
      <w:r w:rsidRPr="0090638F">
        <w:rPr>
          <w:i/>
        </w:rPr>
        <w:t>n</w:t>
      </w:r>
      <w:r w:rsidRPr="0090638F">
        <w:t xml:space="preserve">- и </w:t>
      </w:r>
      <w:r w:rsidRPr="0090638F">
        <w:rPr>
          <w:i/>
        </w:rPr>
        <w:t>р</w:t>
      </w:r>
      <w:r w:rsidRPr="0090638F">
        <w:t>-канальных транзисторов.  Следовательно, чем меньше разница между этими значениями, тем меньше сквозной ток.</w:t>
      </w:r>
    </w:p>
    <w:p w:rsidR="00E83321" w:rsidRPr="0090638F" w:rsidRDefault="001F4514" w:rsidP="00E83321">
      <w:r>
        <w:t xml:space="preserve">2) Величина </w:t>
      </w:r>
      <w:r w:rsidR="00E83321" w:rsidRPr="0090638F">
        <w:t xml:space="preserve">сквозного тока обратно пропорциональна емкости нагрузки </w:t>
      </w:r>
      <w:r w:rsidR="00E83321" w:rsidRPr="001F1282">
        <w:rPr>
          <w:i/>
        </w:rPr>
        <w:t>С</w:t>
      </w:r>
      <w:r w:rsidR="00E83321" w:rsidRPr="001F1282">
        <w:rPr>
          <w:i/>
          <w:vertAlign w:val="subscript"/>
        </w:rPr>
        <w:t>н</w:t>
      </w:r>
      <w:r w:rsidR="00E83321" w:rsidRPr="0090638F">
        <w:t>. При отсутствии емкости значение тока максимально, при возрастании емкости нагрузки ток уменьшается.</w:t>
      </w:r>
    </w:p>
    <w:p w:rsidR="00E83321" w:rsidRPr="0090638F" w:rsidRDefault="00E83321" w:rsidP="00E83321">
      <w:r w:rsidRPr="0090638F">
        <w:lastRenderedPageBreak/>
        <w:t>3) Величина сквозного тока прямо пропорциональна длительности фронтов входного си</w:t>
      </w:r>
      <w:r w:rsidR="001F4514">
        <w:t xml:space="preserve">гнала, т.е. чем длиннее фронт, </w:t>
      </w:r>
      <w:r w:rsidRPr="0090638F">
        <w:t>тем больше сквозной ток.</w:t>
      </w:r>
    </w:p>
    <w:p w:rsidR="00AC46BC" w:rsidRPr="00E83321" w:rsidRDefault="00AC46BC" w:rsidP="00E83321"/>
    <w:sectPr w:rsidR="00AC46BC" w:rsidRPr="00E83321" w:rsidSect="00A8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57D16"/>
    <w:multiLevelType w:val="multilevel"/>
    <w:tmpl w:val="3AEA7A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962714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6C3C0F57"/>
    <w:multiLevelType w:val="hybridMultilevel"/>
    <w:tmpl w:val="5C9429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3E062F"/>
    <w:multiLevelType w:val="multilevel"/>
    <w:tmpl w:val="ACF27136"/>
    <w:lvl w:ilvl="0">
      <w:start w:val="1"/>
      <w:numFmt w:val="decimal"/>
      <w:pStyle w:val="1"/>
      <w:suff w:val="space"/>
      <w:lvlText w:val="ГЛАВА %1."/>
      <w:lvlJc w:val="left"/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rPr>
        <w:rFonts w:cs="Times New Roman" w:hint="default"/>
        <w:i w:val="0"/>
      </w:rPr>
    </w:lvl>
    <w:lvl w:ilvl="2">
      <w:start w:val="1"/>
      <w:numFmt w:val="decimal"/>
      <w:pStyle w:val="3"/>
      <w:suff w:val="space"/>
      <w:lvlText w:val="%1.%2.%3"/>
      <w:lvlJc w:val="left"/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4"/>
      <w:suff w:val="space"/>
      <w:lvlText w:val="%1.%2.%3.%4"/>
      <w:lvlJc w:val="left"/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5"/>
      <w:suff w:val="space"/>
      <w:lvlText w:val="%1.%2.%3.%4.%5"/>
      <w:lvlJc w:val="left"/>
      <w:rPr>
        <w:rFonts w:cs="Times New Roman" w:hint="default"/>
      </w:rPr>
    </w:lvl>
    <w:lvl w:ilvl="5">
      <w:start w:val="1"/>
      <w:numFmt w:val="none"/>
      <w:lvlRestart w:val="0"/>
      <w:lvlText w:val=""/>
      <w:lvlJc w:val="left"/>
      <w:rPr>
        <w:rFonts w:cs="Times New Roman" w:hint="default"/>
      </w:rPr>
    </w:lvl>
    <w:lvl w:ilvl="6">
      <w:start w:val="1"/>
      <w:numFmt w:val="decimal"/>
      <w:lvlText w:val="%7."/>
      <w:lvlJc w:val="left"/>
      <w:rPr>
        <w:rFonts w:cs="Times New Roman" w:hint="default"/>
      </w:rPr>
    </w:lvl>
    <w:lvl w:ilvl="7">
      <w:start w:val="1"/>
      <w:numFmt w:val="lowerLetter"/>
      <w:lvlText w:val="%8."/>
      <w:lvlJc w:val="left"/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078" w:hanging="360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/>
  <w:rsids>
    <w:rsidRoot w:val="008C2B43"/>
    <w:rsid w:val="000104F9"/>
    <w:rsid w:val="00011204"/>
    <w:rsid w:val="0002049A"/>
    <w:rsid w:val="00082697"/>
    <w:rsid w:val="00091EBB"/>
    <w:rsid w:val="000925D5"/>
    <w:rsid w:val="000E1CF4"/>
    <w:rsid w:val="0018047F"/>
    <w:rsid w:val="001F1282"/>
    <w:rsid w:val="001F4514"/>
    <w:rsid w:val="00214840"/>
    <w:rsid w:val="00225AC9"/>
    <w:rsid w:val="0024783E"/>
    <w:rsid w:val="002B3ACC"/>
    <w:rsid w:val="00334636"/>
    <w:rsid w:val="00355EAD"/>
    <w:rsid w:val="00436C9E"/>
    <w:rsid w:val="0045722A"/>
    <w:rsid w:val="00461A08"/>
    <w:rsid w:val="0047118E"/>
    <w:rsid w:val="004731CB"/>
    <w:rsid w:val="004C2A40"/>
    <w:rsid w:val="00502989"/>
    <w:rsid w:val="005850BB"/>
    <w:rsid w:val="005D1105"/>
    <w:rsid w:val="005E485A"/>
    <w:rsid w:val="00643649"/>
    <w:rsid w:val="0067096D"/>
    <w:rsid w:val="006A52C6"/>
    <w:rsid w:val="006B23BC"/>
    <w:rsid w:val="006D4BCC"/>
    <w:rsid w:val="00746100"/>
    <w:rsid w:val="007646D5"/>
    <w:rsid w:val="00797A12"/>
    <w:rsid w:val="007A03F4"/>
    <w:rsid w:val="007B7A75"/>
    <w:rsid w:val="007C08AC"/>
    <w:rsid w:val="00811140"/>
    <w:rsid w:val="00846E9B"/>
    <w:rsid w:val="0085431F"/>
    <w:rsid w:val="00876ED0"/>
    <w:rsid w:val="008C2B43"/>
    <w:rsid w:val="008D4286"/>
    <w:rsid w:val="00973423"/>
    <w:rsid w:val="009A0A41"/>
    <w:rsid w:val="009B5188"/>
    <w:rsid w:val="00A239F2"/>
    <w:rsid w:val="00A300B2"/>
    <w:rsid w:val="00A514BE"/>
    <w:rsid w:val="00A81B29"/>
    <w:rsid w:val="00AC46BC"/>
    <w:rsid w:val="00AC7364"/>
    <w:rsid w:val="00B856D6"/>
    <w:rsid w:val="00BA6108"/>
    <w:rsid w:val="00BB50A1"/>
    <w:rsid w:val="00C15181"/>
    <w:rsid w:val="00C2772B"/>
    <w:rsid w:val="00C64832"/>
    <w:rsid w:val="00C70AF9"/>
    <w:rsid w:val="00CB2DF0"/>
    <w:rsid w:val="00D32071"/>
    <w:rsid w:val="00E11566"/>
    <w:rsid w:val="00E76CE1"/>
    <w:rsid w:val="00E83321"/>
    <w:rsid w:val="00F536E4"/>
    <w:rsid w:val="00F6548D"/>
    <w:rsid w:val="00FF1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21"/>
    <w:pPr>
      <w:spacing w:after="0" w:line="240" w:lineRule="auto"/>
      <w:ind w:firstLine="56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2B43"/>
    <w:pPr>
      <w:keepNext/>
      <w:keepLines/>
      <w:numPr>
        <w:numId w:val="1"/>
      </w:numPr>
      <w:suppressAutoHyphens/>
      <w:spacing w:before="200"/>
      <w:ind w:firstLine="0"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uiPriority w:val="9"/>
    <w:qFormat/>
    <w:rsid w:val="008C2B43"/>
    <w:pPr>
      <w:keepNext/>
      <w:numPr>
        <w:ilvl w:val="1"/>
        <w:numId w:val="1"/>
      </w:numPr>
      <w:spacing w:before="200"/>
      <w:ind w:firstLine="0"/>
      <w:jc w:val="center"/>
      <w:outlineLvl w:val="1"/>
    </w:pPr>
    <w:rPr>
      <w:b/>
      <w:noProof/>
    </w:rPr>
  </w:style>
  <w:style w:type="paragraph" w:styleId="3">
    <w:name w:val="heading 3"/>
    <w:basedOn w:val="a"/>
    <w:next w:val="a"/>
    <w:link w:val="30"/>
    <w:qFormat/>
    <w:rsid w:val="008C2B43"/>
    <w:pPr>
      <w:keepNext/>
      <w:numPr>
        <w:ilvl w:val="2"/>
        <w:numId w:val="1"/>
      </w:numPr>
      <w:tabs>
        <w:tab w:val="num" w:pos="927"/>
      </w:tabs>
      <w:spacing w:before="240" w:after="120"/>
      <w:ind w:left="927" w:hanging="360"/>
      <w:jc w:val="center"/>
      <w:outlineLvl w:val="2"/>
    </w:pPr>
  </w:style>
  <w:style w:type="paragraph" w:styleId="4">
    <w:name w:val="heading 4"/>
    <w:basedOn w:val="a"/>
    <w:next w:val="a"/>
    <w:link w:val="40"/>
    <w:qFormat/>
    <w:rsid w:val="008C2B43"/>
    <w:pPr>
      <w:keepNext/>
      <w:keepLines/>
      <w:numPr>
        <w:ilvl w:val="3"/>
        <w:numId w:val="1"/>
      </w:numPr>
      <w:spacing w:after="240"/>
      <w:ind w:firstLine="0"/>
      <w:jc w:val="center"/>
      <w:outlineLvl w:val="3"/>
    </w:pPr>
    <w:rPr>
      <w:bCs/>
      <w:iCs/>
    </w:rPr>
  </w:style>
  <w:style w:type="paragraph" w:styleId="5">
    <w:name w:val="heading 5"/>
    <w:basedOn w:val="a"/>
    <w:next w:val="a"/>
    <w:link w:val="50"/>
    <w:qFormat/>
    <w:rsid w:val="008C2B43"/>
    <w:pPr>
      <w:keepNext/>
      <w:keepLines/>
      <w:numPr>
        <w:ilvl w:val="4"/>
        <w:numId w:val="1"/>
      </w:numPr>
      <w:spacing w:before="200"/>
      <w:ind w:firstLine="0"/>
      <w:jc w:val="center"/>
      <w:outlineLvl w:val="4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B43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2B43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C2B4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C2B43"/>
    <w:rPr>
      <w:rFonts w:ascii="Times New Roman" w:eastAsia="Times New Roman" w:hAnsi="Times New Roman" w:cs="Times New Roman"/>
      <w:bCs/>
      <w:i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C2B43"/>
    <w:rPr>
      <w:rFonts w:ascii="Cambria" w:eastAsia="Times New Roman" w:hAnsi="Cambria" w:cs="Times New Roman"/>
      <w:sz w:val="28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8C2B4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C2B43"/>
    <w:pPr>
      <w:spacing w:after="160"/>
      <w:ind w:firstLine="0"/>
      <w:jc w:val="left"/>
    </w:pPr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C2B4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C2B4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C2B4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C2B43"/>
    <w:pPr>
      <w:ind w:firstLine="0"/>
      <w:jc w:val="left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8C2B43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8C2B4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caption"/>
    <w:aliases w:val="Подпись рисунка"/>
    <w:basedOn w:val="a"/>
    <w:next w:val="a"/>
    <w:qFormat/>
    <w:rsid w:val="00E83321"/>
    <w:pPr>
      <w:spacing w:after="200"/>
      <w:ind w:firstLine="0"/>
      <w:contextualSpacing/>
      <w:jc w:val="center"/>
    </w:pPr>
    <w:rPr>
      <w:bCs/>
      <w:sz w:val="24"/>
      <w:szCs w:val="18"/>
    </w:rPr>
  </w:style>
  <w:style w:type="paragraph" w:styleId="ac">
    <w:name w:val="Title"/>
    <w:aliases w:val="номер формулы"/>
    <w:basedOn w:val="a"/>
    <w:next w:val="a"/>
    <w:link w:val="ad"/>
    <w:uiPriority w:val="99"/>
    <w:qFormat/>
    <w:rsid w:val="00E83321"/>
    <w:pPr>
      <w:keepLines/>
      <w:framePr w:wrap="notBeside" w:vAnchor="text" w:hAnchor="text" w:y="1"/>
      <w:suppressAutoHyphens/>
      <w:ind w:firstLine="0"/>
      <w:contextualSpacing/>
      <w:jc w:val="center"/>
    </w:pPr>
    <w:rPr>
      <w:rFonts w:eastAsia="Calibri"/>
      <w:spacing w:val="5"/>
      <w:kern w:val="28"/>
      <w:sz w:val="52"/>
      <w:szCs w:val="52"/>
    </w:rPr>
  </w:style>
  <w:style w:type="character" w:customStyle="1" w:styleId="ad">
    <w:name w:val="Название Знак"/>
    <w:aliases w:val="номер формулы Знак"/>
    <w:basedOn w:val="a0"/>
    <w:link w:val="ac"/>
    <w:uiPriority w:val="99"/>
    <w:rsid w:val="00E83321"/>
    <w:rPr>
      <w:rFonts w:ascii="Times New Roman" w:eastAsia="Calibri" w:hAnsi="Times New Roman" w:cs="Times New Roman"/>
      <w:spacing w:val="5"/>
      <w:kern w:val="28"/>
      <w:sz w:val="52"/>
      <w:szCs w:val="52"/>
      <w:lang w:eastAsia="ru-RU"/>
    </w:rPr>
  </w:style>
  <w:style w:type="character" w:styleId="ae">
    <w:name w:val="Placeholder Text"/>
    <w:basedOn w:val="a0"/>
    <w:uiPriority w:val="99"/>
    <w:semiHidden/>
    <w:rsid w:val="0024783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436C9E"/>
    <w:pPr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C7364"/>
    <w:pPr>
      <w:tabs>
        <w:tab w:val="right" w:leader="dot" w:pos="9345"/>
      </w:tabs>
      <w:spacing w:after="100"/>
      <w:ind w:firstLine="0"/>
    </w:pPr>
    <w:rPr>
      <w:b/>
      <w:noProof/>
      <w:color w:val="000000" w:themeColor="text1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36C9E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436C9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C7364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D4AA1-DDE4-4C30-AEC5-7466FF32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3276</Words>
  <Characters>18677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Юркус Олег</dc:creator>
  <cp:lastModifiedBy>Пользователь</cp:lastModifiedBy>
  <cp:revision>8</cp:revision>
  <cp:lastPrinted>2016-10-06T08:15:00Z</cp:lastPrinted>
  <dcterms:created xsi:type="dcterms:W3CDTF">2016-10-05T22:20:00Z</dcterms:created>
  <dcterms:modified xsi:type="dcterms:W3CDTF">2016-10-06T09:34:00Z</dcterms:modified>
</cp:coreProperties>
</file>