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Глава7" w:displacedByCustomXml="next"/>
    <w:sdt>
      <w:sdtPr>
        <w:rPr>
          <w:rFonts w:ascii="Times New Roman" w:eastAsiaTheme="minorHAnsi" w:hAnsi="Times New Roman" w:cs="Calibri"/>
          <w:color w:val="000000" w:themeColor="text1"/>
        </w:rPr>
        <w:id w:val="-1800525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3383" w:rsidRPr="004B3383" w:rsidRDefault="004B3383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3571F5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4B3383" w:rsidRPr="004B3383" w:rsidRDefault="001B2F68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r w:rsidRPr="001B2F68">
            <w:rPr>
              <w:rFonts w:cs="Times New Roman"/>
            </w:rPr>
            <w:fldChar w:fldCharType="begin"/>
          </w:r>
          <w:r w:rsidR="004B3383" w:rsidRPr="004B3383">
            <w:rPr>
              <w:rFonts w:cs="Times New Roman"/>
            </w:rPr>
            <w:instrText xml:space="preserve"> TOC \o "1-3" \h \z \u </w:instrText>
          </w:r>
          <w:r w:rsidRPr="001B2F68">
            <w:rPr>
              <w:rFonts w:cs="Times New Roman"/>
            </w:rPr>
            <w:fldChar w:fldCharType="separate"/>
          </w:r>
          <w:hyperlink w:anchor="_Toc463483940" w:history="1">
            <w:r w:rsidR="004B3383" w:rsidRPr="00D7150B">
              <w:rPr>
                <w:rStyle w:val="afc"/>
                <w:rFonts w:eastAsia="Times New Roman" w:cs="Times New Roman"/>
                <w:noProof/>
                <w:color w:val="000000" w:themeColor="text1"/>
                <w:lang w:eastAsia="ru-RU"/>
              </w:rPr>
              <w:t>ГЛАВА 12. ЭВОЛЮЦИЯ СИЛОВЫХ ПОЛУПРВОДНИКОВЫХ ПРИБОРОВ</w:t>
            </w:r>
            <w:r w:rsidR="004B3383" w:rsidRPr="004B3383">
              <w:rPr>
                <w:rFonts w:cs="Times New Roman"/>
                <w:noProof/>
                <w:webHidden/>
              </w:rPr>
              <w:tab/>
            </w:r>
            <w:r w:rsidRPr="004B3383">
              <w:rPr>
                <w:rFonts w:cs="Times New Roman"/>
                <w:noProof/>
                <w:webHidden/>
              </w:rPr>
              <w:fldChar w:fldCharType="begin"/>
            </w:r>
            <w:r w:rsidR="004B3383" w:rsidRPr="004B3383">
              <w:rPr>
                <w:rFonts w:cs="Times New Roman"/>
                <w:noProof/>
                <w:webHidden/>
              </w:rPr>
              <w:instrText xml:space="preserve"> PAGEREF _Toc463483940 \h </w:instrText>
            </w:r>
            <w:r w:rsidRPr="004B3383">
              <w:rPr>
                <w:rFonts w:cs="Times New Roman"/>
                <w:noProof/>
                <w:webHidden/>
              </w:rPr>
            </w:r>
            <w:r w:rsidRPr="004B3383">
              <w:rPr>
                <w:rFonts w:cs="Times New Roman"/>
                <w:noProof/>
                <w:webHidden/>
              </w:rPr>
              <w:fldChar w:fldCharType="separate"/>
            </w:r>
            <w:r w:rsidR="003571F5">
              <w:rPr>
                <w:rFonts w:cs="Times New Roman"/>
                <w:noProof/>
                <w:webHidden/>
              </w:rPr>
              <w:t>1</w:t>
            </w:r>
            <w:r w:rsidRPr="004B338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3383" w:rsidRPr="004B3383" w:rsidRDefault="001B2F68" w:rsidP="004B3383">
          <w:r w:rsidRPr="004B3383">
            <w:rPr>
              <w:rFonts w:cs="Times New Roman"/>
              <w:b/>
              <w:bCs/>
            </w:rPr>
            <w:fldChar w:fldCharType="end"/>
          </w:r>
        </w:p>
      </w:sdtContent>
    </w:sdt>
    <w:p w:rsidR="002D4DBC" w:rsidRPr="002D4DBC" w:rsidRDefault="002D4DBC" w:rsidP="004B3383">
      <w:pPr>
        <w:pStyle w:val="1"/>
        <w:rPr>
          <w:rFonts w:eastAsia="Times New Roman" w:cs="Times New Roman"/>
          <w:b/>
          <w:color w:val="auto"/>
          <w:lang w:eastAsia="ru-RU"/>
        </w:rPr>
      </w:pPr>
      <w:bookmarkStart w:id="1" w:name="_Toc463483940"/>
      <w:r w:rsidRPr="002D4DBC">
        <w:rPr>
          <w:rFonts w:eastAsia="Times New Roman" w:cs="Times New Roman"/>
          <w:b/>
          <w:color w:val="auto"/>
          <w:lang w:eastAsia="ru-RU"/>
        </w:rPr>
        <w:t xml:space="preserve">ГЛАВА </w:t>
      </w:r>
      <w:r w:rsidR="00D2295C">
        <w:rPr>
          <w:rFonts w:eastAsia="Times New Roman" w:cs="Times New Roman"/>
          <w:b/>
          <w:color w:val="auto"/>
          <w:lang w:eastAsia="ru-RU"/>
        </w:rPr>
        <w:t>12.</w:t>
      </w:r>
      <w:r w:rsidRPr="002D4DBC">
        <w:rPr>
          <w:rFonts w:eastAsia="Times New Roman" w:cs="Times New Roman"/>
          <w:b/>
          <w:color w:val="auto"/>
          <w:lang w:eastAsia="ru-RU"/>
        </w:rPr>
        <w:t xml:space="preserve"> ЭВОЛЮЦИЯ СИЛОВЫХ ПОЛУПРВОДНИКОВЫХ ПРИБОРОВ</w:t>
      </w:r>
      <w:bookmarkEnd w:id="1"/>
    </w:p>
    <w:bookmarkEnd w:id="0"/>
    <w:p w:rsidR="002D4DBC" w:rsidRPr="002D4DBC" w:rsidRDefault="002D4DBC" w:rsidP="002D4DBC">
      <w:pPr>
        <w:spacing w:after="0" w:line="240" w:lineRule="auto"/>
        <w:jc w:val="center"/>
        <w:rPr>
          <w:rFonts w:eastAsia="Times New Roman" w:cs="Times New Roman"/>
          <w:b/>
          <w:color w:val="auto"/>
          <w:lang w:eastAsia="ru-RU"/>
        </w:rPr>
      </w:pPr>
    </w:p>
    <w:p w:rsidR="002D4DBC" w:rsidRPr="002D4DBC" w:rsidRDefault="002D4DBC" w:rsidP="002D4DBC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2D4DBC">
        <w:rPr>
          <w:rFonts w:eastAsia="Times New Roman" w:cs="Times New Roman"/>
          <w:color w:val="auto"/>
          <w:szCs w:val="20"/>
          <w:lang w:eastAsia="ru-RU"/>
        </w:rPr>
        <w:t>Мощные полупроводниковые приборы являются теми компонентами, которые определяют эффективность, габариты и стоимость электронных систем для управления энергией. Быстро увеличивающаяся потребность контролируемых силовых электронных системах стимулирует исследования новых материалов но</w:t>
      </w:r>
      <w:bookmarkStart w:id="2" w:name="_GoBack"/>
      <w:bookmarkEnd w:id="2"/>
      <w:r w:rsidRPr="002D4DBC">
        <w:rPr>
          <w:rFonts w:eastAsia="Times New Roman" w:cs="Times New Roman"/>
          <w:color w:val="auto"/>
          <w:szCs w:val="20"/>
          <w:lang w:eastAsia="ru-RU"/>
        </w:rPr>
        <w:t>вых материалов, структур и топологий для таких приборов. Современные мощные приборы неизменно изготавливаются с использованием кремния как основного материала. Среди перспективных полупроводниковых материалов наибольшее внимание привлекает карбид кремния, арсенид галлия и</w:t>
      </w:r>
      <w:r w:rsidR="00E01BEB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2D4DBC">
        <w:rPr>
          <w:rFonts w:eastAsia="Times New Roman" w:cs="Times New Roman"/>
          <w:color w:val="auto"/>
          <w:szCs w:val="20"/>
          <w:lang w:eastAsia="ru-RU"/>
        </w:rPr>
        <w:t>нитрид галлия.</w:t>
      </w:r>
    </w:p>
    <w:p w:rsidR="002D4DBC" w:rsidRPr="002D4DBC" w:rsidRDefault="002D4DBC" w:rsidP="00E01BEB">
      <w:pPr>
        <w:spacing w:after="12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2D4DBC">
        <w:rPr>
          <w:rFonts w:eastAsia="Times New Roman" w:cs="Times New Roman"/>
          <w:color w:val="auto"/>
          <w:szCs w:val="20"/>
          <w:lang w:eastAsia="ru-RU"/>
        </w:rPr>
        <w:t xml:space="preserve">Таблица </w:t>
      </w:r>
      <w:r w:rsidR="00D2295C">
        <w:rPr>
          <w:rFonts w:eastAsia="Times New Roman" w:cs="Times New Roman"/>
          <w:color w:val="auto"/>
          <w:szCs w:val="20"/>
          <w:lang w:eastAsia="ru-RU"/>
        </w:rPr>
        <w:t>12.</w:t>
      </w:r>
      <w:r w:rsidRPr="002D4DBC">
        <w:rPr>
          <w:rFonts w:eastAsia="Times New Roman" w:cs="Times New Roman"/>
          <w:color w:val="auto"/>
          <w:szCs w:val="20"/>
          <w:lang w:eastAsia="ru-RU"/>
        </w:rPr>
        <w:t xml:space="preserve">1 Сравнительные характеристики полупроводниковых материалов, и электрических параметров ультрабыстрых диодов на </w:t>
      </w:r>
      <w:r w:rsidRPr="002D4DBC">
        <w:rPr>
          <w:rFonts w:eastAsia="Times New Roman" w:cs="Times New Roman"/>
          <w:color w:val="auto"/>
          <w:szCs w:val="20"/>
          <w:lang w:val="en-US" w:eastAsia="ru-RU"/>
        </w:rPr>
        <w:t>Si</w:t>
      </w:r>
      <w:r w:rsidRPr="002D4DBC">
        <w:rPr>
          <w:rFonts w:eastAsia="Times New Roman" w:cs="Times New Roman"/>
          <w:color w:val="auto"/>
          <w:szCs w:val="20"/>
          <w:lang w:eastAsia="ru-RU"/>
        </w:rPr>
        <w:t xml:space="preserve">, </w:t>
      </w:r>
      <w:r w:rsidRPr="002D4DBC">
        <w:rPr>
          <w:rFonts w:eastAsia="Times New Roman" w:cs="Times New Roman"/>
          <w:color w:val="auto"/>
          <w:szCs w:val="20"/>
          <w:lang w:val="en-US" w:eastAsia="ru-RU"/>
        </w:rPr>
        <w:t>GaAs</w:t>
      </w:r>
      <w:r w:rsidRPr="002D4DBC">
        <w:rPr>
          <w:rFonts w:eastAsia="Times New Roman" w:cs="Times New Roman"/>
          <w:color w:val="auto"/>
          <w:szCs w:val="20"/>
          <w:lang w:eastAsia="ru-RU"/>
        </w:rPr>
        <w:t xml:space="preserve">, </w:t>
      </w:r>
      <w:r w:rsidRPr="002D4DBC">
        <w:rPr>
          <w:rFonts w:eastAsia="Times New Roman" w:cs="Times New Roman"/>
          <w:color w:val="auto"/>
          <w:szCs w:val="20"/>
          <w:lang w:val="en-US" w:eastAsia="ru-RU"/>
        </w:rPr>
        <w:t>SiC</w:t>
      </w:r>
      <w:r w:rsidRPr="002D4DBC">
        <w:rPr>
          <w:rFonts w:eastAsia="Times New Roman" w:cs="Times New Roman"/>
          <w:color w:val="auto"/>
          <w:szCs w:val="20"/>
          <w:lang w:eastAsia="ru-RU"/>
        </w:rPr>
        <w:t xml:space="preserve"> и </w:t>
      </w:r>
      <w:r w:rsidRPr="002D4DBC">
        <w:rPr>
          <w:rFonts w:eastAsia="Times New Roman" w:cs="Times New Roman"/>
          <w:color w:val="auto"/>
          <w:szCs w:val="20"/>
          <w:lang w:val="en-US" w:eastAsia="ru-RU"/>
        </w:rPr>
        <w:t>GaN</w:t>
      </w:r>
      <w:r w:rsidRPr="002D4DBC">
        <w:rPr>
          <w:rFonts w:eastAsia="Times New Roman" w:cs="Times New Roman"/>
          <w:color w:val="auto"/>
          <w:szCs w:val="20"/>
          <w:lang w:eastAsia="ru-RU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4084"/>
        <w:gridCol w:w="911"/>
        <w:gridCol w:w="1666"/>
        <w:gridCol w:w="1666"/>
        <w:gridCol w:w="1257"/>
      </w:tblGrid>
      <w:tr w:rsidR="002D4DBC" w:rsidRPr="002D4DBC" w:rsidTr="00E01BEB">
        <w:trPr>
          <w:jc w:val="center"/>
        </w:trPr>
        <w:tc>
          <w:tcPr>
            <w:tcW w:w="4084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both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Свойство</w:t>
            </w:r>
          </w:p>
        </w:tc>
        <w:tc>
          <w:tcPr>
            <w:tcW w:w="911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Si</w:t>
            </w:r>
          </w:p>
        </w:tc>
        <w:tc>
          <w:tcPr>
            <w:tcW w:w="1666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  <w:lang w:val="en-US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GaAs</w:t>
            </w:r>
          </w:p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  <w:lang w:val="en-US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  <w:lang w:val="en-US"/>
              </w:rPr>
              <w:t>(p-i-n)</w:t>
            </w:r>
          </w:p>
        </w:tc>
        <w:tc>
          <w:tcPr>
            <w:tcW w:w="1666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4H-SiC</w:t>
            </w:r>
          </w:p>
        </w:tc>
        <w:tc>
          <w:tcPr>
            <w:tcW w:w="1257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GaN</w:t>
            </w:r>
          </w:p>
        </w:tc>
      </w:tr>
      <w:tr w:rsidR="002D4DBC" w:rsidRPr="002D4DBC" w:rsidTr="00E01BEB">
        <w:trPr>
          <w:jc w:val="center"/>
        </w:trPr>
        <w:tc>
          <w:tcPr>
            <w:tcW w:w="4084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both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Ширина запрещенной зоны, эВ</w:t>
            </w:r>
          </w:p>
        </w:tc>
        <w:tc>
          <w:tcPr>
            <w:tcW w:w="911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1,12</w:t>
            </w:r>
          </w:p>
        </w:tc>
        <w:tc>
          <w:tcPr>
            <w:tcW w:w="1666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1,43</w:t>
            </w:r>
          </w:p>
        </w:tc>
        <w:tc>
          <w:tcPr>
            <w:tcW w:w="1666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3,26</w:t>
            </w:r>
          </w:p>
        </w:tc>
        <w:tc>
          <w:tcPr>
            <w:tcW w:w="1257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3,45</w:t>
            </w:r>
          </w:p>
        </w:tc>
      </w:tr>
      <w:tr w:rsidR="002D4DBC" w:rsidRPr="002D4DBC" w:rsidTr="00E01BEB">
        <w:trPr>
          <w:jc w:val="center"/>
        </w:trPr>
        <w:tc>
          <w:tcPr>
            <w:tcW w:w="4084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both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Диэлектрическая проницаемость</w:t>
            </w:r>
          </w:p>
        </w:tc>
        <w:tc>
          <w:tcPr>
            <w:tcW w:w="911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11,9</w:t>
            </w:r>
          </w:p>
        </w:tc>
        <w:tc>
          <w:tcPr>
            <w:tcW w:w="1666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13,1</w:t>
            </w:r>
          </w:p>
        </w:tc>
        <w:tc>
          <w:tcPr>
            <w:tcW w:w="1666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10,1</w:t>
            </w:r>
          </w:p>
        </w:tc>
        <w:tc>
          <w:tcPr>
            <w:tcW w:w="1257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9</w:t>
            </w:r>
          </w:p>
        </w:tc>
      </w:tr>
      <w:tr w:rsidR="002D4DBC" w:rsidRPr="002D4DBC" w:rsidTr="00E01BEB">
        <w:trPr>
          <w:jc w:val="center"/>
        </w:trPr>
        <w:tc>
          <w:tcPr>
            <w:tcW w:w="4084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both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Критическая напряженность электрического поля, кВ/см</w:t>
            </w:r>
          </w:p>
        </w:tc>
        <w:tc>
          <w:tcPr>
            <w:tcW w:w="911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300</w:t>
            </w:r>
          </w:p>
        </w:tc>
        <w:tc>
          <w:tcPr>
            <w:tcW w:w="1666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455</w:t>
            </w:r>
          </w:p>
        </w:tc>
        <w:tc>
          <w:tcPr>
            <w:tcW w:w="1666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2200</w:t>
            </w:r>
          </w:p>
        </w:tc>
        <w:tc>
          <w:tcPr>
            <w:tcW w:w="1257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2000</w:t>
            </w:r>
          </w:p>
        </w:tc>
      </w:tr>
      <w:tr w:rsidR="002D4DBC" w:rsidRPr="002D4DBC" w:rsidTr="00E01BEB">
        <w:trPr>
          <w:trHeight w:val="485"/>
          <w:jc w:val="center"/>
        </w:trPr>
        <w:tc>
          <w:tcPr>
            <w:tcW w:w="4084" w:type="dxa"/>
            <w:hideMark/>
          </w:tcPr>
          <w:p w:rsidR="00E01BEB" w:rsidRDefault="00E01BEB" w:rsidP="002D4DBC">
            <w:pPr>
              <w:spacing w:after="160" w:line="259" w:lineRule="auto"/>
              <w:contextualSpacing/>
              <w:jc w:val="both"/>
              <w:rPr>
                <w:rFonts w:eastAsia="Calibri" w:cs="Times New Roman"/>
                <w:snapToGrid w:val="0"/>
                <w:color w:val="auto"/>
                <w:szCs w:val="22"/>
              </w:rPr>
            </w:pPr>
            <w:r>
              <w:rPr>
                <w:rFonts w:eastAsia="Calibri" w:cs="Times New Roman"/>
                <w:snapToGrid w:val="0"/>
                <w:color w:val="auto"/>
                <w:szCs w:val="22"/>
              </w:rPr>
              <w:t>Подвижность электронов,</w:t>
            </w:r>
          </w:p>
          <w:p w:rsidR="002D4DBC" w:rsidRPr="002D4DBC" w:rsidRDefault="002D4DBC" w:rsidP="002D4DBC">
            <w:pPr>
              <w:spacing w:after="160" w:line="259" w:lineRule="auto"/>
              <w:contextualSpacing/>
              <w:jc w:val="both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см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softHyphen/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softHyphen/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  <w:vertAlign w:val="superscript"/>
              </w:rPr>
              <w:t>2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/В·с</w:t>
            </w:r>
          </w:p>
        </w:tc>
        <w:tc>
          <w:tcPr>
            <w:tcW w:w="911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1500</w:t>
            </w:r>
          </w:p>
        </w:tc>
        <w:tc>
          <w:tcPr>
            <w:tcW w:w="1666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  <w:lang w:val="en-US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  <w:lang w:val="en-US"/>
              </w:rPr>
              <w:t>10000</w:t>
            </w:r>
          </w:p>
        </w:tc>
        <w:tc>
          <w:tcPr>
            <w:tcW w:w="1666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900</w:t>
            </w:r>
          </w:p>
        </w:tc>
        <w:tc>
          <w:tcPr>
            <w:tcW w:w="1257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1000</w:t>
            </w:r>
          </w:p>
        </w:tc>
      </w:tr>
      <w:tr w:rsidR="002D4DBC" w:rsidRPr="002D4DBC" w:rsidTr="00E01BEB">
        <w:trPr>
          <w:jc w:val="center"/>
        </w:trPr>
        <w:tc>
          <w:tcPr>
            <w:tcW w:w="4084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both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Подвижность дырок, см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softHyphen/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softHyphen/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  <w:vertAlign w:val="superscript"/>
              </w:rPr>
              <w:t>2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/В·с</w:t>
            </w:r>
          </w:p>
        </w:tc>
        <w:tc>
          <w:tcPr>
            <w:tcW w:w="911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600</w:t>
            </w:r>
          </w:p>
        </w:tc>
        <w:tc>
          <w:tcPr>
            <w:tcW w:w="1666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400</w:t>
            </w:r>
          </w:p>
        </w:tc>
        <w:tc>
          <w:tcPr>
            <w:tcW w:w="1666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115</w:t>
            </w:r>
          </w:p>
        </w:tc>
        <w:tc>
          <w:tcPr>
            <w:tcW w:w="1257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850</w:t>
            </w:r>
          </w:p>
        </w:tc>
      </w:tr>
      <w:tr w:rsidR="002D4DBC" w:rsidRPr="002D4DBC" w:rsidTr="00E01BEB">
        <w:trPr>
          <w:jc w:val="center"/>
        </w:trPr>
        <w:tc>
          <w:tcPr>
            <w:tcW w:w="4084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both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Коэффициент теплопроводности, Вт/см·К</w:t>
            </w:r>
          </w:p>
        </w:tc>
        <w:tc>
          <w:tcPr>
            <w:tcW w:w="911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1,5</w:t>
            </w:r>
          </w:p>
        </w:tc>
        <w:tc>
          <w:tcPr>
            <w:tcW w:w="1666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0,46</w:t>
            </w:r>
          </w:p>
        </w:tc>
        <w:tc>
          <w:tcPr>
            <w:tcW w:w="1666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4,9</w:t>
            </w:r>
          </w:p>
        </w:tc>
        <w:tc>
          <w:tcPr>
            <w:tcW w:w="1257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1,3</w:t>
            </w:r>
          </w:p>
        </w:tc>
      </w:tr>
      <w:tr w:rsidR="002D4DBC" w:rsidRPr="002D4DBC" w:rsidTr="00E01BEB">
        <w:trPr>
          <w:jc w:val="center"/>
        </w:trPr>
        <w:tc>
          <w:tcPr>
            <w:tcW w:w="4084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both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Скорость дрейфа электронов в режиме насыщения, 10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  <w:vertAlign w:val="superscript"/>
              </w:rPr>
              <w:t>7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см/c</w:t>
            </w:r>
          </w:p>
        </w:tc>
        <w:tc>
          <w:tcPr>
            <w:tcW w:w="911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1</w:t>
            </w:r>
          </w:p>
        </w:tc>
        <w:tc>
          <w:tcPr>
            <w:tcW w:w="1666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  <w:lang w:val="en-US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1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  <w:lang w:val="en-US"/>
              </w:rPr>
              <w:t>,5</w:t>
            </w:r>
          </w:p>
        </w:tc>
        <w:tc>
          <w:tcPr>
            <w:tcW w:w="1666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2</w:t>
            </w:r>
          </w:p>
        </w:tc>
        <w:tc>
          <w:tcPr>
            <w:tcW w:w="1257" w:type="dxa"/>
            <w:hideMark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2,2</w:t>
            </w:r>
          </w:p>
        </w:tc>
      </w:tr>
      <w:tr w:rsidR="002D4DBC" w:rsidRPr="002D4DBC" w:rsidTr="00E01BEB">
        <w:trPr>
          <w:jc w:val="center"/>
        </w:trPr>
        <w:tc>
          <w:tcPr>
            <w:tcW w:w="4084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both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 xml:space="preserve">Предельная рабочая температура 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  <w:lang w:val="en-US"/>
              </w:rPr>
              <w:t>p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-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  <w:lang w:val="en-US"/>
              </w:rPr>
              <w:t>n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 xml:space="preserve"> перехода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color w:val="auto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color w:val="auto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color w:val="auto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color w:val="auto"/>
                  <w:szCs w:val="22"/>
                </w:rPr>
                <m:t>°C</m:t>
              </m:r>
            </m:oMath>
          </w:p>
        </w:tc>
        <w:tc>
          <w:tcPr>
            <w:tcW w:w="911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+175</w:t>
            </w:r>
          </w:p>
        </w:tc>
        <w:tc>
          <w:tcPr>
            <w:tcW w:w="1666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+260…+300</w:t>
            </w:r>
          </w:p>
        </w:tc>
        <w:tc>
          <w:tcPr>
            <w:tcW w:w="1666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+175…+200</w:t>
            </w:r>
          </w:p>
        </w:tc>
        <w:tc>
          <w:tcPr>
            <w:tcW w:w="1257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+200</w:t>
            </w:r>
          </w:p>
        </w:tc>
      </w:tr>
      <w:tr w:rsidR="002D4DBC" w:rsidRPr="002D4DBC" w:rsidTr="00E01BEB">
        <w:trPr>
          <w:jc w:val="center"/>
        </w:trPr>
        <w:tc>
          <w:tcPr>
            <w:tcW w:w="4084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both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 xml:space="preserve">Отсечка прямого напряжения 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  <w:lang w:val="en-US"/>
              </w:rPr>
              <w:t>p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-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  <w:lang w:val="en-US"/>
              </w:rPr>
              <w:t>n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 xml:space="preserve">-перехода, 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  <w:lang w:val="en-US"/>
              </w:rPr>
              <w:t>B</w:t>
            </w:r>
          </w:p>
        </w:tc>
        <w:tc>
          <w:tcPr>
            <w:tcW w:w="911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m:oMath>
              <m:r>
                <w:rPr>
                  <w:rFonts w:ascii="Cambria Math" w:eastAsia="Calibri" w:hAnsi="Cambria Math" w:cs="Times New Roman"/>
                  <w:snapToGrid w:val="0"/>
                  <w:color w:val="auto"/>
                  <w:szCs w:val="22"/>
                </w:rPr>
                <m:t>≈</m:t>
              </m:r>
            </m:oMath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0,6</w:t>
            </w:r>
          </w:p>
        </w:tc>
        <w:tc>
          <w:tcPr>
            <w:tcW w:w="1666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1,05</w:t>
            </w:r>
          </w:p>
        </w:tc>
        <w:tc>
          <w:tcPr>
            <w:tcW w:w="1666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2,8</w:t>
            </w:r>
          </w:p>
        </w:tc>
        <w:tc>
          <w:tcPr>
            <w:tcW w:w="1257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2,9</w:t>
            </w:r>
          </w:p>
        </w:tc>
      </w:tr>
      <w:tr w:rsidR="002D4DBC" w:rsidRPr="002D4DBC" w:rsidTr="00E01BEB">
        <w:trPr>
          <w:jc w:val="center"/>
        </w:trPr>
        <w:tc>
          <w:tcPr>
            <w:tcW w:w="4084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both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 xml:space="preserve">Прямое падение напряжения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color w:val="auto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color w:val="auto"/>
                      <w:szCs w:val="2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color w:val="auto"/>
                      <w:szCs w:val="22"/>
                    </w:rPr>
                    <m:t>пр</m:t>
                  </m:r>
                </m:sub>
              </m:sSub>
            </m:oMath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 xml:space="preserve">, 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  <w:lang w:val="en-US"/>
              </w:rPr>
              <w:t>B</w:t>
            </w:r>
          </w:p>
        </w:tc>
        <w:tc>
          <w:tcPr>
            <w:tcW w:w="911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lastRenderedPageBreak/>
              <w:t>1,5</w:t>
            </w:r>
          </w:p>
        </w:tc>
        <w:tc>
          <w:tcPr>
            <w:tcW w:w="1666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1,8</w:t>
            </w:r>
          </w:p>
        </w:tc>
        <w:tc>
          <w:tcPr>
            <w:tcW w:w="1666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1,5</w:t>
            </w:r>
          </w:p>
        </w:tc>
        <w:tc>
          <w:tcPr>
            <w:tcW w:w="1257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1,6</w:t>
            </w:r>
          </w:p>
        </w:tc>
      </w:tr>
      <w:tr w:rsidR="002D4DBC" w:rsidRPr="002D4DBC" w:rsidTr="00E01BEB">
        <w:trPr>
          <w:jc w:val="center"/>
        </w:trPr>
        <w:tc>
          <w:tcPr>
            <w:tcW w:w="4084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both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lastRenderedPageBreak/>
              <w:t>Время восстановления обратного сопротивления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color w:val="auto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color w:val="auto"/>
                      <w:szCs w:val="22"/>
                    </w:rPr>
                    <m:t>τ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color w:val="auto"/>
                      <w:szCs w:val="22"/>
                    </w:rPr>
                    <m:t>восст</m:t>
                  </m:r>
                </m:sub>
              </m:sSub>
            </m:oMath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, нс (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color w:val="auto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color w:val="auto"/>
                      <w:szCs w:val="22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color w:val="auto"/>
                      <w:szCs w:val="22"/>
                    </w:rPr>
                    <m:t>пр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color w:val="auto"/>
                  <w:szCs w:val="22"/>
                </w:rPr>
                <m:t xml:space="preserve">=8А,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color w:val="auto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color w:val="auto"/>
                      <w:szCs w:val="2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color w:val="auto"/>
                      <w:szCs w:val="22"/>
                    </w:rPr>
                    <m:t>обр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color w:val="auto"/>
                  <w:szCs w:val="22"/>
                </w:rPr>
                <m:t>=600В</m:t>
              </m:r>
            </m:oMath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)</w:t>
            </w:r>
          </w:p>
        </w:tc>
        <w:tc>
          <w:tcPr>
            <w:tcW w:w="911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40</w:t>
            </w:r>
          </w:p>
        </w:tc>
        <w:tc>
          <w:tcPr>
            <w:tcW w:w="1666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22</w:t>
            </w:r>
          </w:p>
        </w:tc>
        <w:tc>
          <w:tcPr>
            <w:tcW w:w="1666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10 (ДБШ)</w:t>
            </w:r>
          </w:p>
        </w:tc>
        <w:tc>
          <w:tcPr>
            <w:tcW w:w="1257" w:type="dxa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snapToGrid w:val="0"/>
                <w:color w:val="auto"/>
                <w:szCs w:val="22"/>
              </w:rPr>
            </w:pP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30 (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  <w:lang w:val="en-US"/>
              </w:rPr>
              <w:t>GaN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/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  <w:lang w:val="en-US"/>
              </w:rPr>
              <w:t>Si</w:t>
            </w:r>
            <w:r w:rsidRPr="002D4DBC">
              <w:rPr>
                <w:rFonts w:eastAsia="Calibri" w:cs="Times New Roman"/>
                <w:snapToGrid w:val="0"/>
                <w:color w:val="auto"/>
                <w:szCs w:val="22"/>
              </w:rPr>
              <w:t>)</w:t>
            </w:r>
          </w:p>
        </w:tc>
      </w:tr>
    </w:tbl>
    <w:p w:rsidR="002D4DBC" w:rsidRPr="002D4DBC" w:rsidRDefault="002D4DBC" w:rsidP="002D4DBC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lang w:eastAsia="ru-RU"/>
        </w:rPr>
      </w:pPr>
    </w:p>
    <w:p w:rsidR="002D4DBC" w:rsidRPr="002D4DBC" w:rsidRDefault="002D4DBC" w:rsidP="002D4DBC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2D4DBC">
        <w:rPr>
          <w:rFonts w:eastAsia="Times New Roman" w:cs="Times New Roman"/>
          <w:color w:val="auto"/>
          <w:szCs w:val="20"/>
          <w:lang w:eastAsia="ru-RU"/>
        </w:rPr>
        <w:t>Во всех современных зарубежных и отечественных публикациях по силовой электронике предпочтение отдается SiC и GaN как материалам, значительно превосходящим по своим физическим параметрам Si и GaAs. На первый взгляд, это логично, а именно:</w:t>
      </w:r>
    </w:p>
    <w:p w:rsidR="002D4DBC" w:rsidRPr="002D4DBC" w:rsidRDefault="002D4DBC" w:rsidP="002D4DBC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2D4DBC">
        <w:rPr>
          <w:rFonts w:eastAsia="Times New Roman" w:cs="Times New Roman"/>
          <w:color w:val="auto"/>
          <w:szCs w:val="20"/>
          <w:lang w:eastAsia="ru-RU"/>
        </w:rPr>
        <w:t>- удельное сопротивление приборов в открытом состоянии на порядок меньше;</w:t>
      </w:r>
    </w:p>
    <w:p w:rsidR="002D4DBC" w:rsidRPr="002D4DBC" w:rsidRDefault="002D4DBC" w:rsidP="002D4DBC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2D4DBC">
        <w:rPr>
          <w:rFonts w:eastAsia="Times New Roman" w:cs="Times New Roman"/>
          <w:color w:val="auto"/>
          <w:szCs w:val="20"/>
          <w:lang w:eastAsia="ru-RU"/>
        </w:rPr>
        <w:t>- радиационная стойкость очень высокая;</w:t>
      </w:r>
    </w:p>
    <w:p w:rsidR="002D4DBC" w:rsidRPr="002D4DBC" w:rsidRDefault="002D4DBC" w:rsidP="002D4DBC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2D4DBC">
        <w:rPr>
          <w:rFonts w:eastAsia="Times New Roman" w:cs="Times New Roman"/>
          <w:color w:val="auto"/>
          <w:szCs w:val="20"/>
          <w:lang w:eastAsia="ru-RU"/>
        </w:rPr>
        <w:t>- теплопроводность, особенно у SiC, исключительно высокая;</w:t>
      </w:r>
    </w:p>
    <w:p w:rsidR="002D4DBC" w:rsidRPr="002D4DBC" w:rsidRDefault="002D4DBC" w:rsidP="002D4DBC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2D4DBC">
        <w:rPr>
          <w:rFonts w:eastAsia="Times New Roman" w:cs="Times New Roman"/>
          <w:color w:val="auto"/>
          <w:szCs w:val="20"/>
          <w:lang w:eastAsia="ru-RU"/>
        </w:rPr>
        <w:t>- обратные токи - почти нулевые (ширина запрещенной зоны);</w:t>
      </w:r>
    </w:p>
    <w:p w:rsidR="002D4DBC" w:rsidRPr="002D4DBC" w:rsidRDefault="002D4DBC" w:rsidP="002D4DBC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2D4DBC">
        <w:rPr>
          <w:rFonts w:eastAsia="Times New Roman" w:cs="Times New Roman"/>
          <w:color w:val="auto"/>
          <w:szCs w:val="20"/>
          <w:lang w:eastAsia="ru-RU"/>
        </w:rPr>
        <w:t>- накопленные заряды - сверхмалые;</w:t>
      </w:r>
    </w:p>
    <w:p w:rsidR="002D4DBC" w:rsidRPr="002D4DBC" w:rsidRDefault="002D4DBC" w:rsidP="002D4DBC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2D4DBC">
        <w:rPr>
          <w:rFonts w:eastAsia="Times New Roman" w:cs="Times New Roman"/>
          <w:color w:val="auto"/>
          <w:szCs w:val="20"/>
          <w:lang w:eastAsia="ru-RU"/>
        </w:rPr>
        <w:t>- быстродействие…</w:t>
      </w:r>
    </w:p>
    <w:p w:rsidR="002D4DBC" w:rsidRPr="002D4DBC" w:rsidRDefault="002D4DBC" w:rsidP="002D4DBC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lang w:eastAsia="ru-RU"/>
        </w:rPr>
      </w:pPr>
      <w:r w:rsidRPr="002D4DBC">
        <w:rPr>
          <w:rFonts w:eastAsia="Times New Roman" w:cs="Times New Roman"/>
          <w:color w:val="auto"/>
          <w:lang w:eastAsia="ru-RU"/>
        </w:rPr>
        <w:t>Необходимо отметить, что силовые приборы на Si, GaAs, SiC создаются либо на монокристаллах, либо на базовых гомоэпитаксиальных слоях, т. е. в качестве подложек используется «родной» кристалл, в то время как качественных коммерческих монокристаллических GaN-подложек пока нет. Выращивание эпитаксиальных GaN-структур на монокристаллических подложках SiC и Si осложняется кристаллографическими несоответствиями на границе раздела двух полупроводников, что приводит к механическим напряженностям и высокой дефектности структур, следовательно, и к их высокой стоимости.</w:t>
      </w:r>
    </w:p>
    <w:p w:rsidR="002D4DBC" w:rsidRPr="002D4DBC" w:rsidRDefault="002D4DBC" w:rsidP="002D4DBC">
      <w:pPr>
        <w:spacing w:after="0" w:line="240" w:lineRule="auto"/>
        <w:ind w:firstLine="360"/>
        <w:jc w:val="both"/>
        <w:rPr>
          <w:rFonts w:eastAsia="Times New Roman" w:cs="Times New Roman"/>
          <w:color w:val="auto"/>
          <w:lang w:eastAsia="ru-RU"/>
        </w:rPr>
      </w:pPr>
      <w:r w:rsidRPr="002D4DBC">
        <w:rPr>
          <w:rFonts w:eastAsia="Times New Roman" w:cs="Times New Roman"/>
          <w:color w:val="auto"/>
          <w:lang w:eastAsia="ru-RU"/>
        </w:rPr>
        <w:t>При проектировании мощных приборов и технологических процессов их изготовления ученые ведут поиск новых разработок для совершенного полупроводникового переключателя, определяемого следующими отличительными знаками:</w:t>
      </w:r>
    </w:p>
    <w:p w:rsidR="002D4DBC" w:rsidRPr="002D4DBC" w:rsidRDefault="002D4DBC" w:rsidP="002D4DBC">
      <w:pPr>
        <w:numPr>
          <w:ilvl w:val="0"/>
          <w:numId w:val="3"/>
        </w:numPr>
        <w:spacing w:after="160" w:line="259" w:lineRule="auto"/>
        <w:contextualSpacing/>
        <w:jc w:val="both"/>
        <w:rPr>
          <w:rFonts w:eastAsia="Times New Roman" w:cs="Times New Roman"/>
          <w:color w:val="auto"/>
          <w:lang w:eastAsia="ru-RU"/>
        </w:rPr>
      </w:pPr>
      <w:r w:rsidRPr="002D4DBC">
        <w:rPr>
          <w:rFonts w:eastAsia="Times New Roman" w:cs="Times New Roman"/>
          <w:color w:val="auto"/>
          <w:lang w:eastAsia="ru-RU"/>
        </w:rPr>
        <w:t>Очень низкие потери управления: переключатель имеет высокий входной импеданс, так что управляющий ток бесконечно мал. Кроме того, управляющая схема проста и дешева.</w:t>
      </w:r>
    </w:p>
    <w:p w:rsidR="002D4DBC" w:rsidRPr="002D4DBC" w:rsidRDefault="002D4DBC" w:rsidP="002D4DBC">
      <w:pPr>
        <w:numPr>
          <w:ilvl w:val="0"/>
          <w:numId w:val="3"/>
        </w:numPr>
        <w:spacing w:after="160" w:line="259" w:lineRule="auto"/>
        <w:contextualSpacing/>
        <w:jc w:val="both"/>
        <w:rPr>
          <w:rFonts w:eastAsia="Times New Roman" w:cs="Times New Roman"/>
          <w:color w:val="auto"/>
          <w:lang w:eastAsia="ru-RU"/>
        </w:rPr>
      </w:pPr>
      <w:r w:rsidRPr="002D4DBC">
        <w:rPr>
          <w:rFonts w:eastAsia="Times New Roman" w:cs="Times New Roman"/>
          <w:color w:val="auto"/>
          <w:lang w:eastAsia="ru-RU"/>
        </w:rPr>
        <w:t>Незначительные потери в состоянии «включено» или прямой проводимости: падение прямого напряжения при рабочем токе равно нулю. Кроме того, плотность рабочего тока велика, что делает чип малым по размеру и рентабельным для данной токонесущей мощности.</w:t>
      </w:r>
    </w:p>
    <w:p w:rsidR="002D4DBC" w:rsidRPr="002D4DBC" w:rsidRDefault="002D4DBC" w:rsidP="002D4DBC">
      <w:pPr>
        <w:numPr>
          <w:ilvl w:val="0"/>
          <w:numId w:val="3"/>
        </w:numPr>
        <w:spacing w:after="160" w:line="259" w:lineRule="auto"/>
        <w:contextualSpacing/>
        <w:jc w:val="both"/>
        <w:rPr>
          <w:rFonts w:eastAsia="Times New Roman" w:cs="Times New Roman"/>
          <w:color w:val="auto"/>
          <w:lang w:eastAsia="ru-RU"/>
        </w:rPr>
      </w:pPr>
      <w:r w:rsidRPr="002D4DBC">
        <w:rPr>
          <w:rFonts w:eastAsia="Times New Roman" w:cs="Times New Roman"/>
          <w:color w:val="auto"/>
          <w:lang w:eastAsia="ru-RU"/>
        </w:rPr>
        <w:t>Минимальные потери в состоянии «выключено» или обратного запирания: бесконечно большое обратное запирающее напряжение вместе с нулевым током утечки, даже когда прибор работает при повышенных температурах.</w:t>
      </w:r>
    </w:p>
    <w:p w:rsidR="002D4DBC" w:rsidRPr="002D4DBC" w:rsidRDefault="002D4DBC" w:rsidP="002D4DBC">
      <w:pPr>
        <w:numPr>
          <w:ilvl w:val="0"/>
          <w:numId w:val="3"/>
        </w:numPr>
        <w:spacing w:after="160" w:line="259" w:lineRule="auto"/>
        <w:contextualSpacing/>
        <w:jc w:val="both"/>
        <w:rPr>
          <w:rFonts w:eastAsia="Times New Roman" w:cs="Times New Roman"/>
          <w:color w:val="auto"/>
          <w:lang w:eastAsia="ru-RU"/>
        </w:rPr>
      </w:pPr>
      <w:r w:rsidRPr="002D4DBC">
        <w:rPr>
          <w:rFonts w:eastAsia="Times New Roman" w:cs="Times New Roman"/>
          <w:color w:val="auto"/>
          <w:lang w:eastAsia="ru-RU"/>
        </w:rPr>
        <w:t xml:space="preserve">Чрезвычайно низкие потери переключения: длительности как включения, так и выключения почти равны нулю. Для систем </w:t>
      </w:r>
      <w:r w:rsidRPr="002D4DBC">
        <w:rPr>
          <w:rFonts w:eastAsia="Times New Roman" w:cs="Times New Roman"/>
          <w:color w:val="auto"/>
          <w:lang w:eastAsia="ru-RU"/>
        </w:rPr>
        <w:lastRenderedPageBreak/>
        <w:t>постоянного тока (длительность периода = ∞) и низкочастотных применений (период значительный, но конечный) эти потери очень малы, поскольку времена переключения намного меньше, чем длительность соответствующего периода.</w:t>
      </w:r>
    </w:p>
    <w:p w:rsidR="002D4DBC" w:rsidRPr="002D4DBC" w:rsidRDefault="002D4DBC" w:rsidP="002D4DBC">
      <w:pPr>
        <w:spacing w:after="0" w:line="240" w:lineRule="auto"/>
        <w:ind w:firstLine="360"/>
        <w:jc w:val="both"/>
        <w:rPr>
          <w:rFonts w:eastAsia="Times New Roman" w:cs="Times New Roman"/>
          <w:color w:val="auto"/>
          <w:lang w:eastAsia="ru-RU"/>
        </w:rPr>
      </w:pPr>
      <w:r w:rsidRPr="002D4DBC">
        <w:rPr>
          <w:rFonts w:eastAsia="Times New Roman" w:cs="Times New Roman"/>
          <w:color w:val="auto"/>
          <w:lang w:eastAsia="ru-RU"/>
        </w:rPr>
        <w:t xml:space="preserve">В настоящее время в применениях, где не требуется способность к управляемому запиранию, тиристоры и приборы с наиболее высокой плотностью мощности, являются основополагающими компонентами силовой электроники, имеющие высокие прямые токи величиной </w:t>
      </w:r>
      <m:oMath>
        <m:r>
          <w:rPr>
            <w:rFonts w:ascii="Cambria Math" w:eastAsia="Times New Roman" w:hAnsi="Cambria Math" w:cs="Times New Roman"/>
            <w:color w:val="auto"/>
            <w:lang w:eastAsia="ru-RU"/>
          </w:rPr>
          <m:t>~3500А</m:t>
        </m:r>
      </m:oMath>
      <w:r w:rsidRPr="002D4DBC">
        <w:rPr>
          <w:rFonts w:eastAsia="Times New Roman" w:cs="Times New Roman"/>
          <w:color w:val="auto"/>
          <w:lang w:eastAsia="ru-RU"/>
        </w:rPr>
        <w:t xml:space="preserve"> при прямом падении напряжения </w:t>
      </w:r>
      <m:oMath>
        <m:r>
          <w:rPr>
            <w:rFonts w:ascii="Cambria Math" w:eastAsia="Times New Roman" w:hAnsi="Cambria Math" w:cs="Times New Roman"/>
            <w:color w:val="auto"/>
            <w:lang w:eastAsia="ru-RU"/>
          </w:rPr>
          <m:t>&lt;2</m:t>
        </m:r>
      </m:oMath>
      <w:r w:rsidR="00A77543" w:rsidRPr="00A77543">
        <w:rPr>
          <w:rFonts w:eastAsia="Times New Roman" w:cs="Times New Roman"/>
          <w:color w:val="auto"/>
          <w:lang w:eastAsia="ru-RU"/>
        </w:rPr>
        <w:t xml:space="preserve"> </w:t>
      </w:r>
      <w:r w:rsidRPr="002D4DBC">
        <w:rPr>
          <w:rFonts w:eastAsia="Times New Roman" w:cs="Times New Roman"/>
          <w:color w:val="auto"/>
          <w:lang w:eastAsia="ru-RU"/>
        </w:rPr>
        <w:t xml:space="preserve">В, и выдерживающие </w:t>
      </w:r>
      <m:oMath>
        <m:r>
          <w:rPr>
            <w:rFonts w:ascii="Cambria Math" w:eastAsia="Times New Roman" w:hAnsi="Cambria Math" w:cs="Times New Roman"/>
            <w:color w:val="auto"/>
            <w:lang w:eastAsia="ru-RU"/>
          </w:rPr>
          <m:t>≥6000</m:t>
        </m:r>
      </m:oMath>
      <w:r w:rsidR="00A77543" w:rsidRPr="00A77543">
        <w:rPr>
          <w:rFonts w:eastAsia="Times New Roman" w:cs="Times New Roman"/>
          <w:color w:val="auto"/>
          <w:lang w:eastAsia="ru-RU"/>
        </w:rPr>
        <w:t xml:space="preserve"> </w:t>
      </w:r>
      <w:r w:rsidRPr="002D4DBC">
        <w:rPr>
          <w:rFonts w:eastAsia="Times New Roman" w:cs="Times New Roman"/>
          <w:color w:val="auto"/>
          <w:lang w:eastAsia="ru-RU"/>
        </w:rPr>
        <w:t xml:space="preserve">В в обратном (запирающем) направлении. Тиристоры долго были единственными приборами, удовлетворяющими мегаваттному диапазону мощностей, пригодными в таких номиналах как 12 кВ/1,5 кА, 7,5 кВ/1,65 кА, 6,5 кВ/2,65 кА и т.д. В применениях, где ток нагрузки как включается, так и выключается входным сигналом, широко используются мощные биполярные транзисторы БПТ. </w:t>
      </w:r>
    </w:p>
    <w:p w:rsidR="002D4DBC" w:rsidRPr="002D4DBC" w:rsidRDefault="002D4DBC" w:rsidP="002D4DBC">
      <w:pPr>
        <w:spacing w:after="0" w:line="240" w:lineRule="auto"/>
        <w:ind w:firstLine="360"/>
        <w:jc w:val="both"/>
        <w:rPr>
          <w:rFonts w:eastAsia="Times New Roman" w:cs="Times New Roman"/>
          <w:color w:val="auto"/>
          <w:lang w:eastAsia="ru-RU"/>
        </w:rPr>
      </w:pPr>
      <w:r w:rsidRPr="002D4DBC">
        <w:rPr>
          <w:rFonts w:eastAsia="Times New Roman" w:cs="Times New Roman"/>
          <w:color w:val="auto"/>
          <w:lang w:eastAsia="ru-RU"/>
        </w:rPr>
        <w:t>На мировом рынке представлены тысячи типономиналов высоковольтных биполярных кремниевых транзисторов, от единиц ампер до килоампер, с напряжениями до 2 кВ и выше. В стандартных диапазонах до 200 В кремниевые БПТ демонстрируют время спада до 50 нс, до 1200 В — 0,12 мкс, до 1500 В —0,2 мкс. Но большие времена рассасывания неосновных носителей (~1,2–1,5 мкс) допускают реализацию эффективных преобразователей на частоты не более 50 кГц.</w:t>
      </w:r>
    </w:p>
    <w:p w:rsidR="002D4DBC" w:rsidRPr="002D4DBC" w:rsidRDefault="002D4DBC" w:rsidP="002D4DBC">
      <w:pPr>
        <w:spacing w:after="0" w:line="240" w:lineRule="auto"/>
        <w:ind w:firstLine="360"/>
        <w:jc w:val="both"/>
        <w:rPr>
          <w:rFonts w:eastAsia="Times New Roman" w:cs="Times New Roman"/>
          <w:color w:val="auto"/>
          <w:lang w:eastAsia="ru-RU"/>
        </w:rPr>
      </w:pPr>
      <w:r w:rsidRPr="002D4DBC">
        <w:rPr>
          <w:rFonts w:eastAsia="Times New Roman" w:cs="Times New Roman"/>
          <w:color w:val="auto"/>
          <w:lang w:eastAsia="ru-RU"/>
        </w:rPr>
        <w:t xml:space="preserve">Модульные двойные или тройные пары Дарлингтона (пара Дарлингтона – составной транзистор с объединенными коллекторами, включенный по схеме база - эмиттер) (1200В, 800А) используются в конвертерах с частотой переключения до нескольких килогерц. Хотя биполярные транзисторы имеют время выключения </w:t>
      </w:r>
      <m:oMath>
        <m:r>
          <w:rPr>
            <w:rFonts w:ascii="Cambria Math" w:eastAsia="Times New Roman" w:hAnsi="Cambria Math" w:cs="Times New Roman"/>
            <w:color w:val="auto"/>
            <w:lang w:eastAsia="ru-RU"/>
          </w:rPr>
          <m:t>&lt;1</m:t>
        </m:r>
      </m:oMath>
      <w:r w:rsidRPr="002D4DBC">
        <w:rPr>
          <w:rFonts w:eastAsia="Times New Roman" w:cs="Times New Roman"/>
          <w:color w:val="auto"/>
          <w:lang w:eastAsia="ru-RU"/>
        </w:rPr>
        <w:t xml:space="preserve"> мкс, они требуют очень высокого управляющего базового тока как во включенном состоянии, так и во время выключения.</w:t>
      </w:r>
    </w:p>
    <w:p w:rsidR="00E01BEB" w:rsidRPr="00E01BEB" w:rsidRDefault="002D4DBC" w:rsidP="00E01BEB">
      <w:pPr>
        <w:spacing w:after="0" w:line="240" w:lineRule="auto"/>
        <w:ind w:firstLine="360"/>
        <w:jc w:val="both"/>
        <w:rPr>
          <w:rFonts w:eastAsia="Times New Roman" w:cs="Times New Roman"/>
          <w:color w:val="auto"/>
          <w:lang w:eastAsia="ru-RU"/>
        </w:rPr>
      </w:pPr>
      <w:r w:rsidRPr="002D4DBC">
        <w:rPr>
          <w:rFonts w:eastAsia="Times New Roman" w:cs="Times New Roman"/>
          <w:color w:val="auto"/>
          <w:lang w:eastAsia="ru-RU"/>
        </w:rPr>
        <w:t xml:space="preserve">Другими приборами, подходящими для систем с управляющим электродом являются мощные кремниевые МОПТ: с </w:t>
      </w:r>
      <w:r w:rsidRPr="002D4DBC">
        <w:rPr>
          <w:rFonts w:eastAsia="Times New Roman" w:cs="Times New Roman"/>
          <w:color w:val="auto"/>
          <w:lang w:val="en-US" w:eastAsia="ru-RU"/>
        </w:rPr>
        <w:t>V</w:t>
      </w:r>
      <w:r w:rsidRPr="002D4DBC">
        <w:rPr>
          <w:rFonts w:eastAsia="Times New Roman" w:cs="Times New Roman"/>
          <w:color w:val="auto"/>
          <w:lang w:eastAsia="ru-RU"/>
        </w:rPr>
        <w:t>-образной канавкой (</w:t>
      </w:r>
      <w:r w:rsidRPr="002D4DBC">
        <w:rPr>
          <w:rFonts w:eastAsia="Times New Roman" w:cs="Times New Roman"/>
          <w:color w:val="auto"/>
          <w:lang w:val="en-US" w:eastAsia="ru-RU"/>
        </w:rPr>
        <w:t>V</w:t>
      </w:r>
      <w:r w:rsidRPr="002D4DBC">
        <w:rPr>
          <w:rFonts w:eastAsia="Times New Roman" w:cs="Times New Roman"/>
          <w:color w:val="auto"/>
          <w:lang w:eastAsia="ru-RU"/>
        </w:rPr>
        <w:t xml:space="preserve">МОП), горизонтальные с двойной диффузией ГДМОП и, особенно, вертикальные с двойной диффузией ВДМОП и </w:t>
      </w:r>
      <w:r w:rsidRPr="002D4DBC">
        <w:rPr>
          <w:rFonts w:eastAsia="Times New Roman" w:cs="Times New Roman"/>
          <w:color w:val="auto"/>
          <w:lang w:val="en-US" w:eastAsia="ru-RU"/>
        </w:rPr>
        <w:t>COOL</w:t>
      </w:r>
      <w:r w:rsidRPr="002D4DBC">
        <w:rPr>
          <w:rFonts w:eastAsia="Times New Roman" w:cs="Times New Roman"/>
          <w:color w:val="auto"/>
          <w:lang w:eastAsia="ru-RU"/>
        </w:rPr>
        <w:t>-</w:t>
      </w:r>
      <w:r w:rsidRPr="002D4DBC">
        <w:rPr>
          <w:rFonts w:eastAsia="Times New Roman" w:cs="Times New Roman"/>
          <w:color w:val="auto"/>
          <w:lang w:val="en-US" w:eastAsia="ru-RU"/>
        </w:rPr>
        <w:t>MOS</w:t>
      </w:r>
      <w:r w:rsidRPr="002D4DBC">
        <w:rPr>
          <w:rFonts w:eastAsia="Times New Roman" w:cs="Times New Roman"/>
          <w:color w:val="auto"/>
          <w:lang w:eastAsia="ru-RU"/>
        </w:rPr>
        <w:t xml:space="preserve">, которые закрывают диапазон 200…1500В. Приборы имеют частоты переключения </w:t>
      </w:r>
      <m:oMath>
        <m:r>
          <w:rPr>
            <w:rFonts w:ascii="Cambria Math" w:eastAsia="Times New Roman" w:hAnsi="Cambria Math" w:cs="Times New Roman"/>
            <w:color w:val="auto"/>
            <w:lang w:eastAsia="ru-RU"/>
          </w:rPr>
          <m:t>~</m:t>
        </m:r>
      </m:oMath>
      <w:r w:rsidRPr="002D4DBC">
        <w:rPr>
          <w:rFonts w:eastAsia="Times New Roman" w:cs="Times New Roman"/>
          <w:color w:val="auto"/>
          <w:lang w:eastAsia="ru-RU"/>
        </w:rPr>
        <w:t>100кГц с временами включения и выключения менее 100нс. Высокая скорость переключения, легкость управления, широкая область устойчивой работы и способность выдерживать высокие скорост</w:t>
      </w:r>
      <w:r w:rsidR="00E01BEB">
        <w:rPr>
          <w:rFonts w:eastAsia="Times New Roman" w:cs="Times New Roman"/>
          <w:color w:val="auto"/>
          <w:lang w:eastAsia="ru-RU"/>
        </w:rPr>
        <w:t>и нарастания прямого напряжения</w:t>
      </w:r>
      <w:r w:rsidR="00E01BEB" w:rsidRPr="00E01BEB">
        <w:rPr>
          <w:rFonts w:eastAsia="Times New Roman" w:cs="Times New Roman"/>
          <w:color w:val="auto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lang w:eastAsia="ru-RU"/>
          </w:rPr>
          <m:t>(dV/dt)</m:t>
        </m:r>
      </m:oMath>
      <w:r w:rsidR="00E01BEB" w:rsidRPr="00E01BEB">
        <w:rPr>
          <w:rFonts w:eastAsia="Times New Roman" w:cs="Times New Roman"/>
          <w:color w:val="auto"/>
          <w:lang w:eastAsia="ru-RU"/>
        </w:rPr>
        <w:t xml:space="preserve"> </w:t>
      </w:r>
      <w:r w:rsidRPr="002D4DBC">
        <w:rPr>
          <w:rFonts w:eastAsia="Times New Roman" w:cs="Times New Roman"/>
          <w:color w:val="auto"/>
          <w:lang w:eastAsia="ru-RU"/>
        </w:rPr>
        <w:t>делают их логическим выбором силовой схемотехники. Однако, они работают с униполярной проводимостью, поэтому их сопротивление в открытом (включенном) состоянии сильно возрастает при увеличении напряжения исток-сток.</w:t>
      </w:r>
    </w:p>
    <w:p w:rsidR="002D4DBC" w:rsidRPr="002D4DBC" w:rsidRDefault="002D4DBC" w:rsidP="002D4DBC">
      <w:pPr>
        <w:spacing w:after="0" w:line="240" w:lineRule="auto"/>
        <w:ind w:firstLine="360"/>
        <w:jc w:val="both"/>
        <w:rPr>
          <w:rFonts w:eastAsia="Times New Roman" w:cs="Times New Roman"/>
          <w:color w:val="auto"/>
          <w:lang w:eastAsia="ru-RU"/>
        </w:rPr>
      </w:pPr>
      <w:r w:rsidRPr="002D4DBC">
        <w:rPr>
          <w:rFonts w:eastAsia="Times New Roman" w:cs="Times New Roman"/>
          <w:color w:val="auto"/>
          <w:lang w:eastAsia="ru-RU"/>
        </w:rPr>
        <w:t xml:space="preserve">Тем не менее на пороге SiC-МОПТ — совсем другой класс приборов, со значениями сопротивления сток-исток открытого транзистора на порядок </w:t>
      </w:r>
      <w:r w:rsidRPr="002D4DBC">
        <w:rPr>
          <w:rFonts w:eastAsia="Times New Roman" w:cs="Times New Roman"/>
          <w:color w:val="auto"/>
          <w:lang w:eastAsia="ru-RU"/>
        </w:rPr>
        <w:lastRenderedPageBreak/>
        <w:t>ниже, чем у кремниевых МОПТ. Это уже революция в области мощных приборов с MOП-управлением.</w:t>
      </w:r>
    </w:p>
    <w:p w:rsidR="002D4DBC" w:rsidRPr="002D4DBC" w:rsidRDefault="002D4DBC" w:rsidP="002D4DBC">
      <w:pPr>
        <w:spacing w:after="0" w:line="240" w:lineRule="auto"/>
        <w:ind w:firstLine="360"/>
        <w:jc w:val="both"/>
        <w:rPr>
          <w:rFonts w:eastAsia="Times New Roman" w:cs="Times New Roman"/>
          <w:color w:val="auto"/>
          <w:lang w:eastAsia="ru-RU"/>
        </w:rPr>
      </w:pPr>
      <w:r w:rsidRPr="002D4DBC">
        <w:rPr>
          <w:rFonts w:eastAsia="Times New Roman" w:cs="Times New Roman"/>
          <w:color w:val="auto"/>
          <w:lang w:eastAsia="ru-RU"/>
        </w:rPr>
        <w:t>В настоящее время показана возможность работы 1200-В SiC-МОПТ на частотах вплоть до 1 МГц при мощности 1,2 кВт.</w:t>
      </w:r>
    </w:p>
    <w:p w:rsidR="002D4DBC" w:rsidRPr="002D4DBC" w:rsidRDefault="002D4DBC" w:rsidP="002D4DBC">
      <w:pPr>
        <w:spacing w:after="0" w:line="240" w:lineRule="auto"/>
        <w:ind w:firstLine="360"/>
        <w:jc w:val="both"/>
        <w:rPr>
          <w:rFonts w:eastAsia="Times New Roman" w:cs="Times New Roman"/>
          <w:color w:val="auto"/>
          <w:lang w:eastAsia="ru-RU"/>
        </w:rPr>
      </w:pPr>
      <w:r w:rsidRPr="002D4DBC">
        <w:rPr>
          <w:rFonts w:eastAsia="Times New Roman" w:cs="Times New Roman"/>
          <w:color w:val="auto"/>
          <w:lang w:eastAsia="ru-RU"/>
        </w:rPr>
        <w:t xml:space="preserve">Особенности, преимущество и недостатки мощных биполярных и МОПТ структур приведены в Таблице </w:t>
      </w:r>
      <w:r w:rsidR="00D2295C">
        <w:rPr>
          <w:rFonts w:eastAsia="Times New Roman" w:cs="Times New Roman"/>
          <w:color w:val="auto"/>
          <w:lang w:eastAsia="ru-RU"/>
        </w:rPr>
        <w:t>12.</w:t>
      </w:r>
      <w:r w:rsidRPr="002D4DBC">
        <w:rPr>
          <w:rFonts w:eastAsia="Times New Roman" w:cs="Times New Roman"/>
          <w:color w:val="auto"/>
          <w:lang w:eastAsia="ru-RU"/>
        </w:rPr>
        <w:t>2.</w:t>
      </w:r>
    </w:p>
    <w:p w:rsidR="00FC563D" w:rsidRDefault="00FC563D" w:rsidP="002D4DBC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color w:val="auto"/>
          <w:lang w:eastAsia="ru-RU"/>
        </w:rPr>
      </w:pPr>
    </w:p>
    <w:p w:rsidR="00FC563D" w:rsidRDefault="00FC563D" w:rsidP="002D4DBC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color w:val="auto"/>
          <w:lang w:eastAsia="ru-RU"/>
        </w:rPr>
      </w:pPr>
    </w:p>
    <w:p w:rsidR="002D4DBC" w:rsidRPr="002D4DBC" w:rsidRDefault="002D4DBC" w:rsidP="002D4DBC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color w:val="auto"/>
          <w:lang w:eastAsia="ru-RU"/>
        </w:rPr>
      </w:pPr>
      <w:r w:rsidRPr="002D4DBC">
        <w:rPr>
          <w:rFonts w:eastAsia="Times New Roman" w:cs="Times New Roman"/>
          <w:color w:val="auto"/>
          <w:lang w:eastAsia="ru-RU"/>
        </w:rPr>
        <w:t xml:space="preserve">Таблица </w:t>
      </w:r>
      <w:r w:rsidR="00D2295C">
        <w:rPr>
          <w:rFonts w:eastAsia="Times New Roman" w:cs="Times New Roman"/>
          <w:color w:val="auto"/>
          <w:lang w:eastAsia="ru-RU"/>
        </w:rPr>
        <w:t>12.</w:t>
      </w:r>
      <w:r w:rsidRPr="002D4DBC">
        <w:rPr>
          <w:rFonts w:eastAsia="Times New Roman" w:cs="Times New Roman"/>
          <w:color w:val="auto"/>
          <w:lang w:eastAsia="ru-RU"/>
        </w:rPr>
        <w:t>2   Особенности, за и против МОП и биполярных транзисторов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806"/>
        <w:gridCol w:w="4325"/>
        <w:gridCol w:w="4174"/>
      </w:tblGrid>
      <w:tr w:rsidR="002D4DBC" w:rsidRPr="002D4DBC" w:rsidTr="004B4DD4">
        <w:trPr>
          <w:trHeight w:val="274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both"/>
              <w:rPr>
                <w:rFonts w:eastAsia="Calibri" w:cs="Times New Roman"/>
                <w:color w:val="auto"/>
                <w:szCs w:val="22"/>
                <w:lang w:eastAsia="ru-RU"/>
              </w:rPr>
            </w:pP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b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b/>
                <w:color w:val="auto"/>
                <w:szCs w:val="22"/>
                <w:lang w:eastAsia="ru-RU"/>
              </w:rPr>
              <w:t>МОП-транзисторы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b/>
                <w:color w:val="auto"/>
                <w:szCs w:val="24"/>
                <w:lang w:eastAsia="ru-RU"/>
              </w:rPr>
            </w:pPr>
            <w:r w:rsidRPr="002D4DBC">
              <w:rPr>
                <w:rFonts w:eastAsia="Calibri" w:cs="Times New Roman"/>
                <w:b/>
                <w:color w:val="auto"/>
                <w:szCs w:val="22"/>
                <w:lang w:eastAsia="ru-RU"/>
              </w:rPr>
              <w:t>Биполярные транзисторы</w:t>
            </w:r>
          </w:p>
        </w:tc>
      </w:tr>
      <w:tr w:rsidR="002D4DBC" w:rsidRPr="002D4DBC" w:rsidTr="004B4DD4">
        <w:trPr>
          <w:trHeight w:val="264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4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No.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b/>
                <w:color w:val="auto"/>
                <w:szCs w:val="22"/>
                <w:lang w:eastAsia="ru-RU"/>
              </w:rPr>
              <w:t>Особенности</w:t>
            </w: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: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b/>
                <w:color w:val="auto"/>
                <w:szCs w:val="22"/>
                <w:lang w:eastAsia="ru-RU"/>
              </w:rPr>
              <w:t>Особенности</w:t>
            </w: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:</w:t>
            </w:r>
          </w:p>
        </w:tc>
      </w:tr>
      <w:tr w:rsidR="002D4DBC" w:rsidRPr="002D4DBC" w:rsidTr="004B4DD4">
        <w:trPr>
          <w:trHeight w:val="221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1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Однозарядный прибор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Двузарядный прибор</w:t>
            </w:r>
          </w:p>
        </w:tc>
      </w:tr>
      <w:tr w:rsidR="002D4DBC" w:rsidRPr="002D4DBC" w:rsidTr="004B4DD4">
        <w:trPr>
          <w:trHeight w:val="230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2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Работает дрейфом основных носителей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val="en-US"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Работает</w:t>
            </w:r>
            <w:r w:rsidR="0047796F">
              <w:rPr>
                <w:rFonts w:eastAsia="Calibri" w:cs="Times New Roman"/>
                <w:color w:val="auto"/>
                <w:szCs w:val="22"/>
                <w:lang w:val="en-US" w:eastAsia="ru-RU"/>
              </w:rPr>
              <w:t xml:space="preserve"> </w:t>
            </w: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диффузией неосновных</w:t>
            </w:r>
            <w:r w:rsidR="0047796F">
              <w:rPr>
                <w:rFonts w:eastAsia="Calibri" w:cs="Times New Roman"/>
                <w:color w:val="auto"/>
                <w:szCs w:val="22"/>
                <w:lang w:val="en-US" w:eastAsia="ru-RU"/>
              </w:rPr>
              <w:t xml:space="preserve"> </w:t>
            </w: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носителей</w:t>
            </w:r>
          </w:p>
        </w:tc>
      </w:tr>
      <w:tr w:rsidR="002D4DBC" w:rsidRPr="002D4DBC" w:rsidTr="004B4DD4">
        <w:trPr>
          <w:trHeight w:val="221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3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Управляется напряжением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Управляется током</w:t>
            </w:r>
          </w:p>
        </w:tc>
      </w:tr>
      <w:tr w:rsidR="002D4DBC" w:rsidRPr="002D4DBC" w:rsidTr="004B4DD4">
        <w:trPr>
          <w:trHeight w:val="422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4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 xml:space="preserve">Ток стока </w:t>
            </w:r>
            <w:r w:rsidRPr="002D4DBC">
              <w:rPr>
                <w:rFonts w:eastAsia="Calibri" w:cs="Times New Roman"/>
                <w:bCs/>
                <w:color w:val="auto"/>
                <w:szCs w:val="22"/>
                <w:lang w:eastAsia="ru-RU"/>
              </w:rPr>
              <w:t>определяется шириной канала</w:t>
            </w:r>
            <w:r w:rsidR="00937760" w:rsidRPr="00937760">
              <w:rPr>
                <w:rFonts w:eastAsia="Calibri" w:cs="Times New Roman"/>
                <w:bCs/>
                <w:color w:val="auto"/>
                <w:szCs w:val="22"/>
                <w:lang w:eastAsia="ru-RU"/>
              </w:rPr>
              <w:t xml:space="preserve"> </w:t>
            </w:r>
            <w:r w:rsidRPr="002D4DBC">
              <w:rPr>
                <w:rFonts w:eastAsia="Calibri" w:cs="Times New Roman"/>
                <w:bCs/>
                <w:color w:val="auto"/>
                <w:szCs w:val="22"/>
                <w:lang w:eastAsia="ru-RU"/>
              </w:rPr>
              <w:t>и концентрацией носителей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 xml:space="preserve">Ток коллектора </w:t>
            </w:r>
            <w:r w:rsidRPr="002D4DBC">
              <w:rPr>
                <w:rFonts w:eastAsia="Calibri" w:cs="Times New Roman"/>
                <w:bCs/>
                <w:color w:val="auto"/>
                <w:szCs w:val="22"/>
                <w:lang w:eastAsia="ru-RU"/>
              </w:rPr>
              <w:t>определяется</w:t>
            </w: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 xml:space="preserve"> длиной и площадью эмиттера</w:t>
            </w:r>
          </w:p>
        </w:tc>
      </w:tr>
      <w:tr w:rsidR="002D4DBC" w:rsidRPr="002D4DBC" w:rsidTr="004B4DD4">
        <w:trPr>
          <w:trHeight w:val="230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5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Более высокое пробивное напряжение достигается использованием слаболегированной области стока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Более высокое пробивное напряжение требует слаболегированной области коллектора</w:t>
            </w:r>
          </w:p>
        </w:tc>
      </w:tr>
      <w:tr w:rsidR="002D4DBC" w:rsidRPr="002D4DBC" w:rsidTr="004B4DD4">
        <w:trPr>
          <w:trHeight w:val="216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6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Плотность тока для данного падения напряжения высокая при низких напряжениях и низкая при высоких напряжениях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Плотность тока для данного падения напряжения средняя, и существует трудность со скоростью переключения</w:t>
            </w:r>
          </w:p>
        </w:tc>
      </w:tr>
      <w:tr w:rsidR="002D4DBC" w:rsidRPr="002D4DBC" w:rsidTr="004B4DD4">
        <w:trPr>
          <w:trHeight w:val="432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4"/>
                <w:lang w:val="en-US"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7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 xml:space="preserve">Квадратичные вольтамперные характеристики при низких токах и линейные </w:t>
            </w: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I</w:t>
            </w: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-</w:t>
            </w: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V</w:t>
            </w: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 xml:space="preserve"> при высоких токах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4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Экспоненциальные</w:t>
            </w: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 xml:space="preserve"> I-V </w:t>
            </w: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характеристики</w:t>
            </w:r>
          </w:p>
        </w:tc>
      </w:tr>
      <w:tr w:rsidR="002D4DBC" w:rsidRPr="002D4DBC" w:rsidTr="004B4DD4">
        <w:trPr>
          <w:trHeight w:val="235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8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Отрицательный температурный коэффициент тока стока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Положительный температурный коэффициент тока коллектора</w:t>
            </w:r>
          </w:p>
        </w:tc>
      </w:tr>
      <w:tr w:rsidR="002D4DBC" w:rsidRPr="002D4DBC" w:rsidTr="004B4DD4">
        <w:trPr>
          <w:trHeight w:val="264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9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 xml:space="preserve">Слабое накопление заряда на емкости затвор-канал 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Накопление заряда в базе и коллекторе</w:t>
            </w:r>
          </w:p>
        </w:tc>
      </w:tr>
      <w:tr w:rsidR="002D4DBC" w:rsidRPr="002D4DBC" w:rsidTr="004B4DD4">
        <w:trPr>
          <w:trHeight w:val="250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4"/>
                <w:lang w:eastAsia="ru-RU"/>
              </w:rPr>
            </w:pP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b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b/>
                <w:color w:val="auto"/>
                <w:szCs w:val="22"/>
                <w:lang w:eastAsia="ru-RU"/>
              </w:rPr>
              <w:t>За</w:t>
            </w:r>
            <w:r w:rsidRPr="002D4DBC">
              <w:rPr>
                <w:rFonts w:eastAsia="Calibri" w:cs="Times New Roman"/>
                <w:b/>
                <w:color w:val="auto"/>
                <w:szCs w:val="22"/>
                <w:lang w:val="en-US" w:eastAsia="ru-RU"/>
              </w:rPr>
              <w:t>: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b/>
                <w:color w:val="auto"/>
                <w:szCs w:val="22"/>
                <w:lang w:eastAsia="ru-RU"/>
              </w:rPr>
              <w:t>Против</w:t>
            </w: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:</w:t>
            </w:r>
          </w:p>
        </w:tc>
      </w:tr>
      <w:tr w:rsidR="002D4DBC" w:rsidRPr="002D4DBC" w:rsidTr="004B4DD4">
        <w:trPr>
          <w:trHeight w:val="235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1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 xml:space="preserve">Высокий входной импеданс </w:t>
            </w: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Z</w:t>
            </w: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 xml:space="preserve"> ~ 10</w:t>
            </w:r>
            <w:r w:rsidRPr="002D4DBC">
              <w:rPr>
                <w:rFonts w:eastAsia="Calibri" w:cs="Times New Roman"/>
                <w:color w:val="auto"/>
                <w:szCs w:val="22"/>
                <w:vertAlign w:val="superscript"/>
                <w:lang w:eastAsia="ru-RU"/>
              </w:rPr>
              <w:t>9</w:t>
            </w: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-10</w:t>
            </w:r>
            <w:r w:rsidRPr="002D4DBC">
              <w:rPr>
                <w:rFonts w:eastAsia="Calibri" w:cs="Times New Roman"/>
                <w:color w:val="auto"/>
                <w:szCs w:val="22"/>
                <w:vertAlign w:val="superscript"/>
                <w:lang w:eastAsia="ru-RU"/>
              </w:rPr>
              <w:t>11</w:t>
            </w:r>
            <w:r w:rsidRPr="002D4DBC">
              <w:rPr>
                <w:rFonts w:eastAsia="Calibri" w:cs="Times New Roman"/>
                <w:iCs/>
                <w:color w:val="auto"/>
                <w:szCs w:val="22"/>
                <w:lang w:val="en-US" w:eastAsia="ru-RU"/>
              </w:rPr>
              <w:t>Ω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 xml:space="preserve">Низкий входной импеданс </w:t>
            </w:r>
            <w:r w:rsidRPr="002D4DBC">
              <w:rPr>
                <w:rFonts w:eastAsia="Calibri" w:cs="Times New Roman"/>
                <w:i/>
                <w:iCs/>
                <w:color w:val="auto"/>
                <w:szCs w:val="22"/>
                <w:lang w:val="en-US" w:eastAsia="ru-RU"/>
              </w:rPr>
              <w:t>Z</w:t>
            </w: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~ 10</w:t>
            </w:r>
            <w:r w:rsidRPr="002D4DBC">
              <w:rPr>
                <w:rFonts w:eastAsia="Calibri" w:cs="Times New Roman"/>
                <w:color w:val="auto"/>
                <w:szCs w:val="22"/>
                <w:vertAlign w:val="superscript"/>
                <w:lang w:eastAsia="ru-RU"/>
              </w:rPr>
              <w:t>3</w:t>
            </w: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-10</w:t>
            </w:r>
            <w:r w:rsidRPr="002D4DBC">
              <w:rPr>
                <w:rFonts w:eastAsia="Calibri" w:cs="Times New Roman"/>
                <w:color w:val="auto"/>
                <w:szCs w:val="22"/>
                <w:vertAlign w:val="superscript"/>
                <w:lang w:eastAsia="ru-RU"/>
              </w:rPr>
              <w:t>5</w:t>
            </w: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Ω</w:t>
            </w:r>
          </w:p>
        </w:tc>
      </w:tr>
      <w:tr w:rsidR="002D4DBC" w:rsidRPr="002D4DBC" w:rsidTr="004B4DD4">
        <w:trPr>
          <w:trHeight w:val="211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2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Минимальная управляющая мощность. На затворе не требуется никакого постоянного тока.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Высокая управляющая мощность. На базе постоянно требуется постоянный ток.</w:t>
            </w:r>
          </w:p>
        </w:tc>
      </w:tr>
      <w:tr w:rsidR="002D4DBC" w:rsidRPr="002D4DBC" w:rsidTr="004B4DD4">
        <w:trPr>
          <w:trHeight w:val="437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val="en-US"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3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Простая управляющая схема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 xml:space="preserve">Сложная управляющая схема, т.к. требуются большие </w:t>
            </w: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lastRenderedPageBreak/>
              <w:t>положительные и отрицательные токи.</w:t>
            </w:r>
          </w:p>
        </w:tc>
      </w:tr>
      <w:tr w:rsidR="002D4DBC" w:rsidRPr="002D4DBC" w:rsidTr="004B4DD4">
        <w:trPr>
          <w:trHeight w:val="221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val="en-US"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lastRenderedPageBreak/>
              <w:t>4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Более линейное функционирование и меньше гармоник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Больше интермодуляционных  и перекрёстных составляющих</w:t>
            </w:r>
          </w:p>
        </w:tc>
      </w:tr>
      <w:tr w:rsidR="002D4DBC" w:rsidRPr="002D4DBC" w:rsidTr="004B4DD4">
        <w:trPr>
          <w:trHeight w:val="216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val="en-US"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5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Приборы легко могут быть соединены параллельно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Приборы не могут быть легко соединены параллельно</w:t>
            </w:r>
          </w:p>
        </w:tc>
      </w:tr>
      <w:tr w:rsidR="002D4DBC" w:rsidRPr="002D4DBC" w:rsidTr="004B4DD4">
        <w:trPr>
          <w:trHeight w:val="216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6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Нет теплового убегания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Склонны к тепловому убеганию</w:t>
            </w:r>
          </w:p>
        </w:tc>
      </w:tr>
      <w:tr w:rsidR="002D4DBC" w:rsidRPr="002D4DBC" w:rsidTr="004B4DD4">
        <w:trPr>
          <w:trHeight w:val="206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7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Менее восприимчивы к вторичным пробоям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Уязвимы к</w:t>
            </w:r>
            <w:r w:rsidR="00937760">
              <w:rPr>
                <w:rFonts w:eastAsia="Calibri" w:cs="Times New Roman"/>
                <w:color w:val="auto"/>
                <w:szCs w:val="22"/>
                <w:lang w:val="en-US" w:eastAsia="ru-RU"/>
              </w:rPr>
              <w:t xml:space="preserve"> </w:t>
            </w: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вторичным</w:t>
            </w:r>
            <w:r w:rsidR="00937760">
              <w:rPr>
                <w:rFonts w:eastAsia="Calibri" w:cs="Times New Roman"/>
                <w:color w:val="auto"/>
                <w:szCs w:val="22"/>
                <w:lang w:val="en-US" w:eastAsia="ru-RU"/>
              </w:rPr>
              <w:t xml:space="preserve"> </w:t>
            </w: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пробоям</w:t>
            </w:r>
          </w:p>
        </w:tc>
      </w:tr>
      <w:tr w:rsidR="002D4DBC" w:rsidRPr="002D4DBC" w:rsidTr="004B4DD4">
        <w:trPr>
          <w:trHeight w:val="235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8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Максимальная рабочая температура 200С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 xml:space="preserve">Максимальная рабочая температура до 150С </w:t>
            </w:r>
          </w:p>
        </w:tc>
      </w:tr>
      <w:tr w:rsidR="002D4DBC" w:rsidRPr="002D4DBC" w:rsidTr="004B4DD4">
        <w:trPr>
          <w:trHeight w:val="658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9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Очень низкие потери переключения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Потери переключения от средних до высоких в зависимости от компромисса с потерями проводимости</w:t>
            </w:r>
          </w:p>
        </w:tc>
      </w:tr>
      <w:tr w:rsidR="002D4DBC" w:rsidRPr="002D4DBC" w:rsidTr="004B4DD4">
        <w:trPr>
          <w:trHeight w:val="245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10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Высокая скорость переключения, которая меньше чувствительна к температуре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Более низкая скорость переключения, которая больше чувствительна к температуре</w:t>
            </w:r>
          </w:p>
        </w:tc>
      </w:tr>
      <w:tr w:rsidR="002D4DBC" w:rsidRPr="002D4DBC" w:rsidTr="004B4DD4">
        <w:trPr>
          <w:trHeight w:val="240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4"/>
                <w:lang w:eastAsia="ru-RU"/>
              </w:rPr>
            </w:pP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b/>
                <w:color w:val="auto"/>
                <w:szCs w:val="22"/>
                <w:lang w:eastAsia="ru-RU"/>
              </w:rPr>
              <w:t>Против</w:t>
            </w: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: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b/>
                <w:color w:val="auto"/>
                <w:szCs w:val="22"/>
                <w:lang w:eastAsia="ru-RU"/>
              </w:rPr>
              <w:t>За</w:t>
            </w: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:</w:t>
            </w:r>
          </w:p>
        </w:tc>
      </w:tr>
      <w:tr w:rsidR="002D4DBC" w:rsidRPr="002D4DBC" w:rsidTr="004B4DD4">
        <w:trPr>
          <w:trHeight w:val="230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1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Высокое сопротивление включения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Низкое сопротивление включения</w:t>
            </w:r>
          </w:p>
        </w:tc>
      </w:tr>
      <w:tr w:rsidR="002D4DBC" w:rsidRPr="002D4DBC" w:rsidTr="004B4DD4">
        <w:trPr>
          <w:trHeight w:val="307"/>
        </w:trPr>
        <w:tc>
          <w:tcPr>
            <w:tcW w:w="806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jc w:val="center"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val="en-US" w:eastAsia="ru-RU"/>
              </w:rPr>
              <w:t>2</w:t>
            </w:r>
          </w:p>
        </w:tc>
        <w:tc>
          <w:tcPr>
            <w:tcW w:w="4325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Высокая активная межэлектродная проводимость</w:t>
            </w:r>
          </w:p>
        </w:tc>
        <w:tc>
          <w:tcPr>
            <w:tcW w:w="4174" w:type="dxa"/>
            <w:shd w:val="clear" w:color="auto" w:fill="FFFFFF"/>
          </w:tcPr>
          <w:p w:rsidR="002D4DBC" w:rsidRPr="002D4DBC" w:rsidRDefault="002D4DBC" w:rsidP="002D4DBC">
            <w:p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  <w:lang w:eastAsia="ru-RU"/>
              </w:rPr>
            </w:pPr>
            <w:r w:rsidRPr="002D4DBC">
              <w:rPr>
                <w:rFonts w:eastAsia="Calibri" w:cs="Times New Roman"/>
                <w:color w:val="auto"/>
                <w:szCs w:val="22"/>
                <w:lang w:eastAsia="ru-RU"/>
              </w:rPr>
              <w:t>Низкая активная межэлектродная проводимость</w:t>
            </w:r>
          </w:p>
        </w:tc>
      </w:tr>
    </w:tbl>
    <w:p w:rsidR="002D4DBC" w:rsidRPr="002D4DBC" w:rsidRDefault="002D4DBC" w:rsidP="002D4DBC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lang w:eastAsia="ru-RU"/>
        </w:rPr>
      </w:pPr>
    </w:p>
    <w:p w:rsidR="000972EA" w:rsidRPr="002D4DBC" w:rsidRDefault="002D4DBC" w:rsidP="00A705A7">
      <w:pPr>
        <w:spacing w:after="0" w:line="240" w:lineRule="auto"/>
        <w:ind w:firstLine="562"/>
        <w:jc w:val="both"/>
      </w:pPr>
      <w:r w:rsidRPr="002D4DBC">
        <w:rPr>
          <w:rFonts w:eastAsia="Times New Roman" w:cs="Times New Roman"/>
          <w:color w:val="auto"/>
          <w:szCs w:val="20"/>
          <w:lang w:eastAsia="ru-RU"/>
        </w:rPr>
        <w:t>В отдельную группу нужно выделить биполярные транзисторы с изолированным затвором БТИЗ (</w:t>
      </w:r>
      <w:r w:rsidRPr="002D4DBC">
        <w:rPr>
          <w:rFonts w:eastAsia="Times New Roman" w:cs="Times New Roman"/>
          <w:color w:val="auto"/>
          <w:szCs w:val="20"/>
          <w:lang w:val="en-US" w:eastAsia="ru-RU"/>
        </w:rPr>
        <w:t>IGBT</w:t>
      </w:r>
      <w:r w:rsidRPr="002D4DBC">
        <w:rPr>
          <w:rFonts w:eastAsia="Times New Roman" w:cs="Times New Roman"/>
          <w:color w:val="auto"/>
          <w:szCs w:val="20"/>
          <w:lang w:eastAsia="ru-RU"/>
        </w:rPr>
        <w:t>), которые сочетают в себе как достоинства МОПТ - малые мощности управления, так и достоинства БПТ – малое сопротивление о</w:t>
      </w:r>
      <w:r w:rsidR="00D2295C">
        <w:rPr>
          <w:rFonts w:eastAsia="Times New Roman" w:cs="Times New Roman"/>
          <w:color w:val="auto"/>
          <w:szCs w:val="20"/>
          <w:lang w:eastAsia="ru-RU"/>
        </w:rPr>
        <w:t>ткрытого прибора.</w:t>
      </w:r>
    </w:p>
    <w:sectPr w:rsidR="000972EA" w:rsidRPr="002D4DBC" w:rsidSect="001D68B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DAA" w:rsidRDefault="00A55DAA">
      <w:pPr>
        <w:spacing w:after="0" w:line="240" w:lineRule="auto"/>
      </w:pPr>
      <w:r>
        <w:separator/>
      </w:r>
    </w:p>
  </w:endnote>
  <w:endnote w:type="continuationSeparator" w:id="0">
    <w:p w:rsidR="00A55DAA" w:rsidRDefault="00A5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6398304"/>
      <w:docPartObj>
        <w:docPartGallery w:val="Page Numbers (Bottom of Page)"/>
        <w:docPartUnique/>
      </w:docPartObj>
    </w:sdtPr>
    <w:sdtContent>
      <w:p w:rsidR="005142E4" w:rsidRDefault="001B2F68">
        <w:pPr>
          <w:pStyle w:val="af6"/>
          <w:jc w:val="right"/>
        </w:pPr>
        <w:r>
          <w:fldChar w:fldCharType="begin"/>
        </w:r>
        <w:r w:rsidR="002D4DBC">
          <w:instrText>PAGE   \* MERGEFORMAT</w:instrText>
        </w:r>
        <w:r>
          <w:fldChar w:fldCharType="separate"/>
        </w:r>
        <w:r w:rsidR="003571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42E4" w:rsidRDefault="00A55DAA">
    <w:pPr>
      <w:pStyle w:val="af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DAA" w:rsidRDefault="00A55DAA">
      <w:pPr>
        <w:spacing w:after="0" w:line="240" w:lineRule="auto"/>
      </w:pPr>
      <w:r>
        <w:separator/>
      </w:r>
    </w:p>
  </w:footnote>
  <w:footnote w:type="continuationSeparator" w:id="0">
    <w:p w:rsidR="00A55DAA" w:rsidRDefault="00A55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3D06"/>
    <w:multiLevelType w:val="hybridMultilevel"/>
    <w:tmpl w:val="DA78D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A6C16"/>
    <w:multiLevelType w:val="multilevel"/>
    <w:tmpl w:val="131A0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443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>
    <w:nsid w:val="1A8932C5"/>
    <w:multiLevelType w:val="hybridMultilevel"/>
    <w:tmpl w:val="1AA8E744"/>
    <w:lvl w:ilvl="0" w:tplc="DECE39F6">
      <w:start w:val="1"/>
      <w:numFmt w:val="decimal"/>
      <w:pStyle w:val="a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74A95457"/>
    <w:multiLevelType w:val="hybridMultilevel"/>
    <w:tmpl w:val="A55EA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2EA"/>
    <w:rsid w:val="00000B42"/>
    <w:rsid w:val="00002155"/>
    <w:rsid w:val="00003531"/>
    <w:rsid w:val="000051A7"/>
    <w:rsid w:val="00005E74"/>
    <w:rsid w:val="000067F0"/>
    <w:rsid w:val="00011366"/>
    <w:rsid w:val="00012977"/>
    <w:rsid w:val="000203DF"/>
    <w:rsid w:val="000206A4"/>
    <w:rsid w:val="00020CCF"/>
    <w:rsid w:val="00021882"/>
    <w:rsid w:val="00021B49"/>
    <w:rsid w:val="000249B0"/>
    <w:rsid w:val="00024BC9"/>
    <w:rsid w:val="000279CB"/>
    <w:rsid w:val="000301FC"/>
    <w:rsid w:val="000307B0"/>
    <w:rsid w:val="000338D6"/>
    <w:rsid w:val="000356DC"/>
    <w:rsid w:val="00035D8F"/>
    <w:rsid w:val="00036F2F"/>
    <w:rsid w:val="000406AE"/>
    <w:rsid w:val="0004176A"/>
    <w:rsid w:val="00043E31"/>
    <w:rsid w:val="00044010"/>
    <w:rsid w:val="00045097"/>
    <w:rsid w:val="0004659A"/>
    <w:rsid w:val="00046DB6"/>
    <w:rsid w:val="00047563"/>
    <w:rsid w:val="00052601"/>
    <w:rsid w:val="00052778"/>
    <w:rsid w:val="00053DB9"/>
    <w:rsid w:val="00055144"/>
    <w:rsid w:val="00057BD9"/>
    <w:rsid w:val="000615A9"/>
    <w:rsid w:val="000624F7"/>
    <w:rsid w:val="00062F50"/>
    <w:rsid w:val="00065DCD"/>
    <w:rsid w:val="00067023"/>
    <w:rsid w:val="000674EE"/>
    <w:rsid w:val="00067CF1"/>
    <w:rsid w:val="000703FB"/>
    <w:rsid w:val="0007335D"/>
    <w:rsid w:val="00082211"/>
    <w:rsid w:val="00083CF4"/>
    <w:rsid w:val="00083DB3"/>
    <w:rsid w:val="00086250"/>
    <w:rsid w:val="00086E2B"/>
    <w:rsid w:val="00086F04"/>
    <w:rsid w:val="00087290"/>
    <w:rsid w:val="0008730A"/>
    <w:rsid w:val="00090519"/>
    <w:rsid w:val="00093174"/>
    <w:rsid w:val="00095142"/>
    <w:rsid w:val="000972EA"/>
    <w:rsid w:val="000A1970"/>
    <w:rsid w:val="000A28EE"/>
    <w:rsid w:val="000A63E8"/>
    <w:rsid w:val="000A64ED"/>
    <w:rsid w:val="000A746D"/>
    <w:rsid w:val="000B0B21"/>
    <w:rsid w:val="000B331B"/>
    <w:rsid w:val="000B69BC"/>
    <w:rsid w:val="000B75F8"/>
    <w:rsid w:val="000B7BF5"/>
    <w:rsid w:val="000C0511"/>
    <w:rsid w:val="000C2C43"/>
    <w:rsid w:val="000C4B35"/>
    <w:rsid w:val="000C6845"/>
    <w:rsid w:val="000C68FD"/>
    <w:rsid w:val="000D0177"/>
    <w:rsid w:val="000D3F55"/>
    <w:rsid w:val="000D5D40"/>
    <w:rsid w:val="000D7EC0"/>
    <w:rsid w:val="000E1063"/>
    <w:rsid w:val="000E32B1"/>
    <w:rsid w:val="000E68CF"/>
    <w:rsid w:val="000F0CFE"/>
    <w:rsid w:val="000F3D16"/>
    <w:rsid w:val="000F6F93"/>
    <w:rsid w:val="0010145D"/>
    <w:rsid w:val="00102551"/>
    <w:rsid w:val="001026B8"/>
    <w:rsid w:val="00104455"/>
    <w:rsid w:val="00105873"/>
    <w:rsid w:val="00112A58"/>
    <w:rsid w:val="00114497"/>
    <w:rsid w:val="00121AE9"/>
    <w:rsid w:val="00126EB1"/>
    <w:rsid w:val="00127EA2"/>
    <w:rsid w:val="0013049E"/>
    <w:rsid w:val="00130721"/>
    <w:rsid w:val="00131E32"/>
    <w:rsid w:val="00132B7E"/>
    <w:rsid w:val="00133867"/>
    <w:rsid w:val="001345CE"/>
    <w:rsid w:val="00137079"/>
    <w:rsid w:val="00140449"/>
    <w:rsid w:val="00142D89"/>
    <w:rsid w:val="00142F03"/>
    <w:rsid w:val="001448B3"/>
    <w:rsid w:val="00153555"/>
    <w:rsid w:val="0015532A"/>
    <w:rsid w:val="00160B7A"/>
    <w:rsid w:val="001620B3"/>
    <w:rsid w:val="001625F5"/>
    <w:rsid w:val="00163DE7"/>
    <w:rsid w:val="00163E1D"/>
    <w:rsid w:val="00166895"/>
    <w:rsid w:val="001701C3"/>
    <w:rsid w:val="00170355"/>
    <w:rsid w:val="00171D06"/>
    <w:rsid w:val="00175663"/>
    <w:rsid w:val="0017648F"/>
    <w:rsid w:val="0017667F"/>
    <w:rsid w:val="00177E78"/>
    <w:rsid w:val="001820D4"/>
    <w:rsid w:val="0018253B"/>
    <w:rsid w:val="001848ED"/>
    <w:rsid w:val="00184979"/>
    <w:rsid w:val="0018682F"/>
    <w:rsid w:val="00186D83"/>
    <w:rsid w:val="00190BC6"/>
    <w:rsid w:val="00192DCA"/>
    <w:rsid w:val="001A096D"/>
    <w:rsid w:val="001A52D6"/>
    <w:rsid w:val="001A62C5"/>
    <w:rsid w:val="001A72F0"/>
    <w:rsid w:val="001B26A3"/>
    <w:rsid w:val="001B2F68"/>
    <w:rsid w:val="001C00FE"/>
    <w:rsid w:val="001C0C6F"/>
    <w:rsid w:val="001C0C77"/>
    <w:rsid w:val="001C1DA3"/>
    <w:rsid w:val="001C57B3"/>
    <w:rsid w:val="001C6A33"/>
    <w:rsid w:val="001D1639"/>
    <w:rsid w:val="001D3ADA"/>
    <w:rsid w:val="001D6837"/>
    <w:rsid w:val="001D68B6"/>
    <w:rsid w:val="001D7165"/>
    <w:rsid w:val="001E0817"/>
    <w:rsid w:val="001E2F9F"/>
    <w:rsid w:val="001E310E"/>
    <w:rsid w:val="001E3903"/>
    <w:rsid w:val="001E576D"/>
    <w:rsid w:val="001F0024"/>
    <w:rsid w:val="001F443C"/>
    <w:rsid w:val="001F674F"/>
    <w:rsid w:val="001F71DE"/>
    <w:rsid w:val="001F7637"/>
    <w:rsid w:val="001F7702"/>
    <w:rsid w:val="002012E7"/>
    <w:rsid w:val="00202C3F"/>
    <w:rsid w:val="00206430"/>
    <w:rsid w:val="00206668"/>
    <w:rsid w:val="00212864"/>
    <w:rsid w:val="0021300F"/>
    <w:rsid w:val="002200FE"/>
    <w:rsid w:val="002234FB"/>
    <w:rsid w:val="00224C5C"/>
    <w:rsid w:val="0022563C"/>
    <w:rsid w:val="00225649"/>
    <w:rsid w:val="002259F9"/>
    <w:rsid w:val="0023017A"/>
    <w:rsid w:val="0023044C"/>
    <w:rsid w:val="00232670"/>
    <w:rsid w:val="0023520B"/>
    <w:rsid w:val="00237CDF"/>
    <w:rsid w:val="002440F6"/>
    <w:rsid w:val="00244AD0"/>
    <w:rsid w:val="002504CB"/>
    <w:rsid w:val="00251A31"/>
    <w:rsid w:val="002540A4"/>
    <w:rsid w:val="00257F1E"/>
    <w:rsid w:val="00260A5B"/>
    <w:rsid w:val="00270A12"/>
    <w:rsid w:val="002723A2"/>
    <w:rsid w:val="00272989"/>
    <w:rsid w:val="00274A81"/>
    <w:rsid w:val="00274B43"/>
    <w:rsid w:val="002758BB"/>
    <w:rsid w:val="00280133"/>
    <w:rsid w:val="00280F0E"/>
    <w:rsid w:val="002821C2"/>
    <w:rsid w:val="00282BE6"/>
    <w:rsid w:val="00283B85"/>
    <w:rsid w:val="0028718E"/>
    <w:rsid w:val="0029008D"/>
    <w:rsid w:val="0029078E"/>
    <w:rsid w:val="00291C5F"/>
    <w:rsid w:val="002921D9"/>
    <w:rsid w:val="002A27AB"/>
    <w:rsid w:val="002A35A7"/>
    <w:rsid w:val="002A72F3"/>
    <w:rsid w:val="002B1E74"/>
    <w:rsid w:val="002B4F07"/>
    <w:rsid w:val="002C08DA"/>
    <w:rsid w:val="002C1736"/>
    <w:rsid w:val="002D0FF4"/>
    <w:rsid w:val="002D1321"/>
    <w:rsid w:val="002D1E59"/>
    <w:rsid w:val="002D2FDC"/>
    <w:rsid w:val="002D4DBC"/>
    <w:rsid w:val="002E2934"/>
    <w:rsid w:val="002E46AD"/>
    <w:rsid w:val="002E4C25"/>
    <w:rsid w:val="002E5F48"/>
    <w:rsid w:val="002E6293"/>
    <w:rsid w:val="002F5023"/>
    <w:rsid w:val="002F6643"/>
    <w:rsid w:val="002F772D"/>
    <w:rsid w:val="00303213"/>
    <w:rsid w:val="00303F18"/>
    <w:rsid w:val="00304D36"/>
    <w:rsid w:val="003069CB"/>
    <w:rsid w:val="00306A44"/>
    <w:rsid w:val="00307FF0"/>
    <w:rsid w:val="00311AE6"/>
    <w:rsid w:val="00317068"/>
    <w:rsid w:val="003214B5"/>
    <w:rsid w:val="00323954"/>
    <w:rsid w:val="00323F80"/>
    <w:rsid w:val="00327DB6"/>
    <w:rsid w:val="00331422"/>
    <w:rsid w:val="00333041"/>
    <w:rsid w:val="00333287"/>
    <w:rsid w:val="003334F5"/>
    <w:rsid w:val="00333590"/>
    <w:rsid w:val="00334ADD"/>
    <w:rsid w:val="00334C91"/>
    <w:rsid w:val="00337E8B"/>
    <w:rsid w:val="00344143"/>
    <w:rsid w:val="00345F6F"/>
    <w:rsid w:val="00346408"/>
    <w:rsid w:val="00350BAA"/>
    <w:rsid w:val="00350C82"/>
    <w:rsid w:val="00352221"/>
    <w:rsid w:val="00352D59"/>
    <w:rsid w:val="00353DB4"/>
    <w:rsid w:val="00355534"/>
    <w:rsid w:val="00357038"/>
    <w:rsid w:val="003571F5"/>
    <w:rsid w:val="00360F4C"/>
    <w:rsid w:val="003612F4"/>
    <w:rsid w:val="00374335"/>
    <w:rsid w:val="00377D02"/>
    <w:rsid w:val="0038031A"/>
    <w:rsid w:val="0038047B"/>
    <w:rsid w:val="00380591"/>
    <w:rsid w:val="003845CD"/>
    <w:rsid w:val="003860D4"/>
    <w:rsid w:val="00386F95"/>
    <w:rsid w:val="0038719A"/>
    <w:rsid w:val="00387638"/>
    <w:rsid w:val="003A1FD7"/>
    <w:rsid w:val="003A447E"/>
    <w:rsid w:val="003A5546"/>
    <w:rsid w:val="003A5B96"/>
    <w:rsid w:val="003B0EFA"/>
    <w:rsid w:val="003B48C6"/>
    <w:rsid w:val="003B4AB0"/>
    <w:rsid w:val="003B7480"/>
    <w:rsid w:val="003C1DB9"/>
    <w:rsid w:val="003C4117"/>
    <w:rsid w:val="003C6852"/>
    <w:rsid w:val="003D0734"/>
    <w:rsid w:val="003D2A27"/>
    <w:rsid w:val="003D3EED"/>
    <w:rsid w:val="003D5153"/>
    <w:rsid w:val="003D6D27"/>
    <w:rsid w:val="003E38B3"/>
    <w:rsid w:val="003E4AFF"/>
    <w:rsid w:val="003E4C85"/>
    <w:rsid w:val="003E508C"/>
    <w:rsid w:val="003E6516"/>
    <w:rsid w:val="003F40CA"/>
    <w:rsid w:val="003F43EB"/>
    <w:rsid w:val="00401E33"/>
    <w:rsid w:val="004052E3"/>
    <w:rsid w:val="00406FE6"/>
    <w:rsid w:val="00410D24"/>
    <w:rsid w:val="00412BDA"/>
    <w:rsid w:val="00413010"/>
    <w:rsid w:val="00413FD4"/>
    <w:rsid w:val="00415D86"/>
    <w:rsid w:val="00416F23"/>
    <w:rsid w:val="00417354"/>
    <w:rsid w:val="0041774B"/>
    <w:rsid w:val="00425348"/>
    <w:rsid w:val="00425613"/>
    <w:rsid w:val="00427213"/>
    <w:rsid w:val="00430F7A"/>
    <w:rsid w:val="00434F8F"/>
    <w:rsid w:val="00437399"/>
    <w:rsid w:val="00437610"/>
    <w:rsid w:val="00440F23"/>
    <w:rsid w:val="00442776"/>
    <w:rsid w:val="00443ECB"/>
    <w:rsid w:val="00444017"/>
    <w:rsid w:val="00444A9D"/>
    <w:rsid w:val="004453C5"/>
    <w:rsid w:val="00445F8A"/>
    <w:rsid w:val="004470C8"/>
    <w:rsid w:val="0044757A"/>
    <w:rsid w:val="00447705"/>
    <w:rsid w:val="00456E06"/>
    <w:rsid w:val="00462D8F"/>
    <w:rsid w:val="00466F66"/>
    <w:rsid w:val="00470727"/>
    <w:rsid w:val="00470E92"/>
    <w:rsid w:val="00471CB4"/>
    <w:rsid w:val="0047537F"/>
    <w:rsid w:val="00475813"/>
    <w:rsid w:val="00477745"/>
    <w:rsid w:val="0047796F"/>
    <w:rsid w:val="00485AE5"/>
    <w:rsid w:val="00487649"/>
    <w:rsid w:val="004935D4"/>
    <w:rsid w:val="00494A9E"/>
    <w:rsid w:val="00496B82"/>
    <w:rsid w:val="00497C0E"/>
    <w:rsid w:val="004A0D71"/>
    <w:rsid w:val="004A0E48"/>
    <w:rsid w:val="004A101F"/>
    <w:rsid w:val="004A2842"/>
    <w:rsid w:val="004A28B1"/>
    <w:rsid w:val="004A2C45"/>
    <w:rsid w:val="004A379F"/>
    <w:rsid w:val="004A755D"/>
    <w:rsid w:val="004A7803"/>
    <w:rsid w:val="004B155C"/>
    <w:rsid w:val="004B311B"/>
    <w:rsid w:val="004B3383"/>
    <w:rsid w:val="004B3A61"/>
    <w:rsid w:val="004B4036"/>
    <w:rsid w:val="004B69E9"/>
    <w:rsid w:val="004B7984"/>
    <w:rsid w:val="004C39F8"/>
    <w:rsid w:val="004C6C29"/>
    <w:rsid w:val="004E09AC"/>
    <w:rsid w:val="004E1ED7"/>
    <w:rsid w:val="004E21DC"/>
    <w:rsid w:val="004E2BA5"/>
    <w:rsid w:val="004E2F1F"/>
    <w:rsid w:val="004E37CB"/>
    <w:rsid w:val="004F0762"/>
    <w:rsid w:val="004F507D"/>
    <w:rsid w:val="004F548A"/>
    <w:rsid w:val="004F69FC"/>
    <w:rsid w:val="004F6EF9"/>
    <w:rsid w:val="004F6F22"/>
    <w:rsid w:val="004F734D"/>
    <w:rsid w:val="004F775E"/>
    <w:rsid w:val="005040A5"/>
    <w:rsid w:val="00504A1E"/>
    <w:rsid w:val="00506DF3"/>
    <w:rsid w:val="00510F9A"/>
    <w:rsid w:val="00514C42"/>
    <w:rsid w:val="00516583"/>
    <w:rsid w:val="00517037"/>
    <w:rsid w:val="005206E7"/>
    <w:rsid w:val="00523DE9"/>
    <w:rsid w:val="00527029"/>
    <w:rsid w:val="00530113"/>
    <w:rsid w:val="00535A46"/>
    <w:rsid w:val="00537AF8"/>
    <w:rsid w:val="005523D9"/>
    <w:rsid w:val="00553E69"/>
    <w:rsid w:val="005649F4"/>
    <w:rsid w:val="00570C77"/>
    <w:rsid w:val="00570F66"/>
    <w:rsid w:val="00574415"/>
    <w:rsid w:val="005745B5"/>
    <w:rsid w:val="00575E16"/>
    <w:rsid w:val="0058100C"/>
    <w:rsid w:val="0058246C"/>
    <w:rsid w:val="00583A7A"/>
    <w:rsid w:val="005847FC"/>
    <w:rsid w:val="005871FD"/>
    <w:rsid w:val="00587969"/>
    <w:rsid w:val="005908D1"/>
    <w:rsid w:val="0059124E"/>
    <w:rsid w:val="00591DDF"/>
    <w:rsid w:val="0059314C"/>
    <w:rsid w:val="00594F01"/>
    <w:rsid w:val="005961B5"/>
    <w:rsid w:val="005A2CB4"/>
    <w:rsid w:val="005A2CE8"/>
    <w:rsid w:val="005A418C"/>
    <w:rsid w:val="005A50F4"/>
    <w:rsid w:val="005A5F35"/>
    <w:rsid w:val="005A7852"/>
    <w:rsid w:val="005B11F7"/>
    <w:rsid w:val="005B1F61"/>
    <w:rsid w:val="005B31DF"/>
    <w:rsid w:val="005B5E18"/>
    <w:rsid w:val="005C0D6B"/>
    <w:rsid w:val="005C2D0D"/>
    <w:rsid w:val="005C47F2"/>
    <w:rsid w:val="005D0FB4"/>
    <w:rsid w:val="005D3B31"/>
    <w:rsid w:val="005D7644"/>
    <w:rsid w:val="005E0767"/>
    <w:rsid w:val="005E32A6"/>
    <w:rsid w:val="005E4592"/>
    <w:rsid w:val="005E6BBA"/>
    <w:rsid w:val="005F19C7"/>
    <w:rsid w:val="005F278A"/>
    <w:rsid w:val="005F296A"/>
    <w:rsid w:val="005F4178"/>
    <w:rsid w:val="005F4C2A"/>
    <w:rsid w:val="005F562B"/>
    <w:rsid w:val="00603FC8"/>
    <w:rsid w:val="006052E3"/>
    <w:rsid w:val="006056E3"/>
    <w:rsid w:val="006103CF"/>
    <w:rsid w:val="00617424"/>
    <w:rsid w:val="006242DF"/>
    <w:rsid w:val="00626A66"/>
    <w:rsid w:val="00627EC1"/>
    <w:rsid w:val="00633928"/>
    <w:rsid w:val="006402FF"/>
    <w:rsid w:val="006409AF"/>
    <w:rsid w:val="00647795"/>
    <w:rsid w:val="0064782F"/>
    <w:rsid w:val="006501F3"/>
    <w:rsid w:val="00650425"/>
    <w:rsid w:val="00651D00"/>
    <w:rsid w:val="00651F0B"/>
    <w:rsid w:val="00657EF9"/>
    <w:rsid w:val="006605AE"/>
    <w:rsid w:val="006621E2"/>
    <w:rsid w:val="006623AF"/>
    <w:rsid w:val="00665052"/>
    <w:rsid w:val="0066597C"/>
    <w:rsid w:val="0066772B"/>
    <w:rsid w:val="00671C98"/>
    <w:rsid w:val="00671FAA"/>
    <w:rsid w:val="00674C2C"/>
    <w:rsid w:val="00675167"/>
    <w:rsid w:val="00675E92"/>
    <w:rsid w:val="0067780D"/>
    <w:rsid w:val="006839E7"/>
    <w:rsid w:val="0068583E"/>
    <w:rsid w:val="006860F8"/>
    <w:rsid w:val="00692DDE"/>
    <w:rsid w:val="00693A2B"/>
    <w:rsid w:val="006958AD"/>
    <w:rsid w:val="006A1007"/>
    <w:rsid w:val="006A1D98"/>
    <w:rsid w:val="006A559D"/>
    <w:rsid w:val="006B08B5"/>
    <w:rsid w:val="006B15A4"/>
    <w:rsid w:val="006B194A"/>
    <w:rsid w:val="006B2732"/>
    <w:rsid w:val="006B3096"/>
    <w:rsid w:val="006B6311"/>
    <w:rsid w:val="006C031E"/>
    <w:rsid w:val="006C1DC7"/>
    <w:rsid w:val="006C7B13"/>
    <w:rsid w:val="006C7E7A"/>
    <w:rsid w:val="006D072D"/>
    <w:rsid w:val="006D3DD2"/>
    <w:rsid w:val="006D7872"/>
    <w:rsid w:val="006D7FA0"/>
    <w:rsid w:val="006E37D6"/>
    <w:rsid w:val="006E431D"/>
    <w:rsid w:val="006E719F"/>
    <w:rsid w:val="006E7DD3"/>
    <w:rsid w:val="006F0190"/>
    <w:rsid w:val="006F0201"/>
    <w:rsid w:val="006F26D7"/>
    <w:rsid w:val="006F6BBA"/>
    <w:rsid w:val="006F6C0C"/>
    <w:rsid w:val="006F7FB9"/>
    <w:rsid w:val="007032A9"/>
    <w:rsid w:val="00703B69"/>
    <w:rsid w:val="0070507B"/>
    <w:rsid w:val="00706DBE"/>
    <w:rsid w:val="00706F11"/>
    <w:rsid w:val="00710B7C"/>
    <w:rsid w:val="00711FAF"/>
    <w:rsid w:val="00713816"/>
    <w:rsid w:val="00715F44"/>
    <w:rsid w:val="007267E1"/>
    <w:rsid w:val="00727F26"/>
    <w:rsid w:val="00731500"/>
    <w:rsid w:val="0073370A"/>
    <w:rsid w:val="00734365"/>
    <w:rsid w:val="007348EE"/>
    <w:rsid w:val="00736A66"/>
    <w:rsid w:val="007451BA"/>
    <w:rsid w:val="007479B8"/>
    <w:rsid w:val="007513C5"/>
    <w:rsid w:val="0075522B"/>
    <w:rsid w:val="00757079"/>
    <w:rsid w:val="00760169"/>
    <w:rsid w:val="00760D46"/>
    <w:rsid w:val="0076258C"/>
    <w:rsid w:val="00767BCD"/>
    <w:rsid w:val="00772F70"/>
    <w:rsid w:val="007816E2"/>
    <w:rsid w:val="007826FF"/>
    <w:rsid w:val="007846A8"/>
    <w:rsid w:val="00784DBF"/>
    <w:rsid w:val="00787CE1"/>
    <w:rsid w:val="00787F4F"/>
    <w:rsid w:val="00790708"/>
    <w:rsid w:val="007911A1"/>
    <w:rsid w:val="0079129A"/>
    <w:rsid w:val="007920B4"/>
    <w:rsid w:val="007943D0"/>
    <w:rsid w:val="00796A48"/>
    <w:rsid w:val="0079772B"/>
    <w:rsid w:val="0079777E"/>
    <w:rsid w:val="00797B9B"/>
    <w:rsid w:val="007A0954"/>
    <w:rsid w:val="007A269D"/>
    <w:rsid w:val="007A3880"/>
    <w:rsid w:val="007A3D98"/>
    <w:rsid w:val="007A5A34"/>
    <w:rsid w:val="007A714C"/>
    <w:rsid w:val="007A76F8"/>
    <w:rsid w:val="007B283A"/>
    <w:rsid w:val="007B38CA"/>
    <w:rsid w:val="007C264A"/>
    <w:rsid w:val="007C2D56"/>
    <w:rsid w:val="007C6A48"/>
    <w:rsid w:val="007C7283"/>
    <w:rsid w:val="007C7334"/>
    <w:rsid w:val="007C796B"/>
    <w:rsid w:val="007D4001"/>
    <w:rsid w:val="007D6730"/>
    <w:rsid w:val="007D7405"/>
    <w:rsid w:val="007E295F"/>
    <w:rsid w:val="007E2B3B"/>
    <w:rsid w:val="007E3C14"/>
    <w:rsid w:val="007E3CBC"/>
    <w:rsid w:val="007E7F7F"/>
    <w:rsid w:val="007F01EB"/>
    <w:rsid w:val="007F36D4"/>
    <w:rsid w:val="007F3EA4"/>
    <w:rsid w:val="007F4C1A"/>
    <w:rsid w:val="007F6E7E"/>
    <w:rsid w:val="007F731E"/>
    <w:rsid w:val="00802042"/>
    <w:rsid w:val="008022DF"/>
    <w:rsid w:val="00804100"/>
    <w:rsid w:val="00804445"/>
    <w:rsid w:val="00805333"/>
    <w:rsid w:val="0081239D"/>
    <w:rsid w:val="00813DDF"/>
    <w:rsid w:val="00814CC4"/>
    <w:rsid w:val="00815C34"/>
    <w:rsid w:val="00820E5F"/>
    <w:rsid w:val="008244B6"/>
    <w:rsid w:val="00825A48"/>
    <w:rsid w:val="00827031"/>
    <w:rsid w:val="00827A3E"/>
    <w:rsid w:val="0083154B"/>
    <w:rsid w:val="00834E89"/>
    <w:rsid w:val="00835D3B"/>
    <w:rsid w:val="008413BE"/>
    <w:rsid w:val="0086008C"/>
    <w:rsid w:val="00862003"/>
    <w:rsid w:val="00870198"/>
    <w:rsid w:val="00873DBB"/>
    <w:rsid w:val="00875573"/>
    <w:rsid w:val="00875837"/>
    <w:rsid w:val="00880D3A"/>
    <w:rsid w:val="008818F0"/>
    <w:rsid w:val="00883D3F"/>
    <w:rsid w:val="00890AAA"/>
    <w:rsid w:val="00891B98"/>
    <w:rsid w:val="008955AF"/>
    <w:rsid w:val="00897397"/>
    <w:rsid w:val="00897911"/>
    <w:rsid w:val="008A2A68"/>
    <w:rsid w:val="008A4201"/>
    <w:rsid w:val="008A76F0"/>
    <w:rsid w:val="008B0400"/>
    <w:rsid w:val="008B33D4"/>
    <w:rsid w:val="008B3A5F"/>
    <w:rsid w:val="008B3B08"/>
    <w:rsid w:val="008B3D14"/>
    <w:rsid w:val="008B44AF"/>
    <w:rsid w:val="008B7896"/>
    <w:rsid w:val="008C0946"/>
    <w:rsid w:val="008C3A06"/>
    <w:rsid w:val="008C59F0"/>
    <w:rsid w:val="008C6115"/>
    <w:rsid w:val="008C7886"/>
    <w:rsid w:val="008C7D46"/>
    <w:rsid w:val="008D1AEB"/>
    <w:rsid w:val="008D4866"/>
    <w:rsid w:val="008D49AB"/>
    <w:rsid w:val="008D6664"/>
    <w:rsid w:val="008E0545"/>
    <w:rsid w:val="008E2623"/>
    <w:rsid w:val="008E7BB9"/>
    <w:rsid w:val="008F29AC"/>
    <w:rsid w:val="008F398A"/>
    <w:rsid w:val="008F3B2B"/>
    <w:rsid w:val="008F748A"/>
    <w:rsid w:val="008F76C5"/>
    <w:rsid w:val="00901D00"/>
    <w:rsid w:val="00902DA5"/>
    <w:rsid w:val="00907950"/>
    <w:rsid w:val="00910B23"/>
    <w:rsid w:val="00914019"/>
    <w:rsid w:val="00916C59"/>
    <w:rsid w:val="00917385"/>
    <w:rsid w:val="00922968"/>
    <w:rsid w:val="009258F9"/>
    <w:rsid w:val="009318A6"/>
    <w:rsid w:val="009328F4"/>
    <w:rsid w:val="009335D2"/>
    <w:rsid w:val="00937760"/>
    <w:rsid w:val="00941FE7"/>
    <w:rsid w:val="00942893"/>
    <w:rsid w:val="00943D1A"/>
    <w:rsid w:val="00953072"/>
    <w:rsid w:val="00953711"/>
    <w:rsid w:val="00956056"/>
    <w:rsid w:val="00956A69"/>
    <w:rsid w:val="00960A34"/>
    <w:rsid w:val="00962946"/>
    <w:rsid w:val="00966A92"/>
    <w:rsid w:val="0096736F"/>
    <w:rsid w:val="00967C70"/>
    <w:rsid w:val="00967EFA"/>
    <w:rsid w:val="00972D22"/>
    <w:rsid w:val="00975394"/>
    <w:rsid w:val="00975F2C"/>
    <w:rsid w:val="00976AB7"/>
    <w:rsid w:val="00976DB0"/>
    <w:rsid w:val="009805B6"/>
    <w:rsid w:val="009832A7"/>
    <w:rsid w:val="00983374"/>
    <w:rsid w:val="00983EE9"/>
    <w:rsid w:val="00983F3C"/>
    <w:rsid w:val="0098590F"/>
    <w:rsid w:val="00990C04"/>
    <w:rsid w:val="0099197C"/>
    <w:rsid w:val="00994362"/>
    <w:rsid w:val="00994993"/>
    <w:rsid w:val="00995ABF"/>
    <w:rsid w:val="00995EC3"/>
    <w:rsid w:val="00996895"/>
    <w:rsid w:val="009970BA"/>
    <w:rsid w:val="00997F4F"/>
    <w:rsid w:val="009A1B12"/>
    <w:rsid w:val="009A2A7E"/>
    <w:rsid w:val="009A2DB2"/>
    <w:rsid w:val="009A3034"/>
    <w:rsid w:val="009A57BF"/>
    <w:rsid w:val="009B34B7"/>
    <w:rsid w:val="009C347A"/>
    <w:rsid w:val="009C59CA"/>
    <w:rsid w:val="009C6076"/>
    <w:rsid w:val="009C67F2"/>
    <w:rsid w:val="009D1297"/>
    <w:rsid w:val="009D1694"/>
    <w:rsid w:val="009D1ABF"/>
    <w:rsid w:val="009D468D"/>
    <w:rsid w:val="009D55EB"/>
    <w:rsid w:val="009E6D49"/>
    <w:rsid w:val="009E718D"/>
    <w:rsid w:val="009F1AB5"/>
    <w:rsid w:val="009F29E0"/>
    <w:rsid w:val="009F37A4"/>
    <w:rsid w:val="009F4E2C"/>
    <w:rsid w:val="009F5EEE"/>
    <w:rsid w:val="009F7BC1"/>
    <w:rsid w:val="00A02EA8"/>
    <w:rsid w:val="00A0430F"/>
    <w:rsid w:val="00A04CFD"/>
    <w:rsid w:val="00A104D1"/>
    <w:rsid w:val="00A11AC2"/>
    <w:rsid w:val="00A11CC4"/>
    <w:rsid w:val="00A166E3"/>
    <w:rsid w:val="00A20BDD"/>
    <w:rsid w:val="00A21833"/>
    <w:rsid w:val="00A23110"/>
    <w:rsid w:val="00A25594"/>
    <w:rsid w:val="00A338CA"/>
    <w:rsid w:val="00A33F07"/>
    <w:rsid w:val="00A347F8"/>
    <w:rsid w:val="00A35566"/>
    <w:rsid w:val="00A35D40"/>
    <w:rsid w:val="00A363C6"/>
    <w:rsid w:val="00A36D92"/>
    <w:rsid w:val="00A40830"/>
    <w:rsid w:val="00A40A51"/>
    <w:rsid w:val="00A460D2"/>
    <w:rsid w:val="00A47529"/>
    <w:rsid w:val="00A50639"/>
    <w:rsid w:val="00A5500D"/>
    <w:rsid w:val="00A55654"/>
    <w:rsid w:val="00A55DAA"/>
    <w:rsid w:val="00A56427"/>
    <w:rsid w:val="00A62E11"/>
    <w:rsid w:val="00A632EA"/>
    <w:rsid w:val="00A63959"/>
    <w:rsid w:val="00A64F37"/>
    <w:rsid w:val="00A6680D"/>
    <w:rsid w:val="00A7009D"/>
    <w:rsid w:val="00A705A7"/>
    <w:rsid w:val="00A7170F"/>
    <w:rsid w:val="00A73F7E"/>
    <w:rsid w:val="00A74AFF"/>
    <w:rsid w:val="00A75D33"/>
    <w:rsid w:val="00A77164"/>
    <w:rsid w:val="00A77543"/>
    <w:rsid w:val="00A7793A"/>
    <w:rsid w:val="00A87297"/>
    <w:rsid w:val="00A9170F"/>
    <w:rsid w:val="00A91D65"/>
    <w:rsid w:val="00A931AF"/>
    <w:rsid w:val="00A95621"/>
    <w:rsid w:val="00A96685"/>
    <w:rsid w:val="00AA0D3A"/>
    <w:rsid w:val="00AB3C5C"/>
    <w:rsid w:val="00AB4602"/>
    <w:rsid w:val="00AB4646"/>
    <w:rsid w:val="00AB4741"/>
    <w:rsid w:val="00AC0A7C"/>
    <w:rsid w:val="00AC15D5"/>
    <w:rsid w:val="00AC491D"/>
    <w:rsid w:val="00AC652F"/>
    <w:rsid w:val="00AC6901"/>
    <w:rsid w:val="00AD08E5"/>
    <w:rsid w:val="00AD0E79"/>
    <w:rsid w:val="00AD254F"/>
    <w:rsid w:val="00AD3D21"/>
    <w:rsid w:val="00AD4777"/>
    <w:rsid w:val="00AD67C5"/>
    <w:rsid w:val="00AD6AD9"/>
    <w:rsid w:val="00AD6F79"/>
    <w:rsid w:val="00AD7E46"/>
    <w:rsid w:val="00AE7995"/>
    <w:rsid w:val="00AF05C5"/>
    <w:rsid w:val="00AF1C12"/>
    <w:rsid w:val="00AF7F2C"/>
    <w:rsid w:val="00B006CF"/>
    <w:rsid w:val="00B05333"/>
    <w:rsid w:val="00B067F0"/>
    <w:rsid w:val="00B06E41"/>
    <w:rsid w:val="00B1349A"/>
    <w:rsid w:val="00B14371"/>
    <w:rsid w:val="00B159BA"/>
    <w:rsid w:val="00B16EA1"/>
    <w:rsid w:val="00B2131D"/>
    <w:rsid w:val="00B222C2"/>
    <w:rsid w:val="00B23B44"/>
    <w:rsid w:val="00B241FF"/>
    <w:rsid w:val="00B319A3"/>
    <w:rsid w:val="00B34F9D"/>
    <w:rsid w:val="00B3629E"/>
    <w:rsid w:val="00B36619"/>
    <w:rsid w:val="00B428E4"/>
    <w:rsid w:val="00B468E7"/>
    <w:rsid w:val="00B46F6B"/>
    <w:rsid w:val="00B4797C"/>
    <w:rsid w:val="00B51920"/>
    <w:rsid w:val="00B54844"/>
    <w:rsid w:val="00B57EE4"/>
    <w:rsid w:val="00B60AB7"/>
    <w:rsid w:val="00B6136B"/>
    <w:rsid w:val="00B62BDC"/>
    <w:rsid w:val="00B65BB3"/>
    <w:rsid w:val="00B700F4"/>
    <w:rsid w:val="00B7178D"/>
    <w:rsid w:val="00B731BF"/>
    <w:rsid w:val="00B73CFC"/>
    <w:rsid w:val="00B73FD2"/>
    <w:rsid w:val="00B829ED"/>
    <w:rsid w:val="00B85037"/>
    <w:rsid w:val="00B92029"/>
    <w:rsid w:val="00B92385"/>
    <w:rsid w:val="00B9379E"/>
    <w:rsid w:val="00B94048"/>
    <w:rsid w:val="00B952B3"/>
    <w:rsid w:val="00B95D31"/>
    <w:rsid w:val="00B97460"/>
    <w:rsid w:val="00B97528"/>
    <w:rsid w:val="00BA7219"/>
    <w:rsid w:val="00BB10B6"/>
    <w:rsid w:val="00BC07A2"/>
    <w:rsid w:val="00BC1B68"/>
    <w:rsid w:val="00BC6E42"/>
    <w:rsid w:val="00BC7438"/>
    <w:rsid w:val="00BD1896"/>
    <w:rsid w:val="00BD3CFD"/>
    <w:rsid w:val="00BD3DC2"/>
    <w:rsid w:val="00BD3FD8"/>
    <w:rsid w:val="00BD6081"/>
    <w:rsid w:val="00BE0AF9"/>
    <w:rsid w:val="00BE162E"/>
    <w:rsid w:val="00BE2F95"/>
    <w:rsid w:val="00BF00B9"/>
    <w:rsid w:val="00BF10B5"/>
    <w:rsid w:val="00BF132B"/>
    <w:rsid w:val="00BF2CC0"/>
    <w:rsid w:val="00BF50AE"/>
    <w:rsid w:val="00BF5AC9"/>
    <w:rsid w:val="00C0066C"/>
    <w:rsid w:val="00C035C7"/>
    <w:rsid w:val="00C049B3"/>
    <w:rsid w:val="00C04BEA"/>
    <w:rsid w:val="00C05385"/>
    <w:rsid w:val="00C073F7"/>
    <w:rsid w:val="00C1238F"/>
    <w:rsid w:val="00C14850"/>
    <w:rsid w:val="00C156BE"/>
    <w:rsid w:val="00C15C67"/>
    <w:rsid w:val="00C23B79"/>
    <w:rsid w:val="00C2606E"/>
    <w:rsid w:val="00C2707D"/>
    <w:rsid w:val="00C35418"/>
    <w:rsid w:val="00C4058F"/>
    <w:rsid w:val="00C40E60"/>
    <w:rsid w:val="00C44A07"/>
    <w:rsid w:val="00C44D41"/>
    <w:rsid w:val="00C462C2"/>
    <w:rsid w:val="00C53BAC"/>
    <w:rsid w:val="00C54349"/>
    <w:rsid w:val="00C54544"/>
    <w:rsid w:val="00C566BD"/>
    <w:rsid w:val="00C56DD2"/>
    <w:rsid w:val="00C643C8"/>
    <w:rsid w:val="00C668BF"/>
    <w:rsid w:val="00C719D3"/>
    <w:rsid w:val="00C740DC"/>
    <w:rsid w:val="00C751C2"/>
    <w:rsid w:val="00C76659"/>
    <w:rsid w:val="00C76B3F"/>
    <w:rsid w:val="00C771EC"/>
    <w:rsid w:val="00C81C93"/>
    <w:rsid w:val="00C8499B"/>
    <w:rsid w:val="00C872E1"/>
    <w:rsid w:val="00C912D6"/>
    <w:rsid w:val="00C956D9"/>
    <w:rsid w:val="00C973F7"/>
    <w:rsid w:val="00C97A8C"/>
    <w:rsid w:val="00C97D25"/>
    <w:rsid w:val="00CA01FE"/>
    <w:rsid w:val="00CA036F"/>
    <w:rsid w:val="00CA2E02"/>
    <w:rsid w:val="00CA334F"/>
    <w:rsid w:val="00CA7ED0"/>
    <w:rsid w:val="00CB0601"/>
    <w:rsid w:val="00CB25B2"/>
    <w:rsid w:val="00CB4904"/>
    <w:rsid w:val="00CB55A6"/>
    <w:rsid w:val="00CB65DC"/>
    <w:rsid w:val="00CC06B5"/>
    <w:rsid w:val="00CC0CBE"/>
    <w:rsid w:val="00CC17F4"/>
    <w:rsid w:val="00CC3D96"/>
    <w:rsid w:val="00CC43CE"/>
    <w:rsid w:val="00CC4C38"/>
    <w:rsid w:val="00CC53CD"/>
    <w:rsid w:val="00CD056C"/>
    <w:rsid w:val="00CD2ABB"/>
    <w:rsid w:val="00CD5324"/>
    <w:rsid w:val="00CD7314"/>
    <w:rsid w:val="00CE1897"/>
    <w:rsid w:val="00CE2EB0"/>
    <w:rsid w:val="00CE3670"/>
    <w:rsid w:val="00CE3A79"/>
    <w:rsid w:val="00CE42A6"/>
    <w:rsid w:val="00CE4497"/>
    <w:rsid w:val="00CF532C"/>
    <w:rsid w:val="00CF7E04"/>
    <w:rsid w:val="00D01F80"/>
    <w:rsid w:val="00D0204F"/>
    <w:rsid w:val="00D026F5"/>
    <w:rsid w:val="00D030B0"/>
    <w:rsid w:val="00D03F9A"/>
    <w:rsid w:val="00D043E5"/>
    <w:rsid w:val="00D05AD2"/>
    <w:rsid w:val="00D05BA0"/>
    <w:rsid w:val="00D11F1D"/>
    <w:rsid w:val="00D14399"/>
    <w:rsid w:val="00D165E6"/>
    <w:rsid w:val="00D16A97"/>
    <w:rsid w:val="00D17DC1"/>
    <w:rsid w:val="00D21BC2"/>
    <w:rsid w:val="00D21FA5"/>
    <w:rsid w:val="00D2295C"/>
    <w:rsid w:val="00D22E16"/>
    <w:rsid w:val="00D2327D"/>
    <w:rsid w:val="00D26339"/>
    <w:rsid w:val="00D27274"/>
    <w:rsid w:val="00D2773A"/>
    <w:rsid w:val="00D33773"/>
    <w:rsid w:val="00D35D0D"/>
    <w:rsid w:val="00D46E82"/>
    <w:rsid w:val="00D50823"/>
    <w:rsid w:val="00D544F3"/>
    <w:rsid w:val="00D56A6B"/>
    <w:rsid w:val="00D629BD"/>
    <w:rsid w:val="00D62AA1"/>
    <w:rsid w:val="00D67E66"/>
    <w:rsid w:val="00D70155"/>
    <w:rsid w:val="00D7150B"/>
    <w:rsid w:val="00D76440"/>
    <w:rsid w:val="00D8024D"/>
    <w:rsid w:val="00D81139"/>
    <w:rsid w:val="00D81B3D"/>
    <w:rsid w:val="00D821D0"/>
    <w:rsid w:val="00D822EC"/>
    <w:rsid w:val="00D8238E"/>
    <w:rsid w:val="00D82CB4"/>
    <w:rsid w:val="00D918EE"/>
    <w:rsid w:val="00D93B8F"/>
    <w:rsid w:val="00D96452"/>
    <w:rsid w:val="00DA208C"/>
    <w:rsid w:val="00DA2D40"/>
    <w:rsid w:val="00DA328E"/>
    <w:rsid w:val="00DA371B"/>
    <w:rsid w:val="00DA4732"/>
    <w:rsid w:val="00DA6722"/>
    <w:rsid w:val="00DA6A87"/>
    <w:rsid w:val="00DB259C"/>
    <w:rsid w:val="00DB457D"/>
    <w:rsid w:val="00DC2FEE"/>
    <w:rsid w:val="00DD05EC"/>
    <w:rsid w:val="00DD24EA"/>
    <w:rsid w:val="00DD4340"/>
    <w:rsid w:val="00DD57CC"/>
    <w:rsid w:val="00DE1E46"/>
    <w:rsid w:val="00DE25BF"/>
    <w:rsid w:val="00DE3410"/>
    <w:rsid w:val="00DE63DB"/>
    <w:rsid w:val="00DE700C"/>
    <w:rsid w:val="00DE7C02"/>
    <w:rsid w:val="00DF2C66"/>
    <w:rsid w:val="00E01332"/>
    <w:rsid w:val="00E01BEB"/>
    <w:rsid w:val="00E01CEA"/>
    <w:rsid w:val="00E04164"/>
    <w:rsid w:val="00E0611D"/>
    <w:rsid w:val="00E062D4"/>
    <w:rsid w:val="00E0640D"/>
    <w:rsid w:val="00E07CDB"/>
    <w:rsid w:val="00E133B7"/>
    <w:rsid w:val="00E150E5"/>
    <w:rsid w:val="00E20863"/>
    <w:rsid w:val="00E20D6B"/>
    <w:rsid w:val="00E219E8"/>
    <w:rsid w:val="00E246E9"/>
    <w:rsid w:val="00E259DA"/>
    <w:rsid w:val="00E268D9"/>
    <w:rsid w:val="00E27E78"/>
    <w:rsid w:val="00E30D92"/>
    <w:rsid w:val="00E3166F"/>
    <w:rsid w:val="00E32683"/>
    <w:rsid w:val="00E32722"/>
    <w:rsid w:val="00E343E0"/>
    <w:rsid w:val="00E355E6"/>
    <w:rsid w:val="00E36305"/>
    <w:rsid w:val="00E4267C"/>
    <w:rsid w:val="00E437F2"/>
    <w:rsid w:val="00E4425F"/>
    <w:rsid w:val="00E452FE"/>
    <w:rsid w:val="00E4708A"/>
    <w:rsid w:val="00E52B6D"/>
    <w:rsid w:val="00E52C8E"/>
    <w:rsid w:val="00E53752"/>
    <w:rsid w:val="00E53A20"/>
    <w:rsid w:val="00E53A6D"/>
    <w:rsid w:val="00E56221"/>
    <w:rsid w:val="00E562CD"/>
    <w:rsid w:val="00E5755F"/>
    <w:rsid w:val="00E63A08"/>
    <w:rsid w:val="00E67389"/>
    <w:rsid w:val="00E67A36"/>
    <w:rsid w:val="00E709BC"/>
    <w:rsid w:val="00E71392"/>
    <w:rsid w:val="00E71A44"/>
    <w:rsid w:val="00E7319F"/>
    <w:rsid w:val="00E73400"/>
    <w:rsid w:val="00E738B6"/>
    <w:rsid w:val="00E80DCE"/>
    <w:rsid w:val="00E81DB5"/>
    <w:rsid w:val="00E82A90"/>
    <w:rsid w:val="00E84714"/>
    <w:rsid w:val="00E866C5"/>
    <w:rsid w:val="00E967A0"/>
    <w:rsid w:val="00EA0CD2"/>
    <w:rsid w:val="00EA2D45"/>
    <w:rsid w:val="00EA329F"/>
    <w:rsid w:val="00EA3943"/>
    <w:rsid w:val="00EA4A6D"/>
    <w:rsid w:val="00EA53E3"/>
    <w:rsid w:val="00EA669C"/>
    <w:rsid w:val="00EA674B"/>
    <w:rsid w:val="00EB3F94"/>
    <w:rsid w:val="00EB7AFD"/>
    <w:rsid w:val="00EC1FDB"/>
    <w:rsid w:val="00EC72B4"/>
    <w:rsid w:val="00ED1D84"/>
    <w:rsid w:val="00EE0EF8"/>
    <w:rsid w:val="00EE1075"/>
    <w:rsid w:val="00EE20E8"/>
    <w:rsid w:val="00EE5866"/>
    <w:rsid w:val="00EE7D07"/>
    <w:rsid w:val="00EF0431"/>
    <w:rsid w:val="00EF092E"/>
    <w:rsid w:val="00EF1700"/>
    <w:rsid w:val="00EF1CC9"/>
    <w:rsid w:val="00EF6C57"/>
    <w:rsid w:val="00EF707C"/>
    <w:rsid w:val="00EF7AF5"/>
    <w:rsid w:val="00F0026E"/>
    <w:rsid w:val="00F07FBB"/>
    <w:rsid w:val="00F10015"/>
    <w:rsid w:val="00F11208"/>
    <w:rsid w:val="00F119D5"/>
    <w:rsid w:val="00F11BC9"/>
    <w:rsid w:val="00F1501A"/>
    <w:rsid w:val="00F15A6C"/>
    <w:rsid w:val="00F20A12"/>
    <w:rsid w:val="00F2170C"/>
    <w:rsid w:val="00F23564"/>
    <w:rsid w:val="00F26589"/>
    <w:rsid w:val="00F3118A"/>
    <w:rsid w:val="00F3149F"/>
    <w:rsid w:val="00F334B6"/>
    <w:rsid w:val="00F35D42"/>
    <w:rsid w:val="00F35D4C"/>
    <w:rsid w:val="00F36167"/>
    <w:rsid w:val="00F36A99"/>
    <w:rsid w:val="00F41236"/>
    <w:rsid w:val="00F41F9B"/>
    <w:rsid w:val="00F43407"/>
    <w:rsid w:val="00F45329"/>
    <w:rsid w:val="00F463D8"/>
    <w:rsid w:val="00F468A4"/>
    <w:rsid w:val="00F51999"/>
    <w:rsid w:val="00F55DA6"/>
    <w:rsid w:val="00F61038"/>
    <w:rsid w:val="00F63180"/>
    <w:rsid w:val="00F6402A"/>
    <w:rsid w:val="00F64836"/>
    <w:rsid w:val="00F65111"/>
    <w:rsid w:val="00F656C9"/>
    <w:rsid w:val="00F706D2"/>
    <w:rsid w:val="00F77606"/>
    <w:rsid w:val="00F802A8"/>
    <w:rsid w:val="00F8173F"/>
    <w:rsid w:val="00F82595"/>
    <w:rsid w:val="00F85EF3"/>
    <w:rsid w:val="00F907A3"/>
    <w:rsid w:val="00F91177"/>
    <w:rsid w:val="00F91FF2"/>
    <w:rsid w:val="00F9331E"/>
    <w:rsid w:val="00F933D5"/>
    <w:rsid w:val="00F946AD"/>
    <w:rsid w:val="00F969AE"/>
    <w:rsid w:val="00FA31D3"/>
    <w:rsid w:val="00FA377A"/>
    <w:rsid w:val="00FA3EA8"/>
    <w:rsid w:val="00FA5DAD"/>
    <w:rsid w:val="00FB1685"/>
    <w:rsid w:val="00FB4264"/>
    <w:rsid w:val="00FB4707"/>
    <w:rsid w:val="00FB473F"/>
    <w:rsid w:val="00FB5FB2"/>
    <w:rsid w:val="00FB60A3"/>
    <w:rsid w:val="00FB6DE9"/>
    <w:rsid w:val="00FC3855"/>
    <w:rsid w:val="00FC4A2C"/>
    <w:rsid w:val="00FC563D"/>
    <w:rsid w:val="00FC783E"/>
    <w:rsid w:val="00FD0B02"/>
    <w:rsid w:val="00FD3388"/>
    <w:rsid w:val="00FD3910"/>
    <w:rsid w:val="00FD61B5"/>
    <w:rsid w:val="00FD7B13"/>
    <w:rsid w:val="00FE0A88"/>
    <w:rsid w:val="00FE13D8"/>
    <w:rsid w:val="00FE18C8"/>
    <w:rsid w:val="00FE1E64"/>
    <w:rsid w:val="00FE3033"/>
    <w:rsid w:val="00FE71FA"/>
    <w:rsid w:val="00FF4A02"/>
    <w:rsid w:val="00FF5659"/>
    <w:rsid w:val="00FF7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alibri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02C3F"/>
  </w:style>
  <w:style w:type="paragraph" w:styleId="1">
    <w:name w:val="heading 1"/>
    <w:aliases w:val="рисунки"/>
    <w:basedOn w:val="a0"/>
    <w:next w:val="a0"/>
    <w:link w:val="11"/>
    <w:uiPriority w:val="9"/>
    <w:qFormat/>
    <w:rsid w:val="00202C3F"/>
    <w:pPr>
      <w:keepNext/>
      <w:keepLines/>
      <w:spacing w:before="120" w:after="120"/>
      <w:jc w:val="center"/>
      <w:outlineLvl w:val="0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uiPriority w:val="9"/>
    <w:rsid w:val="00202C3F"/>
    <w:rPr>
      <w:rFonts w:ascii="Times New Roman" w:eastAsiaTheme="majorEastAsia" w:hAnsi="Times New Roman" w:cstheme="majorBidi"/>
      <w:bCs/>
      <w:color w:val="000000" w:themeColor="text1"/>
      <w:szCs w:val="28"/>
    </w:rPr>
  </w:style>
  <w:style w:type="character" w:customStyle="1" w:styleId="11">
    <w:name w:val="Заголовок 1 Знак1"/>
    <w:aliases w:val="рисунки Знак"/>
    <w:basedOn w:val="a1"/>
    <w:link w:val="1"/>
    <w:uiPriority w:val="9"/>
    <w:rsid w:val="00202C3F"/>
    <w:rPr>
      <w:rFonts w:ascii="Times New Roman" w:eastAsiaTheme="majorEastAsia" w:hAnsi="Times New Roman" w:cstheme="majorBidi"/>
      <w:bCs/>
      <w:color w:val="000000" w:themeColor="text1"/>
      <w:szCs w:val="28"/>
    </w:rPr>
  </w:style>
  <w:style w:type="paragraph" w:styleId="a4">
    <w:name w:val="No Spacing"/>
    <w:uiPriority w:val="1"/>
    <w:qFormat/>
    <w:rsid w:val="00202C3F"/>
    <w:pPr>
      <w:suppressAutoHyphens/>
      <w:spacing w:after="0" w:line="240" w:lineRule="auto"/>
    </w:pPr>
    <w:rPr>
      <w:rFonts w:ascii="Calibri" w:eastAsia="Droid Sans Fallback" w:hAnsi="Calibri"/>
    </w:rPr>
  </w:style>
  <w:style w:type="paragraph" w:styleId="a5">
    <w:name w:val="List Paragraph"/>
    <w:basedOn w:val="a0"/>
    <w:uiPriority w:val="34"/>
    <w:qFormat/>
    <w:rsid w:val="00202C3F"/>
    <w:pPr>
      <w:suppressAutoHyphens/>
      <w:ind w:left="720"/>
      <w:contextualSpacing/>
    </w:pPr>
    <w:rPr>
      <w:rFonts w:ascii="Calibri" w:eastAsia="Droid Sans Fallback" w:hAnsi="Calibri"/>
    </w:rPr>
  </w:style>
  <w:style w:type="paragraph" w:styleId="a6">
    <w:name w:val="TOC Heading"/>
    <w:basedOn w:val="1"/>
    <w:next w:val="a0"/>
    <w:uiPriority w:val="39"/>
    <w:unhideWhenUsed/>
    <w:qFormat/>
    <w:rsid w:val="00202C3F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110">
    <w:name w:val="Заголовок 11"/>
    <w:basedOn w:val="a0"/>
    <w:uiPriority w:val="9"/>
    <w:qFormat/>
    <w:rsid w:val="00202C3F"/>
    <w:pPr>
      <w:keepNext/>
      <w:keepLines/>
      <w:suppressAutoHyphens/>
      <w:spacing w:before="120" w:after="120"/>
      <w:jc w:val="center"/>
      <w:outlineLvl w:val="0"/>
    </w:pPr>
    <w:rPr>
      <w:rFonts w:eastAsia="Droid Sans Fallback"/>
    </w:rPr>
  </w:style>
  <w:style w:type="table" w:styleId="a7">
    <w:name w:val="Table Grid"/>
    <w:basedOn w:val="a2"/>
    <w:uiPriority w:val="39"/>
    <w:rsid w:val="000972EA"/>
    <w:pPr>
      <w:spacing w:after="0" w:line="240" w:lineRule="auto"/>
    </w:pPr>
    <w:rPr>
      <w:rFonts w:ascii="Calibri" w:eastAsia="Calibri" w:hAnsi="Calibri" w:cs="Times New Roman"/>
      <w:bCs/>
      <w:color w:val="auto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097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0972EA"/>
    <w:rPr>
      <w:rFonts w:ascii="Tahoma" w:hAnsi="Tahoma" w:cs="Tahoma"/>
      <w:sz w:val="16"/>
      <w:szCs w:val="16"/>
    </w:rPr>
  </w:style>
  <w:style w:type="paragraph" w:styleId="aa">
    <w:name w:val="caption"/>
    <w:aliases w:val="Подпись рисунка"/>
    <w:basedOn w:val="a0"/>
    <w:next w:val="a0"/>
    <w:qFormat/>
    <w:rsid w:val="000972EA"/>
    <w:pPr>
      <w:spacing w:line="240" w:lineRule="auto"/>
      <w:contextualSpacing/>
      <w:jc w:val="center"/>
    </w:pPr>
    <w:rPr>
      <w:rFonts w:eastAsia="Times New Roman" w:cs="Times New Roman"/>
      <w:bCs/>
      <w:color w:val="auto"/>
      <w:sz w:val="24"/>
      <w:szCs w:val="18"/>
      <w:lang w:eastAsia="ru-RU"/>
    </w:rPr>
  </w:style>
  <w:style w:type="paragraph" w:styleId="ab">
    <w:name w:val="Title"/>
    <w:aliases w:val="номер формулы"/>
    <w:basedOn w:val="a0"/>
    <w:next w:val="a0"/>
    <w:link w:val="ac"/>
    <w:uiPriority w:val="99"/>
    <w:qFormat/>
    <w:rsid w:val="000972EA"/>
    <w:pPr>
      <w:keepLines/>
      <w:framePr w:wrap="notBeside" w:vAnchor="text" w:hAnchor="text" w:y="1"/>
      <w:suppressAutoHyphens/>
      <w:spacing w:after="0" w:line="240" w:lineRule="auto"/>
      <w:contextualSpacing/>
      <w:jc w:val="center"/>
    </w:pPr>
    <w:rPr>
      <w:rFonts w:eastAsia="Calibri" w:cs="Times New Roman"/>
      <w:color w:val="auto"/>
      <w:spacing w:val="5"/>
      <w:kern w:val="28"/>
      <w:sz w:val="52"/>
      <w:szCs w:val="52"/>
      <w:lang w:eastAsia="ru-RU"/>
    </w:rPr>
  </w:style>
  <w:style w:type="character" w:customStyle="1" w:styleId="ac">
    <w:name w:val="Название Знак"/>
    <w:aliases w:val="номер формулы Знак"/>
    <w:basedOn w:val="a1"/>
    <w:link w:val="ab"/>
    <w:uiPriority w:val="99"/>
    <w:rsid w:val="000972EA"/>
    <w:rPr>
      <w:rFonts w:eastAsia="Calibri" w:cs="Times New Roman"/>
      <w:color w:val="auto"/>
      <w:spacing w:val="5"/>
      <w:kern w:val="28"/>
      <w:sz w:val="52"/>
      <w:szCs w:val="52"/>
      <w:lang w:eastAsia="ru-RU"/>
    </w:rPr>
  </w:style>
  <w:style w:type="paragraph" w:customStyle="1" w:styleId="ad">
    <w:name w:val="рисунок"/>
    <w:basedOn w:val="a4"/>
    <w:link w:val="ae"/>
    <w:qFormat/>
    <w:rsid w:val="000972EA"/>
    <w:pPr>
      <w:widowControl w:val="0"/>
      <w:suppressAutoHyphens w:val="0"/>
      <w:jc w:val="center"/>
    </w:pPr>
    <w:rPr>
      <w:rFonts w:ascii="Times New Roman" w:eastAsia="Times New Roman" w:hAnsi="Times New Roman" w:cs="Times New Roman"/>
      <w:i/>
      <w:color w:val="auto"/>
      <w:sz w:val="24"/>
      <w:szCs w:val="24"/>
      <w:lang w:eastAsia="ru-RU"/>
    </w:rPr>
  </w:style>
  <w:style w:type="character" w:customStyle="1" w:styleId="ae">
    <w:name w:val="рисунок Знак"/>
    <w:basedOn w:val="a1"/>
    <w:link w:val="ad"/>
    <w:rsid w:val="000972EA"/>
    <w:rPr>
      <w:rFonts w:eastAsia="Times New Roman" w:cs="Times New Roman"/>
      <w:i/>
      <w:color w:val="auto"/>
      <w:sz w:val="24"/>
      <w:szCs w:val="24"/>
      <w:lang w:eastAsia="ru-RU"/>
    </w:rPr>
  </w:style>
  <w:style w:type="paragraph" w:customStyle="1" w:styleId="af">
    <w:name w:val="Подраздел"/>
    <w:basedOn w:val="a0"/>
    <w:link w:val="af0"/>
    <w:qFormat/>
    <w:rsid w:val="000972EA"/>
    <w:pPr>
      <w:widowControl w:val="0"/>
      <w:autoSpaceDE w:val="0"/>
      <w:autoSpaceDN w:val="0"/>
      <w:adjustRightInd w:val="0"/>
      <w:spacing w:after="0" w:line="240" w:lineRule="auto"/>
      <w:contextualSpacing/>
      <w:jc w:val="center"/>
    </w:pPr>
    <w:rPr>
      <w:rFonts w:eastAsia="Times New Roman" w:cs="Times New Roman"/>
      <w:b/>
      <w:i/>
      <w:color w:val="auto"/>
      <w:lang w:eastAsia="ru-RU"/>
    </w:rPr>
  </w:style>
  <w:style w:type="paragraph" w:customStyle="1" w:styleId="2">
    <w:name w:val="Под 2 раздел"/>
    <w:next w:val="af"/>
    <w:link w:val="20"/>
    <w:qFormat/>
    <w:rsid w:val="000972EA"/>
    <w:pPr>
      <w:spacing w:after="0" w:line="240" w:lineRule="auto"/>
      <w:jc w:val="center"/>
    </w:pPr>
    <w:rPr>
      <w:rFonts w:eastAsia="Times New Roman" w:cs="Times New Roman"/>
      <w:i/>
      <w:color w:val="auto"/>
      <w:lang w:eastAsia="ru-RU"/>
    </w:rPr>
  </w:style>
  <w:style w:type="character" w:customStyle="1" w:styleId="af0">
    <w:name w:val="Подраздел Знак"/>
    <w:basedOn w:val="a1"/>
    <w:link w:val="af"/>
    <w:rsid w:val="000972EA"/>
    <w:rPr>
      <w:rFonts w:eastAsia="Times New Roman" w:cs="Times New Roman"/>
      <w:b/>
      <w:i/>
      <w:color w:val="auto"/>
      <w:lang w:eastAsia="ru-RU"/>
    </w:rPr>
  </w:style>
  <w:style w:type="character" w:customStyle="1" w:styleId="20">
    <w:name w:val="Под 2 раздел Знак"/>
    <w:basedOn w:val="a1"/>
    <w:link w:val="2"/>
    <w:rsid w:val="000972EA"/>
    <w:rPr>
      <w:rFonts w:eastAsia="Times New Roman" w:cs="Times New Roman"/>
      <w:i/>
      <w:color w:val="auto"/>
      <w:lang w:eastAsia="ru-RU"/>
    </w:rPr>
  </w:style>
  <w:style w:type="character" w:styleId="af1">
    <w:name w:val="annotation reference"/>
    <w:basedOn w:val="a1"/>
    <w:uiPriority w:val="99"/>
    <w:semiHidden/>
    <w:unhideWhenUsed/>
    <w:rsid w:val="000972EA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0972EA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0972EA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972EA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972EA"/>
    <w:rPr>
      <w:b/>
      <w:bCs/>
      <w:sz w:val="20"/>
      <w:szCs w:val="20"/>
    </w:rPr>
  </w:style>
  <w:style w:type="table" w:customStyle="1" w:styleId="6">
    <w:name w:val="Сетка таблицы6"/>
    <w:basedOn w:val="a2"/>
    <w:next w:val="a7"/>
    <w:uiPriority w:val="59"/>
    <w:rsid w:val="000972EA"/>
    <w:pPr>
      <w:spacing w:after="0" w:line="240" w:lineRule="auto"/>
    </w:pPr>
    <w:rPr>
      <w:rFonts w:ascii="Calibri" w:eastAsia="Calibri" w:hAnsi="Calibri" w:cs="Times New Roman"/>
      <w:color w:val="auto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footer"/>
    <w:basedOn w:val="a0"/>
    <w:link w:val="af7"/>
    <w:uiPriority w:val="99"/>
    <w:rsid w:val="002D4DBC"/>
    <w:pPr>
      <w:tabs>
        <w:tab w:val="center" w:pos="4677"/>
        <w:tab w:val="right" w:pos="9355"/>
      </w:tabs>
      <w:spacing w:after="0" w:line="240" w:lineRule="auto"/>
    </w:pPr>
    <w:rPr>
      <w:rFonts w:eastAsia="Calibri" w:cs="Times New Roman"/>
      <w:color w:val="auto"/>
      <w:lang w:eastAsia="ru-RU"/>
    </w:rPr>
  </w:style>
  <w:style w:type="character" w:customStyle="1" w:styleId="af7">
    <w:name w:val="Нижний колонтитул Знак"/>
    <w:basedOn w:val="a1"/>
    <w:link w:val="af6"/>
    <w:uiPriority w:val="99"/>
    <w:rsid w:val="002D4DBC"/>
    <w:rPr>
      <w:rFonts w:eastAsia="Calibri" w:cs="Times New Roman"/>
      <w:color w:val="auto"/>
      <w:lang w:eastAsia="ru-RU"/>
    </w:rPr>
  </w:style>
  <w:style w:type="paragraph" w:customStyle="1" w:styleId="a">
    <w:name w:val="Раздел"/>
    <w:basedOn w:val="a5"/>
    <w:link w:val="af8"/>
    <w:qFormat/>
    <w:rsid w:val="002D4DBC"/>
    <w:pPr>
      <w:widowControl w:val="0"/>
      <w:numPr>
        <w:numId w:val="4"/>
      </w:numPr>
      <w:suppressAutoHyphens w:val="0"/>
      <w:autoSpaceDE w:val="0"/>
      <w:autoSpaceDN w:val="0"/>
      <w:adjustRightInd w:val="0"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b/>
      <w:color w:val="auto"/>
      <w:lang w:eastAsia="ru-RU"/>
    </w:rPr>
  </w:style>
  <w:style w:type="character" w:customStyle="1" w:styleId="af8">
    <w:name w:val="Раздел Знак"/>
    <w:basedOn w:val="a1"/>
    <w:link w:val="a"/>
    <w:rsid w:val="002D4DBC"/>
    <w:rPr>
      <w:rFonts w:eastAsia="Times New Roman" w:cs="Times New Roman"/>
      <w:b/>
      <w:color w:val="auto"/>
      <w:lang w:eastAsia="ru-RU"/>
    </w:rPr>
  </w:style>
  <w:style w:type="paragraph" w:customStyle="1" w:styleId="af9">
    <w:name w:val="без абзаца"/>
    <w:basedOn w:val="a0"/>
    <w:link w:val="afa"/>
    <w:qFormat/>
    <w:rsid w:val="002D4DBC"/>
    <w:pPr>
      <w:spacing w:after="160" w:line="259" w:lineRule="auto"/>
      <w:contextualSpacing/>
      <w:jc w:val="both"/>
    </w:pPr>
    <w:rPr>
      <w:rFonts w:eastAsia="Calibri" w:cs="Times New Roman"/>
      <w:color w:val="auto"/>
      <w:szCs w:val="22"/>
    </w:rPr>
  </w:style>
  <w:style w:type="character" w:customStyle="1" w:styleId="afa">
    <w:name w:val="без абзаца Знак"/>
    <w:basedOn w:val="a1"/>
    <w:link w:val="af9"/>
    <w:rsid w:val="002D4DBC"/>
    <w:rPr>
      <w:rFonts w:eastAsia="Calibri" w:cs="Times New Roman"/>
      <w:color w:val="auto"/>
      <w:szCs w:val="22"/>
    </w:rPr>
  </w:style>
  <w:style w:type="character" w:styleId="afb">
    <w:name w:val="Placeholder Text"/>
    <w:basedOn w:val="a1"/>
    <w:uiPriority w:val="99"/>
    <w:semiHidden/>
    <w:rsid w:val="00E01BEB"/>
    <w:rPr>
      <w:color w:val="808080"/>
    </w:rPr>
  </w:style>
  <w:style w:type="paragraph" w:styleId="12">
    <w:name w:val="toc 1"/>
    <w:basedOn w:val="a0"/>
    <w:next w:val="a0"/>
    <w:autoRedefine/>
    <w:uiPriority w:val="39"/>
    <w:unhideWhenUsed/>
    <w:rsid w:val="004B3383"/>
    <w:pPr>
      <w:spacing w:after="100"/>
    </w:pPr>
  </w:style>
  <w:style w:type="character" w:styleId="afc">
    <w:name w:val="Hyperlink"/>
    <w:basedOn w:val="a1"/>
    <w:uiPriority w:val="99"/>
    <w:unhideWhenUsed/>
    <w:rsid w:val="004B33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CA6B1B-2CAC-41F0-B04B-2CE1CE32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Юркус Олег</dc:creator>
  <cp:lastModifiedBy>Пользователь</cp:lastModifiedBy>
  <cp:revision>6</cp:revision>
  <cp:lastPrinted>2016-10-06T09:34:00Z</cp:lastPrinted>
  <dcterms:created xsi:type="dcterms:W3CDTF">2016-10-05T22:39:00Z</dcterms:created>
  <dcterms:modified xsi:type="dcterms:W3CDTF">2016-10-06T09:34:00Z</dcterms:modified>
</cp:coreProperties>
</file>