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7C686">
      <w:pPr>
        <w:shd w:val="clear" w:color="auto" w:fill="1F4E79"/>
        <w:spacing w:after="0"/>
        <w:jc w:val="center"/>
      </w:pPr>
      <w:r>
        <w:rPr>
          <w:rFonts w:ascii="Segoe UI Semibold" w:hAnsi="Segoe UI Semibold" w:cs="Segoe UI Semibold"/>
          <w:b/>
          <w:i w:val="0"/>
          <w:color w:val="FFFFFF"/>
          <w:sz w:val="28"/>
        </w:rPr>
        <w:t>OPEN VALLEY</w:t>
      </w:r>
    </w:p>
    <w:p w14:paraId="04DD548C">
      <w:pPr>
        <w:shd w:val="clear" w:color="auto" w:fill="2E86AB"/>
        <w:spacing w:after="360"/>
        <w:jc w:val="center"/>
      </w:pPr>
      <w:r>
        <w:rPr>
          <w:rFonts w:ascii="Segoe UI" w:hAnsi="Segoe UI" w:cs="Segoe UI"/>
          <w:b w:val="0"/>
          <w:i w:val="0"/>
          <w:color w:val="FFFFFF"/>
          <w:sz w:val="20"/>
        </w:rPr>
        <w:t>HANDOVER · 04 of 04</w:t>
      </w:r>
    </w:p>
    <w:p w14:paraId="61F14B8E">
      <w:pPr>
        <w:spacing w:before="120" w:after="120"/>
        <w:jc w:val="center"/>
      </w:pPr>
      <w:r>
        <w:rPr>
          <w:rFonts w:ascii="Segoe UI" w:hAnsi="Segoe UI" w:cs="Segoe UI"/>
          <w:b/>
          <w:i w:val="0"/>
          <w:color w:val="1F4E79"/>
          <w:sz w:val="56"/>
        </w:rPr>
        <w:t>Third-Party Services &amp; Integrations</w:t>
      </w:r>
    </w:p>
    <w:p w14:paraId="77BD4B90">
      <w:pPr>
        <w:spacing w:after="480"/>
        <w:jc w:val="center"/>
      </w:pPr>
      <w:r>
        <w:rPr>
          <w:rFonts w:ascii="Segoe UI" w:hAnsi="Segoe UI" w:cs="Segoe UI"/>
          <w:b w:val="0"/>
          <w:i/>
          <w:color w:val="555555"/>
          <w:sz w:val="26"/>
        </w:rPr>
        <w:t>External services, APIs, and credentials used by the deployed application</w:t>
      </w:r>
    </w:p>
    <w:p w14:paraId="683525CE">
      <w:pPr>
        <w:pBdr>
          <w:left w:val="single" w:color="B58105" w:sz="24" w:space="8"/>
        </w:pBdr>
        <w:shd w:val="clear" w:color="auto" w:fill="FFF4CE"/>
        <w:spacing w:before="160" w:after="0"/>
        <w:jc w:val="center"/>
      </w:pPr>
      <w:r>
        <w:rPr>
          <w:rFonts w:ascii="Segoe UI Semibold" w:hAnsi="Segoe UI Semibold" w:cs="Segoe UI Semibold"/>
          <w:b/>
          <w:i w:val="0"/>
          <w:color w:val="B58105"/>
          <w:sz w:val="20"/>
        </w:rPr>
        <w:t>IMPORTANT</w:t>
      </w:r>
    </w:p>
    <w:p w14:paraId="044F0E1C">
      <w:pPr>
        <w:pBdr>
          <w:left w:val="single" w:color="B58105" w:sz="24" w:space="8"/>
        </w:pBdr>
        <w:shd w:val="clear" w:color="auto" w:fill="FFF4CE"/>
        <w:spacing w:before="0" w:after="160"/>
        <w:jc w:val="center"/>
      </w:pPr>
      <w:r>
        <w:rPr>
          <w:rFonts w:ascii="Calibri" w:hAnsi="Calibri" w:cs="Calibri"/>
          <w:b w:val="0"/>
          <w:i w:val="0"/>
          <w:color w:val="1A1A1A"/>
          <w:sz w:val="22"/>
        </w:rPr>
        <w:t>None. Open Valley is a UI/UX-only project. There are no API keys, no authentication providers, no analytics services, no payment processors, and no managed databases used by the deployed application. Therefore there is nothing to transfer during handover for this section: no accounts to migrate, no API tokens to rotate, no third-party billing to assume.</w:t>
      </w:r>
    </w:p>
    <w:p w14:paraId="4F292081">
      <w:pPr>
        <w:pBdr>
          <w:bottom w:val="single" w:color="2E86AB" w:sz="12" w:space="4"/>
        </w:pBdr>
        <w:spacing w:before="360" w:after="120"/>
        <w:jc w:val="left"/>
      </w:pPr>
      <w:r>
        <w:rPr>
          <w:rFonts w:ascii="Segoe UI" w:hAnsi="Segoe UI" w:cs="Segoe UI"/>
          <w:b/>
          <w:i w:val="0"/>
          <w:color w:val="1F4E79"/>
          <w:sz w:val="36"/>
        </w:rPr>
        <w:t>1. Verified absent</w:t>
      </w:r>
    </w:p>
    <w:tbl>
      <w:tblPr>
        <w:tblStyle w:val="12"/>
        <w:tblW w:w="0" w:type="auto"/>
        <w:tblInd w:w="0" w:type="dxa"/>
        <w:tblLayout w:type="fixed"/>
        <w:tblCellMar>
          <w:top w:w="0" w:type="dxa"/>
          <w:left w:w="108" w:type="dxa"/>
          <w:bottom w:w="0" w:type="dxa"/>
          <w:right w:w="108" w:type="dxa"/>
        </w:tblCellMar>
      </w:tblPr>
      <w:tblGrid>
        <w:gridCol w:w="3249"/>
        <w:gridCol w:w="3249"/>
        <w:gridCol w:w="3249"/>
      </w:tblGrid>
      <w:tr w14:paraId="26547F03">
        <w:tc>
          <w:tcPr>
            <w:tcW w:w="3118" w:type="dxa"/>
            <w:tcBorders>
              <w:top w:val="single" w:color="1F4E79" w:sz="4" w:space="0"/>
              <w:left w:val="single" w:color="1F4E79" w:sz="4" w:space="0"/>
              <w:bottom w:val="single" w:color="1F4E79" w:sz="4" w:space="0"/>
              <w:right w:val="single" w:color="1F4E79" w:sz="4" w:space="0"/>
            </w:tcBorders>
            <w:shd w:val="clear" w:color="auto" w:fill="1F4E79"/>
            <w:vAlign w:val="center"/>
          </w:tcPr>
          <w:p w14:paraId="3E605ACB">
            <w:pPr>
              <w:spacing w:before="40" w:after="40"/>
              <w:jc w:val="center"/>
            </w:pPr>
            <w:r>
              <w:rPr>
                <w:rFonts w:ascii="Segoe UI Semibold" w:hAnsi="Segoe UI Semibold" w:cs="Segoe UI Semibold"/>
                <w:b/>
                <w:i w:val="0"/>
                <w:color w:val="FFFFFF"/>
                <w:sz w:val="20"/>
              </w:rPr>
              <w:t>Category</w:t>
            </w:r>
          </w:p>
        </w:tc>
        <w:tc>
          <w:tcPr>
            <w:tcW w:w="1134" w:type="dxa"/>
            <w:tcBorders>
              <w:top w:val="single" w:color="1F4E79" w:sz="4" w:space="0"/>
              <w:left w:val="single" w:color="1F4E79" w:sz="4" w:space="0"/>
              <w:bottom w:val="single" w:color="1F4E79" w:sz="4" w:space="0"/>
              <w:right w:val="single" w:color="1F4E79" w:sz="4" w:space="0"/>
            </w:tcBorders>
            <w:shd w:val="clear" w:color="auto" w:fill="1F4E79"/>
            <w:vAlign w:val="center"/>
          </w:tcPr>
          <w:p w14:paraId="1ADEC45C">
            <w:pPr>
              <w:spacing w:before="40" w:after="40"/>
              <w:jc w:val="center"/>
            </w:pPr>
            <w:r>
              <w:rPr>
                <w:rFonts w:ascii="Segoe UI Semibold" w:hAnsi="Segoe UI Semibold" w:cs="Segoe UI Semibold"/>
                <w:b/>
                <w:i w:val="0"/>
                <w:color w:val="FFFFFF"/>
                <w:sz w:val="20"/>
              </w:rPr>
              <w:t>Used?</w:t>
            </w:r>
          </w:p>
        </w:tc>
        <w:tc>
          <w:tcPr>
            <w:tcW w:w="4819" w:type="dxa"/>
            <w:tcBorders>
              <w:top w:val="single" w:color="1F4E79" w:sz="4" w:space="0"/>
              <w:left w:val="single" w:color="1F4E79" w:sz="4" w:space="0"/>
              <w:bottom w:val="single" w:color="1F4E79" w:sz="4" w:space="0"/>
              <w:right w:val="single" w:color="1F4E79" w:sz="4" w:space="0"/>
            </w:tcBorders>
            <w:shd w:val="clear" w:color="auto" w:fill="1F4E79"/>
            <w:vAlign w:val="center"/>
          </w:tcPr>
          <w:p w14:paraId="4E3E521A">
            <w:pPr>
              <w:spacing w:before="40" w:after="40"/>
              <w:jc w:val="center"/>
            </w:pPr>
            <w:r>
              <w:rPr>
                <w:rFonts w:ascii="Segoe UI Semibold" w:hAnsi="Segoe UI Semibold" w:cs="Segoe UI Semibold"/>
                <w:b/>
                <w:i w:val="0"/>
                <w:color w:val="FFFFFF"/>
                <w:sz w:val="20"/>
              </w:rPr>
              <w:t>Notes</w:t>
            </w:r>
          </w:p>
        </w:tc>
      </w:tr>
      <w:tr w14:paraId="55F2046D">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30578C89">
            <w:pPr>
              <w:spacing w:before="20" w:after="20"/>
              <w:jc w:val="center"/>
            </w:pPr>
            <w:r>
              <w:rPr>
                <w:rFonts w:ascii="Calibri" w:hAnsi="Calibri" w:cs="Calibri"/>
                <w:b w:val="0"/>
                <w:i w:val="0"/>
                <w:color w:val="1A1A1A"/>
                <w:sz w:val="20"/>
              </w:rPr>
              <w:t>Authentication providers (Auth0, Clerk, Firebase Auth, Supabase Auth, etc.)</w:t>
            </w:r>
          </w:p>
        </w:tc>
        <w:tc>
          <w:tcPr>
            <w:tcW w:w="1134"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0C144857">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17CA9A40">
            <w:pPr>
              <w:spacing w:before="20" w:after="20"/>
              <w:jc w:val="center"/>
            </w:pPr>
            <w:r>
              <w:rPr>
                <w:rFonts w:ascii="Calibri" w:hAnsi="Calibri" w:cs="Calibri"/>
                <w:b w:val="0"/>
                <w:i w:val="0"/>
                <w:color w:val="1A1A1A"/>
                <w:sz w:val="20"/>
              </w:rPr>
              <w:t>Login screen uses local mock auth via client/contexts/AuthContext.tsx.</w:t>
            </w:r>
          </w:p>
        </w:tc>
      </w:tr>
      <w:tr w14:paraId="09C68D95">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vAlign w:val="center"/>
          </w:tcPr>
          <w:p w14:paraId="42A2BE81">
            <w:pPr>
              <w:spacing w:before="20" w:after="20"/>
              <w:jc w:val="center"/>
            </w:pPr>
            <w:r>
              <w:rPr>
                <w:rFonts w:ascii="Calibri" w:hAnsi="Calibri" w:cs="Calibri"/>
                <w:b w:val="0"/>
                <w:i w:val="0"/>
                <w:color w:val="1A1A1A"/>
                <w:sz w:val="20"/>
              </w:rPr>
              <w:t>Analytics (GA, Mixpanel, PostHog, Segment, etc.)</w:t>
            </w:r>
          </w:p>
        </w:tc>
        <w:tc>
          <w:tcPr>
            <w:tcW w:w="1134" w:type="dxa"/>
            <w:tcBorders>
              <w:top w:val="single" w:color="DDDDDD" w:sz="4" w:space="0"/>
              <w:left w:val="single" w:color="DDDDDD" w:sz="4" w:space="0"/>
              <w:bottom w:val="single" w:color="DDDDDD" w:sz="4" w:space="0"/>
              <w:right w:val="single" w:color="DDDDDD" w:sz="4" w:space="0"/>
            </w:tcBorders>
            <w:vAlign w:val="center"/>
          </w:tcPr>
          <w:p w14:paraId="47AAB8A1">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vAlign w:val="center"/>
          </w:tcPr>
          <w:p w14:paraId="4FBD139D">
            <w:pPr>
              <w:spacing w:before="20" w:after="20"/>
              <w:jc w:val="center"/>
            </w:pPr>
            <w:r>
              <w:rPr>
                <w:rFonts w:ascii="Calibri" w:hAnsi="Calibri" w:cs="Calibri"/>
                <w:b w:val="0"/>
                <w:i w:val="0"/>
                <w:color w:val="1A1A1A"/>
                <w:sz w:val="20"/>
              </w:rPr>
              <w:t>No tracking scripts; reserved env var only.</w:t>
            </w:r>
          </w:p>
        </w:tc>
      </w:tr>
      <w:tr w14:paraId="51F650C8">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6A6B9CD6">
            <w:pPr>
              <w:spacing w:before="20" w:after="20"/>
              <w:jc w:val="center"/>
            </w:pPr>
            <w:r>
              <w:rPr>
                <w:rFonts w:ascii="Calibri" w:hAnsi="Calibri" w:cs="Calibri"/>
                <w:b w:val="0"/>
                <w:i w:val="0"/>
                <w:color w:val="1A1A1A"/>
                <w:sz w:val="20"/>
              </w:rPr>
              <w:t>Error tracking (Sentry, Rollbar, etc.)</w:t>
            </w:r>
          </w:p>
        </w:tc>
        <w:tc>
          <w:tcPr>
            <w:tcW w:w="1134"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085E8D62">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54D7F59C">
            <w:pPr>
              <w:spacing w:before="20" w:after="20"/>
              <w:jc w:val="center"/>
            </w:pPr>
            <w:r>
              <w:rPr>
                <w:rFonts w:ascii="Calibri" w:hAnsi="Calibri" w:cs="Calibri"/>
                <w:b w:val="0"/>
                <w:i w:val="0"/>
                <w:color w:val="1A1A1A"/>
                <w:sz w:val="20"/>
              </w:rPr>
              <w:t>Not wired.</w:t>
            </w:r>
          </w:p>
        </w:tc>
      </w:tr>
      <w:tr w14:paraId="0154E402">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vAlign w:val="center"/>
          </w:tcPr>
          <w:p w14:paraId="1AD9D03B">
            <w:pPr>
              <w:spacing w:before="20" w:after="20"/>
              <w:jc w:val="center"/>
            </w:pPr>
            <w:r>
              <w:rPr>
                <w:rFonts w:ascii="Calibri" w:hAnsi="Calibri" w:cs="Calibri"/>
                <w:b w:val="0"/>
                <w:i w:val="0"/>
                <w:color w:val="1A1A1A"/>
                <w:sz w:val="20"/>
              </w:rPr>
              <w:t>Maps / tiles (Mapbox, Google Maps)</w:t>
            </w:r>
          </w:p>
        </w:tc>
        <w:tc>
          <w:tcPr>
            <w:tcW w:w="1134" w:type="dxa"/>
            <w:tcBorders>
              <w:top w:val="single" w:color="DDDDDD" w:sz="4" w:space="0"/>
              <w:left w:val="single" w:color="DDDDDD" w:sz="4" w:space="0"/>
              <w:bottom w:val="single" w:color="DDDDDD" w:sz="4" w:space="0"/>
              <w:right w:val="single" w:color="DDDDDD" w:sz="4" w:space="0"/>
            </w:tcBorders>
            <w:vAlign w:val="center"/>
          </w:tcPr>
          <w:p w14:paraId="212B8A60">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vAlign w:val="center"/>
          </w:tcPr>
          <w:p w14:paraId="6AE94C23">
            <w:pPr>
              <w:spacing w:before="20" w:after="20"/>
              <w:jc w:val="center"/>
            </w:pPr>
            <w:r>
              <w:rPr>
                <w:rFonts w:ascii="Calibri" w:hAnsi="Calibri" w:cs="Calibri"/>
                <w:b w:val="0"/>
                <w:i w:val="0"/>
                <w:color w:val="1A1A1A"/>
                <w:sz w:val="20"/>
              </w:rPr>
              <w:t>Uses leaflet + react-leaflet with default OpenStreetMap tiles only.</w:t>
            </w:r>
          </w:p>
        </w:tc>
      </w:tr>
      <w:tr w14:paraId="1B28089B">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0609258D">
            <w:pPr>
              <w:spacing w:before="20" w:after="20"/>
              <w:jc w:val="center"/>
            </w:pPr>
            <w:r>
              <w:rPr>
                <w:rFonts w:ascii="Calibri" w:hAnsi="Calibri" w:cs="Calibri"/>
                <w:b w:val="0"/>
                <w:i w:val="0"/>
                <w:color w:val="1A1A1A"/>
                <w:sz w:val="20"/>
              </w:rPr>
              <w:t>External REST/GraphQL APIs</w:t>
            </w:r>
          </w:p>
        </w:tc>
        <w:tc>
          <w:tcPr>
            <w:tcW w:w="1134"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502FEE2B">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0B91AC67">
            <w:pPr>
              <w:spacing w:before="20" w:after="20"/>
              <w:jc w:val="center"/>
            </w:pPr>
            <w:r>
              <w:rPr>
                <w:rFonts w:ascii="Calibri" w:hAnsi="Calibri" w:cs="Calibri"/>
                <w:b w:val="0"/>
                <w:i w:val="0"/>
                <w:color w:val="1A1A1A"/>
                <w:sz w:val="20"/>
              </w:rPr>
              <w:t>All data rendered in the app is mock data bundled into the client.</w:t>
            </w:r>
          </w:p>
        </w:tc>
      </w:tr>
      <w:tr w14:paraId="63C3B446">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vAlign w:val="center"/>
          </w:tcPr>
          <w:p w14:paraId="23108BAF">
            <w:pPr>
              <w:spacing w:before="20" w:after="20"/>
              <w:jc w:val="center"/>
            </w:pPr>
            <w:r>
              <w:rPr>
                <w:rFonts w:ascii="Calibri" w:hAnsi="Calibri" w:cs="Calibri"/>
                <w:b w:val="0"/>
                <w:i w:val="0"/>
                <w:color w:val="1A1A1A"/>
                <w:sz w:val="20"/>
              </w:rPr>
              <w:t>Payment / billing</w:t>
            </w:r>
          </w:p>
        </w:tc>
        <w:tc>
          <w:tcPr>
            <w:tcW w:w="1134" w:type="dxa"/>
            <w:tcBorders>
              <w:top w:val="single" w:color="DDDDDD" w:sz="4" w:space="0"/>
              <w:left w:val="single" w:color="DDDDDD" w:sz="4" w:space="0"/>
              <w:bottom w:val="single" w:color="DDDDDD" w:sz="4" w:space="0"/>
              <w:right w:val="single" w:color="DDDDDD" w:sz="4" w:space="0"/>
            </w:tcBorders>
            <w:vAlign w:val="center"/>
          </w:tcPr>
          <w:p w14:paraId="787AF4D4">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vAlign w:val="center"/>
          </w:tcPr>
          <w:p w14:paraId="249E432D">
            <w:pPr>
              <w:spacing w:before="20" w:after="20"/>
              <w:jc w:val="center"/>
            </w:pPr>
            <w:r>
              <w:rPr>
                <w:rFonts w:ascii="Calibri" w:hAnsi="Calibri" w:cs="Calibri"/>
                <w:b w:val="0"/>
                <w:i w:val="0"/>
                <w:color w:val="1A1A1A"/>
                <w:sz w:val="20"/>
              </w:rPr>
              <w:t>Not applicable.</w:t>
            </w:r>
          </w:p>
        </w:tc>
      </w:tr>
      <w:tr w14:paraId="43F6988B">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44DD29E4">
            <w:pPr>
              <w:spacing w:before="20" w:after="20"/>
              <w:jc w:val="center"/>
            </w:pPr>
            <w:r>
              <w:rPr>
                <w:rFonts w:ascii="Calibri" w:hAnsi="Calibri" w:cs="Calibri"/>
                <w:b w:val="0"/>
                <w:i w:val="0"/>
                <w:color w:val="1A1A1A"/>
                <w:sz w:val="20"/>
              </w:rPr>
              <w:t>Email / SMS / push services</w:t>
            </w:r>
          </w:p>
        </w:tc>
        <w:tc>
          <w:tcPr>
            <w:tcW w:w="1134"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41BCE62C">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1CE30894">
            <w:pPr>
              <w:spacing w:before="20" w:after="20"/>
              <w:jc w:val="center"/>
            </w:pPr>
            <w:r>
              <w:rPr>
                <w:rFonts w:ascii="Calibri" w:hAnsi="Calibri" w:cs="Calibri"/>
                <w:b w:val="0"/>
                <w:i w:val="0"/>
                <w:color w:val="1A1A1A"/>
                <w:sz w:val="20"/>
              </w:rPr>
              <w:t>Not wired.</w:t>
            </w:r>
          </w:p>
        </w:tc>
      </w:tr>
      <w:tr w14:paraId="2750B2EC">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vAlign w:val="center"/>
          </w:tcPr>
          <w:p w14:paraId="70879E82">
            <w:pPr>
              <w:spacing w:before="20" w:after="20"/>
              <w:jc w:val="center"/>
            </w:pPr>
            <w:r>
              <w:rPr>
                <w:rFonts w:ascii="Calibri" w:hAnsi="Calibri" w:cs="Calibri"/>
                <w:b w:val="0"/>
                <w:i w:val="0"/>
                <w:color w:val="1A1A1A"/>
                <w:sz w:val="20"/>
              </w:rPr>
              <w:t>CDN / asset hosts</w:t>
            </w:r>
          </w:p>
        </w:tc>
        <w:tc>
          <w:tcPr>
            <w:tcW w:w="1134" w:type="dxa"/>
            <w:tcBorders>
              <w:top w:val="single" w:color="DDDDDD" w:sz="4" w:space="0"/>
              <w:left w:val="single" w:color="DDDDDD" w:sz="4" w:space="0"/>
              <w:bottom w:val="single" w:color="DDDDDD" w:sz="4" w:space="0"/>
              <w:right w:val="single" w:color="DDDDDD" w:sz="4" w:space="0"/>
            </w:tcBorders>
            <w:vAlign w:val="center"/>
          </w:tcPr>
          <w:p w14:paraId="1FFABDE0">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vAlign w:val="center"/>
          </w:tcPr>
          <w:p w14:paraId="179EC691">
            <w:pPr>
              <w:spacing w:before="20" w:after="20"/>
              <w:jc w:val="center"/>
            </w:pPr>
            <w:r>
              <w:rPr>
                <w:rFonts w:ascii="Calibri" w:hAnsi="Calibri" w:cs="Calibri"/>
                <w:b w:val="0"/>
                <w:i w:val="0"/>
                <w:color w:val="1A1A1A"/>
                <w:sz w:val="20"/>
              </w:rPr>
              <w:t>Static assets served by the deployment platform (Vercel / Netlify).</w:t>
            </w:r>
          </w:p>
        </w:tc>
      </w:tr>
      <w:tr w14:paraId="2B2F6725">
        <w:tblPrEx>
          <w:tblCellMar>
            <w:top w:w="0" w:type="dxa"/>
            <w:left w:w="108" w:type="dxa"/>
            <w:bottom w:w="0" w:type="dxa"/>
            <w:right w:w="108" w:type="dxa"/>
          </w:tblCellMar>
        </w:tblPrEx>
        <w:tc>
          <w:tcPr>
            <w:tcW w:w="3118"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0FFC3C0B">
            <w:pPr>
              <w:spacing w:before="20" w:after="20"/>
              <w:jc w:val="center"/>
            </w:pPr>
            <w:r>
              <w:rPr>
                <w:rFonts w:ascii="Calibri" w:hAnsi="Calibri" w:cs="Calibri"/>
                <w:b w:val="0"/>
                <w:i w:val="0"/>
                <w:color w:val="1A1A1A"/>
                <w:sz w:val="20"/>
              </w:rPr>
              <w:t>Database</w:t>
            </w:r>
          </w:p>
        </w:tc>
        <w:tc>
          <w:tcPr>
            <w:tcW w:w="1134"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0AD5C1CB">
            <w:pPr>
              <w:spacing w:before="20" w:after="20"/>
              <w:jc w:val="center"/>
            </w:pPr>
            <w:r>
              <w:rPr>
                <w:rFonts w:ascii="Calibri" w:hAnsi="Calibri" w:cs="Calibri"/>
                <w:b w:val="0"/>
                <w:i w:val="0"/>
                <w:color w:val="1A1A1A"/>
                <w:sz w:val="20"/>
              </w:rPr>
              <w:t>No</w:t>
            </w:r>
          </w:p>
        </w:tc>
        <w:tc>
          <w:tcPr>
            <w:tcW w:w="4819" w:type="dxa"/>
            <w:tcBorders>
              <w:top w:val="single" w:color="DDDDDD" w:sz="4" w:space="0"/>
              <w:left w:val="single" w:color="DDDDDD" w:sz="4" w:space="0"/>
              <w:bottom w:val="single" w:color="DDDDDD" w:sz="4" w:space="0"/>
              <w:right w:val="single" w:color="DDDDDD" w:sz="4" w:space="0"/>
            </w:tcBorders>
            <w:shd w:val="clear" w:color="auto" w:fill="F3F6FB"/>
            <w:vAlign w:val="center"/>
          </w:tcPr>
          <w:p w14:paraId="15B9F80F">
            <w:pPr>
              <w:spacing w:before="20" w:after="20"/>
              <w:jc w:val="center"/>
            </w:pPr>
            <w:r>
              <w:rPr>
                <w:rFonts w:ascii="Consolas" w:hAnsi="Consolas" w:cs="Consolas"/>
                <w:b w:val="0"/>
                <w:i w:val="0"/>
                <w:color w:val="1A1A1A"/>
                <w:sz w:val="20"/>
              </w:rPr>
              <w:t>better-sqlite3 is declared but unused at runtime; the deployed bundle is purely static.</w:t>
            </w:r>
          </w:p>
        </w:tc>
      </w:tr>
    </w:tbl>
    <w:p w14:paraId="6F976BA3">
      <w:pPr>
        <w:pBdr>
          <w:bottom w:val="single" w:color="2E86AB" w:sz="12" w:space="4"/>
        </w:pBdr>
        <w:spacing w:before="360" w:after="120"/>
        <w:jc w:val="left"/>
        <w:rPr>
          <w:rFonts w:ascii="Segoe UI" w:hAnsi="Segoe UI" w:cs="Segoe UI"/>
          <w:b/>
          <w:i w:val="0"/>
          <w:color w:val="1F4E79"/>
          <w:sz w:val="36"/>
        </w:rPr>
      </w:pPr>
    </w:p>
    <w:p w14:paraId="7B8C51C4">
      <w:pPr>
        <w:pBdr>
          <w:bottom w:val="single" w:color="2E86AB" w:sz="12" w:space="4"/>
        </w:pBdr>
        <w:spacing w:before="360" w:after="120"/>
        <w:jc w:val="left"/>
      </w:pPr>
      <w:r>
        <w:rPr>
          <w:rFonts w:ascii="Segoe UI" w:hAnsi="Segoe UI" w:cs="Segoe UI"/>
          <w:b/>
          <w:i w:val="0"/>
          <w:color w:val="1F4E79"/>
          <w:sz w:val="36"/>
        </w:rPr>
        <w:t>2. Network calls made by the deployed site</w:t>
      </w:r>
    </w:p>
    <w:p w14:paraId="28B6016C">
      <w:pPr>
        <w:spacing w:after="120"/>
        <w:jc w:val="left"/>
      </w:pPr>
      <w:r>
        <w:rPr>
          <w:rFonts w:ascii="Calibri" w:hAnsi="Calibri" w:cs="Calibri"/>
          <w:b w:val="0"/>
          <w:i w:val="0"/>
          <w:color w:val="1A1A1A"/>
          <w:sz w:val="22"/>
        </w:rPr>
        <w:t>The only network calls a user's browser will make on the deployed site are:</w:t>
      </w:r>
    </w:p>
    <w:p w14:paraId="5489D9E2">
      <w:pPr>
        <w:pStyle w:val="23"/>
        <w:jc w:val="left"/>
      </w:pPr>
      <w:r>
        <w:rPr>
          <w:rFonts w:ascii="Calibri" w:hAnsi="Calibri" w:cs="Calibri"/>
          <w:b w:val="0"/>
          <w:i w:val="0"/>
          <w:color w:val="1A1A1A"/>
          <w:sz w:val="22"/>
        </w:rPr>
        <w:t>Loading the static assets from the deployment domain (Vercel or Netlify CDN).</w:t>
      </w:r>
    </w:p>
    <w:p w14:paraId="65AF8973">
      <w:pPr>
        <w:pStyle w:val="23"/>
        <w:jc w:val="left"/>
      </w:pPr>
      <w:r>
        <w:rPr>
          <w:rFonts w:ascii="Calibri" w:hAnsi="Calibri" w:cs="Calibri"/>
          <w:b w:val="0"/>
          <w:i w:val="0"/>
          <w:color w:val="1A1A1A"/>
          <w:sz w:val="22"/>
        </w:rPr>
        <w:t>OpenStreetMap tile requests issued by leaflet when a map view is opened. These are free, unauthenticated, and require no API key.</w:t>
      </w:r>
    </w:p>
    <w:p w14:paraId="4F0D5D0C">
      <w:pPr>
        <w:pBdr>
          <w:left w:val="single" w:color="2E7D32" w:sz="24" w:space="8"/>
        </w:pBdr>
        <w:shd w:val="clear" w:color="auto" w:fill="EAF7EE"/>
        <w:spacing w:before="160" w:after="0"/>
        <w:jc w:val="center"/>
      </w:pPr>
      <w:r>
        <w:rPr>
          <w:rFonts w:ascii="Segoe UI Semibold" w:hAnsi="Segoe UI Semibold" w:cs="Segoe UI Semibold"/>
          <w:b/>
          <w:i w:val="0"/>
          <w:color w:val="2E7D32"/>
          <w:sz w:val="20"/>
        </w:rPr>
        <w:t>TIP</w:t>
      </w:r>
    </w:p>
    <w:p w14:paraId="5328B637">
      <w:pPr>
        <w:pBdr>
          <w:left w:val="single" w:color="2E7D32" w:sz="24" w:space="8"/>
        </w:pBdr>
        <w:shd w:val="clear" w:color="auto" w:fill="EAF7EE"/>
        <w:spacing w:before="0" w:after="160"/>
        <w:jc w:val="center"/>
      </w:pPr>
      <w:r>
        <w:rPr>
          <w:rFonts w:ascii="Calibri" w:hAnsi="Calibri" w:cs="Calibri"/>
          <w:b w:val="0"/>
          <w:i w:val="0"/>
          <w:color w:val="1A1A1A"/>
          <w:sz w:val="22"/>
        </w:rPr>
        <w:t>If the tile provider is ever swapped (e.g., Mapbox), an API key would then become required. Document any future provider in this section: provider name, what data is exchanged, where the credential lives (env var name + deployment platform secret), the owner of the account, and the rotation/transfer procedure.</w:t>
      </w:r>
    </w:p>
    <w:p w14:paraId="5F3135BF">
      <w:pPr>
        <w:pBdr>
          <w:bottom w:val="single" w:color="2E86AB" w:sz="12" w:space="4"/>
        </w:pBdr>
        <w:spacing w:before="360" w:after="120"/>
        <w:jc w:val="left"/>
      </w:pPr>
      <w:r>
        <w:rPr>
          <w:rFonts w:ascii="Segoe UI" w:hAnsi="Segoe UI" w:cs="Segoe UI"/>
          <w:b/>
          <w:i w:val="0"/>
          <w:color w:val="1F4E79"/>
          <w:sz w:val="36"/>
        </w:rPr>
        <w:t>3. Handover checklist</w:t>
      </w:r>
    </w:p>
    <w:p w14:paraId="2EB8614A">
      <w:pPr>
        <w:pStyle w:val="23"/>
        <w:jc w:val="left"/>
      </w:pPr>
      <w:r>
        <w:rPr>
          <w:rFonts w:ascii="Calibri" w:hAnsi="Calibri" w:cs="Calibri"/>
          <w:b w:val="0"/>
          <w:i w:val="0"/>
          <w:color w:val="1A1A1A"/>
          <w:sz w:val="22"/>
        </w:rPr>
        <w:t>No accounts to transfer (no auth/analytics/error tracking providers).</w:t>
      </w:r>
    </w:p>
    <w:p w14:paraId="3691879C">
      <w:pPr>
        <w:pStyle w:val="23"/>
        <w:jc w:val="left"/>
      </w:pPr>
      <w:r>
        <w:rPr>
          <w:rFonts w:ascii="Calibri" w:hAnsi="Calibri" w:cs="Calibri"/>
          <w:b w:val="0"/>
          <w:i w:val="0"/>
          <w:color w:val="1A1A1A"/>
          <w:sz w:val="22"/>
        </w:rPr>
        <w:t>No API keys to rotate.</w:t>
      </w:r>
    </w:p>
    <w:p w14:paraId="281F6354">
      <w:pPr>
        <w:pStyle w:val="23"/>
        <w:jc w:val="left"/>
      </w:pPr>
      <w:r>
        <w:rPr>
          <w:rFonts w:ascii="Calibri" w:hAnsi="Calibri" w:cs="Calibri"/>
          <w:b w:val="0"/>
          <w:i w:val="0"/>
          <w:color w:val="1A1A1A"/>
          <w:sz w:val="22"/>
        </w:rPr>
        <w:t>No third-party billing to assume.</w:t>
      </w:r>
    </w:p>
    <w:p w14:paraId="338AF9CE">
      <w:pPr>
        <w:pStyle w:val="23"/>
        <w:jc w:val="left"/>
      </w:pPr>
      <w:r>
        <w:rPr>
          <w:rFonts w:ascii="Calibri" w:hAnsi="Calibri" w:cs="Calibri"/>
          <w:b w:val="0"/>
          <w:i w:val="0"/>
          <w:color w:val="1A1A1A"/>
          <w:sz w:val="22"/>
        </w:rPr>
        <w:t>No webhook endpoints to update.</w:t>
      </w:r>
    </w:p>
    <w:p w14:paraId="3B542F27">
      <w:pPr>
        <w:pStyle w:val="23"/>
        <w:jc w:val="left"/>
      </w:pPr>
      <w:r>
        <w:rPr>
          <w:rFonts w:ascii="Calibri" w:hAnsi="Calibri" w:cs="Calibri"/>
          <w:b w:val="0"/>
          <w:i w:val="0"/>
          <w:color w:val="1A1A1A"/>
          <w:sz w:val="22"/>
        </w:rPr>
        <w:t>Source-code repository (GitHub) and the chosen deployment platform (Vercel or Netlify) are the only external accoun</w:t>
      </w:r>
      <w:bookmarkStart w:id="0" w:name="_GoBack"/>
      <w:bookmarkEnd w:id="0"/>
      <w:r>
        <w:rPr>
          <w:rFonts w:ascii="Calibri" w:hAnsi="Calibri" w:cs="Calibri"/>
          <w:b w:val="0"/>
          <w:i w:val="0"/>
          <w:color w:val="1A1A1A"/>
          <w:sz w:val="22"/>
        </w:rPr>
        <w:t>ts associated with this project.</w:t>
      </w:r>
    </w:p>
    <w:sectPr>
      <w:footerReference r:id="rId5" w:type="default"/>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Semibold">
    <w:panose1 w:val="020B0702040204020203"/>
    <w:charset w:val="00"/>
    <w:family w:val="auto"/>
    <w:pitch w:val="default"/>
    <w:sig w:usb0="E4002EFF" w:usb1="C000E47F"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8B014">
    <w:pPr>
      <w:pStyle w:val="18"/>
      <w:jc w:val="center"/>
    </w:pPr>
    <w:r>
      <w:rPr>
        <w:rFonts w:ascii="Segoe UI" w:hAnsi="Segoe UI" w:cs="Segoe UI"/>
        <w:b w:val="0"/>
        <w:i/>
        <w:color w:val="555555"/>
        <w:sz w:val="18"/>
      </w:rPr>
      <w:t>Open Valley · Third-Party Services &amp; Integrations · 04 of 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787C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352</Words>
  <Characters>1938</Characters>
  <Lines>0</Lines>
  <Paragraphs>0</Paragraphs>
  <TotalTime>0</TotalTime>
  <ScaleCrop>false</ScaleCrop>
  <LinksUpToDate>false</LinksUpToDate>
  <CharactersWithSpaces>2249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Mohammed Zamzamy</cp:lastModifiedBy>
  <dcterms:modified xsi:type="dcterms:W3CDTF">2026-05-10T06:29:11Z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eyJoZGlkIjoiODk3MmE1YmI1MDEzNmFiMTkxOTU5YjFhM2M2ZmE3MjgiLCJ1c2VySWQiOiIzNzI4NDM5MzMxODM1In0=</vt:lpwstr>
  </property>
  <property fmtid="{D5CDD505-2E9C-101B-9397-08002B2CF9AE}" pid="3" name="KSOProductBuildVer">
    <vt:lpwstr>1033-12.1.0.25242</vt:lpwstr>
  </property>
  <property fmtid="{D5CDD505-2E9C-101B-9397-08002B2CF9AE}" pid="4" name="ICV">
    <vt:lpwstr>CD9D41651212497B89FF666358811BB3_12</vt:lpwstr>
  </property>
</Properties>
</file>