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Times New Roman" w:cs="Times New Roman" w:eastAsia="Times New Roman" w:hAnsi="Times New Roman"/>
          <w:b/>
          <w:bCs/>
          <w:color w:val="595959"/>
          <w:sz w:val="24"/>
          <w:szCs w:val="24"/>
        </w:rPr>
        <w:t xml:space="preserve">DOCUMENT 25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color w:val="1F3864"/>
          <w:sz w:val="38"/>
          <w:szCs w:val="38"/>
        </w:rPr>
        <w:t xml:space="preserve">Validation Timing Guide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2E5496"/>
          <w:sz w:val="26"/>
          <w:szCs w:val="26"/>
        </w:rPr>
        <w:t xml:space="preserve">When to Validate, from the First Script to the Final Push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U.S. Retail Sector Health — Macro Indicators to Item-Level Movement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Audience: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the person building the project, working through documents 02 and 15 with document 21 open alongside.</w:t>
      </w:r>
    </w:p>
    <w:p>
      <w:pPr>
        <w:spacing w:after="16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1"/>
          <w:szCs w:val="21"/>
        </w:rPr>
        <w:t xml:space="preserve">Version 1.0 · September 2026 · Portfolio Project · Companion to documents 02, 15, 21 and 22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Contents</w:t>
      </w:r>
    </w:p>
    <w:p>
      <w:pPr>
        <w:spacing w:after="160"/>
      </w:pPr>
      <w:r>
        <w:rPr>
          <w:rFonts w:ascii="Times New Roman" w:cs="Times New Roman" w:eastAsia="Times New Roman" w:hAnsi="Times New Roman"/>
          <w:i/>
          <w:iCs/>
          <w:color w:val="595959"/>
          <w:sz w:val="19"/>
          <w:szCs w:val="19"/>
        </w:rPr>
        <w:t xml:space="preserve">In Word: right-click the table and choose 'Update Field' (or press Ctrl+A then F9) to populate page numbers.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1. Purpose and How to Use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Document 02 §9 defines what to check. Document 22 records the results. This document says when: at which point in the build each check first becomes possible, which checks must pass before the next phase starts, and which events after the build mean checking again.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One rule sits behind every gate: check a thing at the step that produced it. A wrong relationship caught at §7 of document 02 costs one fix. Caught after seventy-nine measures have been written on top of it, it costs seventy-nine re-checks — and nothing will have raised an error in between, because a wrong relationship returns plausible numbers, not failures.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3182"/>
        <w:gridCol w:w="2434"/>
        <w:gridCol w:w="2246"/>
      </w:tblGrid>
      <w:tr>
        <w:trPr>
          <w:tblHeader/>
        </w:trPr>
        <w:tc>
          <w:tcPr>
            <w:tcW w:type="dxa" w:w="1498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Kind</w:t>
            </w:r>
          </w:p>
        </w:tc>
        <w:tc>
          <w:tcPr>
            <w:tcW w:type="dxa" w:w="3182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What it is</w:t>
            </w:r>
          </w:p>
        </w:tc>
        <w:tc>
          <w:tcPr>
            <w:tcW w:type="dxa" w:w="2434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Defined in</w:t>
            </w:r>
          </w:p>
        </w:tc>
        <w:tc>
          <w:tcPr>
            <w:tcW w:type="dxa" w:w="2246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Recorded in</w:t>
            </w:r>
          </w:p>
        </w:tc>
      </w:tr>
      <w:tr>
        <w:trPr>
          <w:cantSplit/>
        </w:trP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Step check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verify line of one build step — a SQL script’s VERIFY block, a query’s row count, a folder’s closing check</w:t>
            </w:r>
          </w:p>
        </w:tc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step itself: the header of each sql/ script, document 02</w:t>
            </w:r>
          </w:p>
        </w:tc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Nothing formal. Anything unexpected goes in the Relevant Notes column of document 21</w:t>
            </w:r>
          </w:p>
        </w:tc>
      </w:tr>
      <w:tr>
        <w:trPr>
          <w:cantSplit/>
        </w:trP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named stopping point. The next phase does not start until the gate passes</w:t>
            </w:r>
          </w:p>
        </w:tc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This document, §3</w:t>
            </w:r>
          </w:p>
        </w:tc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matching phase rows in document 21, marked done</w:t>
            </w:r>
          </w:p>
        </w:tc>
      </w:tr>
      <w:tr>
        <w:trPr>
          <w:cantSplit/>
        </w:trP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Suite check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One of the seventeen checks in document 02 §9</w:t>
            </w:r>
          </w:p>
        </w:tc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Document 02 §9, expanded on the Check Catalog tab of document 22</w:t>
            </w:r>
          </w:p>
        </w:tc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Document 22, Check Results tab, against a Run ID</w:t>
            </w:r>
          </w:p>
        </w:tc>
      </w:tr>
    </w:tbl>
    <w:p>
      <w:pPr>
        <w:spacing w:after="200" w:before="40"/>
      </w:pPr>
      <w:r>
        <w:rPr>
          <w:rFonts w:ascii="Times New Roman" w:cs="Times New Roman" w:eastAsia="Times New Roman" w:hAnsi="Times New Roman"/>
          <w:i/>
          <w:iCs/>
          <w:color w:val="595959"/>
          <w:sz w:val="19"/>
          <w:szCs w:val="19"/>
        </w:rPr>
        <w:t xml:space="preserve">Table 1.1 — The three kinds of validation in this project.</w:t>
      </w:r>
    </w:p>
    <w:p>
      <w:pPr>
        <w:pStyle w:val="Heading2"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2E5496"/>
          <w:sz w:val="25"/>
          <w:szCs w:val="25"/>
        </w:rPr>
        <w:t xml:space="preserve">1.1 Two Passes, One Run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Twelve of the seventeen checks test data and measures, so they can run in the model file before it is published. The other five — checks 7, 8, 15, 16 and 17 — test report pages and how the report files bind to the model, so they cannot run until the reports exist. The suite therefore runs in two passes: the model pass at gate G5, before the model is published, and the report pass at gate G8, before each report is published.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3182"/>
        <w:gridCol w:w="2434"/>
        <w:gridCol w:w="2059"/>
      </w:tblGrid>
      <w:tr>
        <w:trPr>
          <w:tblHeader/>
        </w:trPr>
        <w:tc>
          <w:tcPr>
            <w:tcW w:type="dxa" w:w="1685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Pass</w:t>
            </w:r>
          </w:p>
        </w:tc>
        <w:tc>
          <w:tcPr>
            <w:tcW w:type="dxa" w:w="3182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Checks</w:t>
            </w:r>
          </w:p>
        </w:tc>
        <w:tc>
          <w:tcPr>
            <w:tcW w:type="dxa" w:w="2434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</w:t>
            </w:r>
          </w:p>
        </w:tc>
        <w:tc>
          <w:tcPr>
            <w:tcW w:type="dxa" w:w="2059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Must pass before</w:t>
            </w:r>
          </w:p>
        </w:tc>
      </w:tr>
      <w:tr>
        <w:trPr>
          <w:cantSplit/>
        </w:trPr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Model pass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1, 2, 3, 4, 5, 6, 9, 10, 11, 12, 13, 14</w:t>
            </w:r>
          </w:p>
        </w:tc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G5 — end of document 02 §8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Publishing the model (document 02 §10)</w:t>
            </w:r>
          </w:p>
        </w:tc>
      </w:tr>
      <w:tr>
        <w:trPr>
          <w:cantSplit/>
        </w:trPr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Report pass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7, 8, 15, 16, 17 — with 9 and 11 re-confirmed on their pages</w:t>
            </w:r>
          </w:p>
        </w:tc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G8 — end of each report in document 15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Publishing that report (document 15 §10)</w:t>
            </w:r>
          </w:p>
        </w:tc>
      </w:tr>
    </w:tbl>
    <w:p>
      <w:pPr>
        <w:spacing w:after="200" w:before="40"/>
      </w:pPr>
      <w:r>
        <w:rPr>
          <w:rFonts w:ascii="Times New Roman" w:cs="Times New Roman" w:eastAsia="Times New Roman" w:hAnsi="Times New Roman"/>
          <w:i/>
          <w:iCs/>
          <w:color w:val="595959"/>
          <w:sz w:val="19"/>
          <w:szCs w:val="19"/>
        </w:rPr>
        <w:t xml:space="preserve">Table 1.2 — The two passes.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Both passes are recorded against the same Run ID in document 22. Its Outcome column reads INCOMPLETE — 5 not recorded after the model pass, and PASS only once the report pass is in. That is intended: the run is not finished until the reports are.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split is the same one document 22 already draws in its Re-run after a fact-table reload column. The twelve model-pass checks are the ones new data can break; the five report-pass checks are the ones only a change to a report can break. That is why §4 re-runs the twelve after every reload and the five only when a report changes.</w:t>
      </w:r>
    </w:p>
    <w:p>
      <w:pPr>
        <w:pBdr>
          <w:left w:val="single" w:color="C0504D" w:sz="18" w:space="8"/>
        </w:pBdr>
        <w:shd w:fill="FBE9E7" w:color="auto" w:val="clear"/>
        <w:spacing w:after="180" w:before="140" w:line="276"/>
        <w:ind w:left="140" w:right="140"/>
      </w:pPr>
      <w:r>
        <w:rPr>
          <w:rFonts w:ascii="Times New Roman" w:cs="Times New Roman" w:eastAsia="Times New Roman" w:hAnsi="Times New Roman"/>
          <w:b/>
          <w:bCs/>
          <w:color w:val="963634"/>
          <w:sz w:val="21"/>
          <w:szCs w:val="21"/>
        </w:rPr>
        <w:t xml:space="preserve">Test measures without adding visuals to the model file. 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The model file carries one blank page and no visuals — document 02 §1.1. To evaluate a measure during gates G4 and G5, use DAX query view: select the DAX Query View icon on the left side of Power BI Desktop, paste a query, and run it. A DAX query returns a result grid and creates nothing in the model or the report, so the model file stays exactly as specified. The queries in §3.5 are paste-ready.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2. The Gates at a Glance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Ten gates, G0 to G9, in build order, then the events that call for validation after the build is finished. A number in a circle is one of the seventeen suite checks; teal checks run in the model file, navy checks need a report page.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586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40"/>
      </w:pPr>
      <w:r>
        <w:rPr>
          <w:rFonts w:ascii="Times New Roman" w:cs="Times New Roman" w:eastAsia="Times New Roman" w:hAnsi="Times New Roman"/>
          <w:i/>
          <w:iCs/>
          <w:color w:val="595959"/>
          <w:sz w:val="19"/>
          <w:szCs w:val="19"/>
        </w:rPr>
        <w:t xml:space="preserve">Figure 2.1 — Validation gates across the build, and the re-validation triggers after it. Each suite check is recorded in document 22 the first time it can be run.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same timeline in plain text, for the README and for anyone reading this on a device that does not render the figure:</w:t>
      </w:r>
    </w:p>
    <w:p>
      <w:pPr>
        <w:pBdr>
          <w:left w:val="single" w:color="A6A6A6" w:sz="12" w:space="6"/>
        </w:pBdr>
        <w:shd w:fill="F2F2F2" w:color="auto" w:val="clear"/>
        <w:spacing w:after="0" w:before="12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INITIAL BUILD                                          SUITE CHECKS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---------------------------------------------------------------------------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G0  Repository and environment  before any build step       -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G1  Warehouse                   after each SQL script        1  12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G2  Power Query sources         after each source query      2  5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G3  Model structure             before any measure           6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G4  Measures                    as each folder closes        3 4 11 9 10 13 14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G5  MODEL PASS                  before publishing the model  the twelve data checks: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    1-6 and 9-14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G6  Publish and bind            after publishing the model   17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G7  Report build                as each page is finished     7 8 15 16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G8  REPORT PASS                 before publishing a report   7 8 15 16 17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G9  Packaging                   before the final push        -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AFTER THE BUILD - re-validate when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a fact table reloads ........... sql/06 first if the county data moved,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then the twelve data checks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a measure is edited ............ its folder check, dependent folders,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any suite check naming it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a relationship or setting ...... Figure 7.1, check 6, all ten folder checks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RefMappings.xlsx is edited ..... check 5, then look for "Unmapped"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Census changes its categories .. doc 02 section 3.4 discovery, checks 5, 3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a report visual changes ........ checks 7 and 8 on that page,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15 or 16 if present, then 17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a theme .json is edited ........ doc 15 section 3.3 theme checks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before any push ................ search the repository for key= and .csv</w:t>
      </w:r>
    </w:p>
    <w:p>
      <w:pPr>
        <w:pBdr>
          <w:left w:val="single" w:color="A6A6A6" w:sz="12" w:space="6"/>
        </w:pBdr>
        <w:shd w:fill="F2F2F2" w:color="auto" w:val="clear"/>
        <w:spacing w:after="16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5"/>
        <w:gridCol w:w="842"/>
        <w:gridCol w:w="2059"/>
        <w:gridCol w:w="2059"/>
        <w:gridCol w:w="3744"/>
      </w:tblGrid>
      <w:tr>
        <w:trPr>
          <w:tblHeader/>
        </w:trPr>
        <w:tc>
          <w:tcPr>
            <w:tcW w:type="dxa" w:w="655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</w:t>
            </w:r>
          </w:p>
        </w:tc>
        <w:tc>
          <w:tcPr>
            <w:tcW w:type="dxa" w:w="842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 21 phase</w:t>
            </w:r>
          </w:p>
        </w:tc>
        <w:tc>
          <w:tcPr>
            <w:tcW w:type="dxa" w:w="2059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Run it</w:t>
            </w:r>
          </w:p>
        </w:tc>
        <w:tc>
          <w:tcPr>
            <w:tcW w:type="dxa" w:w="2059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Suite checks</w:t>
            </w:r>
          </w:p>
        </w:tc>
        <w:tc>
          <w:tcPr>
            <w:tcW w:type="dxa" w:w="3744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 not continue if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G0</w:t>
            </w:r>
          </w:p>
        </w:tc>
        <w:tc>
          <w:tcPr>
            <w:tcW w:type="dxa" w:w="8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 – 1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Before any build step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.gitignore was not in place before the first upload, or the clone is not at X:\retail-sector-health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G1</w:t>
            </w:r>
          </w:p>
        </w:tc>
        <w:tc>
          <w:tcPr>
            <w:tcW w:type="dxa" w:w="8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After each SQL script, 01 to 08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 after script 05; 12 after script 06</w:t>
            </w:r>
          </w:p>
        </w:tc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script’s VERIFY line fails, or staged and loaded rows differ without every dropped row explained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G2</w:t>
            </w:r>
          </w:p>
        </w:tc>
        <w:tc>
          <w:tcPr>
            <w:tcW w:type="dxa" w:w="8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After each source query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2, 5</w:t>
            </w:r>
          </w:p>
        </w:tc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coverage query returns any row, or key= appears in any query’s M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G3</w:t>
            </w:r>
          </w:p>
        </w:tc>
        <w:tc>
          <w:tcPr>
            <w:tcW w:type="dxa" w:w="8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After relationships and model configuration, before the first measure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Model view differs from document 02 Figure 7.1 by a single line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G4</w:t>
            </w:r>
          </w:p>
        </w:tc>
        <w:tc>
          <w:tcPr>
            <w:tcW w:type="dxa" w:w="8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As each measure folder closes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3, 4, 11, 9, 10, 13, 14, in the order their folders close</w:t>
            </w:r>
          </w:p>
        </w:tc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folder’s closing check fails — the next folder is built on it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G5</w:t>
            </w:r>
          </w:p>
        </w:tc>
        <w:tc>
          <w:tcPr>
            <w:tcW w:type="dxa" w:w="8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Before publishing the model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twelve data checks</w:t>
            </w:r>
          </w:p>
        </w:tc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Any Blocking check fails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G6</w:t>
            </w:r>
          </w:p>
        </w:tc>
        <w:tc>
          <w:tcPr>
            <w:tcW w:type="dxa" w:w="8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After publishing the model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17, as each report file is created</w:t>
            </w:r>
          </w:p>
        </w:tc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Any of the four sources fails to refresh in the Service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G7</w:t>
            </w:r>
          </w:p>
        </w:tc>
        <w:tc>
          <w:tcPr>
            <w:tcW w:type="dxa" w:w="8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As each report page is finished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7, 8, 15, 16 where the page carries them</w:t>
            </w:r>
          </w:p>
        </w:tc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theme was not verified before the first visual, or a case measure sits beside a nominal dollar measure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G8</w:t>
            </w:r>
          </w:p>
        </w:tc>
        <w:tc>
          <w:tcPr>
            <w:tcW w:type="dxa" w:w="8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Before publishing each report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7, 8, 15, 16, 17</w:t>
            </w:r>
          </w:p>
        </w:tc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Any Blocking check fails for that report’s pages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G9</w:t>
            </w:r>
          </w:p>
        </w:tc>
        <w:tc>
          <w:tcPr>
            <w:tcW w:type="dxa" w:w="8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Before the final push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repository search finds .csv, key= or the key’s first six characters</w:t>
            </w:r>
          </w:p>
        </w:tc>
      </w:tr>
    </w:tbl>
    <w:p>
      <w:pPr>
        <w:spacing w:after="200" w:before="40"/>
      </w:pPr>
      <w:r>
        <w:rPr>
          <w:rFonts w:ascii="Times New Roman" w:cs="Times New Roman" w:eastAsia="Times New Roman" w:hAnsi="Times New Roman"/>
          <w:i/>
          <w:iCs/>
          <w:color w:val="595959"/>
          <w:sz w:val="19"/>
          <w:szCs w:val="19"/>
        </w:rPr>
        <w:t xml:space="preserve">Table 2.1 — The ten gates. §3 details each one.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3. Gate by Gate</w:t>
      </w:r>
    </w:p>
    <w:p>
      <w:pPr>
        <w:pStyle w:val="Heading2"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2E5496"/>
          <w:sz w:val="25"/>
          <w:szCs w:val="25"/>
        </w:rPr>
        <w:t xml:space="preserve">3.1 G0 — Repository and Environment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before any build step. Document 00; document 21 Phases 0 and 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4306"/>
        <w:gridCol w:w="1872"/>
      </w:tblGrid>
      <w:tr>
        <w:trPr>
          <w:tblHeader/>
        </w:trPr>
        <w:tc>
          <w:tcPr>
            <w:tcW w:type="dxa" w:w="3182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Check</w:t>
            </w:r>
          </w:p>
        </w:tc>
        <w:tc>
          <w:tcPr>
            <w:tcW w:type="dxa" w:w="4306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Pass when</w:t>
            </w:r>
          </w:p>
        </w:tc>
        <w:tc>
          <w:tcPr>
            <w:tcW w:type="dxa" w:w="1872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Reference</w:t>
            </w:r>
          </w:p>
        </w:tc>
      </w:tr>
      <w:tr>
        <w:trPr>
          <w:cantSplit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.gitignore committed before the first file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repository’s first commit already contains .gitignore. A file it blocks was never tracked; one removed later stays in history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 00 §4.3</w:t>
            </w:r>
          </w:p>
        </w:tc>
      </w:tr>
      <w:tr>
        <w:trPr>
          <w:cantSplit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Clone in place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git status runs from X:\retail-sector-health and reports a clean working tree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 00 §5</w:t>
            </w:r>
          </w:p>
        </w:tc>
      </w:tr>
      <w:tr>
        <w:trPr>
          <w:cantSplit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Environment matches the verified build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SSMS 22 connects to BRUNO\MSSQLSERVER01; versions match document 02 Table 2.1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 02 §2.1</w:t>
            </w:r>
          </w:p>
        </w:tc>
      </w:tr>
    </w:tbl>
    <w:p>
      <w:pPr>
        <w:spacing w:after="200" w:before="40"/>
      </w:pPr>
      <w:r>
        <w:rPr>
          <w:rFonts w:ascii="Times New Roman" w:cs="Times New Roman" w:eastAsia="Times New Roman" w:hAnsi="Times New Roman"/>
          <w:i/>
          <w:iCs/>
          <w:color w:val="595959"/>
          <w:sz w:val="19"/>
          <w:szCs w:val="19"/>
        </w:rPr>
        <w:t xml:space="preserve">Table 3.1 — Gate G0.</w:t>
      </w:r>
    </w:p>
    <w:p>
      <w:pPr>
        <w:pStyle w:val="Heading2"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2E5496"/>
          <w:sz w:val="25"/>
          <w:szCs w:val="25"/>
        </w:rPr>
        <w:t xml:space="preserve">3.2 G1 — Warehouse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after each of the eight SQL scripts, before running the next. Document 02 §5; document 21 Phase 2. Every script carries its own VERIFY line in its header; this table collects them.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5803"/>
        <w:gridCol w:w="1123"/>
        <w:gridCol w:w="1498"/>
      </w:tblGrid>
      <w:tr>
        <w:trPr>
          <w:tblHeader/>
        </w:trPr>
        <w:tc>
          <w:tcPr>
            <w:tcW w:type="dxa" w:w="936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Script</w:t>
            </w:r>
          </w:p>
        </w:tc>
        <w:tc>
          <w:tcPr>
            <w:tcW w:type="dxa" w:w="5803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Pass when</w:t>
            </w:r>
          </w:p>
        </w:tc>
        <w:tc>
          <w:tcPr>
            <w:tcW w:type="dxa" w:w="1123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Suite</w:t>
            </w:r>
          </w:p>
        </w:tc>
        <w:tc>
          <w:tcPr>
            <w:tcW w:type="dxa" w:w="1498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Record</w:t>
            </w:r>
          </w:p>
        </w:tc>
      </w:tr>
      <w:tr>
        <w:trPr>
          <w:cantSplit/>
        </w:trP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01</w:t>
            </w:r>
          </w:p>
        </w:tc>
        <w:tc>
          <w:tcPr>
            <w:tcW w:type="dxa" w:w="5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SELECT name FROM sys.schemas WHERE name IN ('stg','dw') returns two rows</w:t>
            </w:r>
          </w:p>
        </w:tc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02</w:t>
            </w:r>
          </w:p>
        </w:tc>
        <w:tc>
          <w:tcPr>
            <w:tcW w:type="dxa" w:w="5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final SELECT returns approximately 330,080 rows</w:t>
            </w:r>
          </w:p>
        </w:tc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03</w:t>
            </w:r>
          </w:p>
        </w:tc>
        <w:tc>
          <w:tcPr>
            <w:tcW w:type="dxa" w:w="5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five result sets are read and noted. Nothing is created; the cleansing choices in 04 follow from these results</w:t>
            </w:r>
          </w:p>
        </w:tc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 21 notes</w:t>
            </w:r>
          </w:p>
        </w:tc>
      </w:tr>
      <w:tr>
        <w:trPr>
          <w:cantSplit/>
        </w:trP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04</w:t>
            </w:r>
          </w:p>
        </w:tc>
        <w:tc>
          <w:tcPr>
            <w:tcW w:type="dxa" w:w="5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Each dimension has rows and no duplicate business key</w:t>
            </w:r>
          </w:p>
        </w:tc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05</w:t>
            </w:r>
          </w:p>
        </w:tc>
        <w:tc>
          <w:tcPr>
            <w:tcW w:type="dxa" w:w="5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staged-versus-loaded reconciliation at the end of the script returns no unexplained gap</w:t>
            </w:r>
          </w:p>
        </w:tc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 22, Run 1</w:t>
            </w:r>
          </w:p>
        </w:tc>
      </w:tr>
      <w:tr>
        <w:trPr>
          <w:cantSplit/>
        </w:trP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06</w:t>
            </w:r>
          </w:p>
        </w:tc>
        <w:tc>
          <w:tcPr>
            <w:tcW w:type="dxa" w:w="5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No lifecycle column is NULL for an item with movement, and MAX(LastSeenDateKey) equals MAX(DateKey) in the fact</w:t>
            </w:r>
          </w:p>
        </w:tc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 22, Run 1</w:t>
            </w:r>
          </w:p>
        </w:tc>
      </w:tr>
      <w:tr>
        <w:trPr>
          <w:cantSplit/>
        </w:trP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07</w:t>
            </w:r>
          </w:p>
        </w:tc>
        <w:tc>
          <w:tcPr>
            <w:tcW w:type="dxa" w:w="5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sys.indexes shows the columnstore index on dw.FactItemMovement</w:t>
            </w:r>
          </w:p>
        </w:tc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08</w:t>
            </w:r>
          </w:p>
        </w:tc>
        <w:tc>
          <w:tcPr>
            <w:tcW w:type="dxa" w:w="5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SELECT TOP 10 * FROM dw.vw_ItemMovement returns rows with resolved dimension attributes</w:t>
            </w:r>
          </w:p>
        </w:tc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200" w:before="40"/>
      </w:pPr>
      <w:r>
        <w:rPr>
          <w:rFonts w:ascii="Times New Roman" w:cs="Times New Roman" w:eastAsia="Times New Roman" w:hAnsi="Times New Roman"/>
          <w:i/>
          <w:iCs/>
          <w:color w:val="595959"/>
          <w:sz w:val="19"/>
          <w:szCs w:val="19"/>
        </w:rPr>
        <w:t xml:space="preserve">Table 3.2 — Gate G1, one row per script.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Check 12, paste-ready for SSMS 22:</w:t>
      </w:r>
    </w:p>
    <w:p>
      <w:pPr>
        <w:pBdr>
          <w:left w:val="single" w:color="A6A6A6" w:sz="12" w:space="6"/>
        </w:pBdr>
        <w:shd w:fill="F2F2F2" w:color="auto" w:val="clear"/>
        <w:spacing w:after="0" w:before="12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SELECT  (SELECT MAX(LastSeenDateKey) FROM dw.DimItem)          AS LastSeenInDimItem,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    (SELECT MAX(DateKey)         FROM dw.FactItemMovement) AS LastMonthInFact;</w:t>
      </w:r>
    </w:p>
    <w:p>
      <w:pPr>
        <w:pBdr>
          <w:left w:val="single" w:color="A6A6A6" w:sz="12" w:space="6"/>
        </w:pBdr>
        <w:shd w:fill="F2F2F2" w:color="auto" w:val="clear"/>
        <w:spacing w:after="16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-- Pass: the two values are equal.</w:t>
      </w:r>
    </w:p>
    <w:p>
      <w:pPr>
        <w:pStyle w:val="Heading2"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2E5496"/>
          <w:sz w:val="25"/>
          <w:szCs w:val="25"/>
        </w:rPr>
        <w:t xml:space="preserve">3.3 G2 — Power Query Sources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after each source query is built, in the order of document 02 §7.1. Document 02 §3, §4 and §6; document 21 Phase 3.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4867"/>
        <w:gridCol w:w="936"/>
        <w:gridCol w:w="936"/>
      </w:tblGrid>
      <w:tr>
        <w:trPr>
          <w:tblHeader/>
        </w:trPr>
        <w:tc>
          <w:tcPr>
            <w:tcW w:type="dxa" w:w="2621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After</w:t>
            </w:r>
          </w:p>
        </w:tc>
        <w:tc>
          <w:tcPr>
            <w:tcW w:type="dxa" w:w="4867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Pass when</w:t>
            </w:r>
          </w:p>
        </w:tc>
        <w:tc>
          <w:tcPr>
            <w:tcW w:type="dxa" w:w="936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Suite</w:t>
            </w:r>
          </w:p>
        </w:tc>
        <w:tc>
          <w:tcPr>
            <w:tcW w:type="dxa" w:w="936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 02</w:t>
            </w:r>
          </w:p>
        </w:tc>
      </w:tr>
      <w:tr>
        <w:trPr>
          <w:cantSplit/>
        </w:trPr>
        <w:tc>
          <w:tcPr>
            <w:tcW w:type="dxa" w:w="2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discovery query, run once</w:t>
            </w:r>
          </w:p>
        </w:tc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category codes the API returns reconcile with Table 3.1; then its load is disabled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§3.4</w:t>
            </w:r>
          </w:p>
        </w:tc>
      </w:tr>
      <w:tr>
        <w:trPr>
          <w:cantSplit/>
        </w:trPr>
        <w:tc>
          <w:tcPr>
            <w:tcW w:type="dxa" w:w="2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FactSectorSales</w:t>
            </w:r>
          </w:p>
        </w:tc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One row per month for 44X72, from pStartPeriod through the latest month Census has published, with no gap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§3.5</w:t>
            </w:r>
          </w:p>
        </w:tc>
      </w:tr>
      <w:tr>
        <w:trPr>
          <w:cantSplit/>
        </w:trPr>
        <w:tc>
          <w:tcPr>
            <w:tcW w:type="dxa" w:w="2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FactMacro</w:t>
            </w:r>
          </w:p>
        </w:tc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Nine SeriesId values, each with a monthly value series. A blank series means a wrong ID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§4.3</w:t>
            </w:r>
          </w:p>
        </w:tc>
      </w:tr>
      <w:tr>
        <w:trPr>
          <w:cantSplit/>
        </w:trPr>
        <w:tc>
          <w:tcPr>
            <w:tcW w:type="dxa" w:w="2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DimCategory</w:t>
            </w:r>
          </w:p>
        </w:tc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referential coverage query returns zero rows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§6.5</w:t>
            </w:r>
          </w:p>
        </w:tc>
      </w:tr>
      <w:tr>
        <w:trPr>
          <w:cantSplit/>
        </w:trPr>
        <w:tc>
          <w:tcPr>
            <w:tcW w:type="dxa" w:w="2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DimItem merge</w:t>
            </w:r>
          </w:p>
        </w:tc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No blank BeverageClass; any unmatched item type shows as “Unmapped”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2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Every query</w:t>
            </w:r>
          </w:p>
        </w:tc>
        <w:tc>
          <w:tcPr>
            <w:tcW w:type="dxa" w:w="4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No key= literal in any M; pCensusKey and pRefMappingsPath are referenced only as parameters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§3.1, §6.1</w:t>
            </w:r>
          </w:p>
        </w:tc>
      </w:tr>
    </w:tbl>
    <w:p>
      <w:pPr>
        <w:spacing w:after="200" w:before="40"/>
      </w:pPr>
      <w:r>
        <w:rPr>
          <w:rFonts w:ascii="Times New Roman" w:cs="Times New Roman" w:eastAsia="Times New Roman" w:hAnsi="Times New Roman"/>
          <w:i/>
          <w:iCs/>
          <w:color w:val="595959"/>
          <w:sz w:val="19"/>
          <w:szCs w:val="19"/>
        </w:rPr>
        <w:t xml:space="preserve">Table 3.3 — Gate G2.</w:t>
      </w:r>
    </w:p>
    <w:p>
      <w:pPr>
        <w:pStyle w:val="Heading2"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2E5496"/>
          <w:sz w:val="25"/>
          <w:szCs w:val="25"/>
        </w:rPr>
        <w:t xml:space="preserve">3.4 G3 — Model Structure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after document 02 §7.2 and §7.3, and before the first measure. Document 21 Phase 4.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7"/>
        <w:gridCol w:w="4680"/>
        <w:gridCol w:w="1123"/>
      </w:tblGrid>
      <w:tr>
        <w:trPr>
          <w:tblHeader/>
        </w:trPr>
        <w:tc>
          <w:tcPr>
            <w:tcW w:type="dxa" w:w="3557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Check</w:t>
            </w:r>
          </w:p>
        </w:tc>
        <w:tc>
          <w:tcPr>
            <w:tcW w:type="dxa" w:w="468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Pass when</w:t>
            </w:r>
          </w:p>
        </w:tc>
        <w:tc>
          <w:tcPr>
            <w:tcW w:type="dxa" w:w="1123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Suite</w:t>
            </w:r>
          </w:p>
        </w:tc>
      </w:tr>
      <w:tr>
        <w:trPr>
          <w:cantSplit/>
        </w:trPr>
        <w:tc>
          <w:tcPr>
            <w:tcW w:type="dxa" w:w="35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Auto-detected relationships removed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Only the seven relationships of §7.2 exist — nothing Power BI created on load</w:t>
            </w:r>
          </w:p>
        </w:tc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5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Model view against Figure 7.1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Seven lines, every one one-to-many and single-direction, each landing on the columns Figure 7.1 shows</w:t>
            </w:r>
          </w:p>
        </w:tc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5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Date relationship integrity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No blank row in DimDate</w:t>
            </w:r>
          </w:p>
        </w:tc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5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Model configuration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DimDate marked as the date table; three sort-by columns set; keys hidden; numeric columns set to Do Not Summarize</w:t>
            </w:r>
          </w:p>
        </w:tc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200" w:before="40"/>
      </w:pPr>
      <w:r>
        <w:rPr>
          <w:rFonts w:ascii="Times New Roman" w:cs="Times New Roman" w:eastAsia="Times New Roman" w:hAnsi="Times New Roman"/>
          <w:i/>
          <w:iCs/>
          <w:color w:val="595959"/>
          <w:sz w:val="19"/>
          <w:szCs w:val="19"/>
        </w:rPr>
        <w:t xml:space="preserve">Table 3.4 — Gate G3.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Check 6 in DAX query view. VALUES includes the blank row Power BI adds for unmatched keys; DISTINCT does not, so any difference is that blank row:</w:t>
      </w:r>
    </w:p>
    <w:p>
      <w:pPr>
        <w:pBdr>
          <w:left w:val="single" w:color="A6A6A6" w:sz="12" w:space="6"/>
        </w:pBdr>
        <w:shd w:fill="F2F2F2" w:color="auto" w:val="clear"/>
        <w:spacing w:after="0" w:before="12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EVALUATE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ROW (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"Blank DimDate row", COUNTROWS ( VALUES ( DimDate[DateKey] ) )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- COUNTROWS ( DISTINCT ( DimDate[DateKey] ) )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pBdr>
          <w:left w:val="single" w:color="A6A6A6" w:sz="12" w:space="6"/>
        </w:pBdr>
        <w:shd w:fill="F2F2F2" w:color="auto" w:val="clear"/>
        <w:spacing w:after="16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-- Pass: 0.</w:t>
      </w:r>
    </w:p>
    <w:p>
      <w:pPr>
        <w:pStyle w:val="Heading2"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2E5496"/>
          <w:sz w:val="25"/>
          <w:szCs w:val="25"/>
        </w:rPr>
        <w:t xml:space="preserve">3.5 G4 — Measures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as each of the ten display folders is finished, in the order of document 02 Table 8.2. Document 21 Phase 5. A measure whose dependencies are missing returns blank rather than an error, so a folder that fails its closing check is fixed before the next folder starts.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1"/>
        <w:gridCol w:w="4961"/>
        <w:gridCol w:w="2808"/>
      </w:tblGrid>
      <w:tr>
        <w:trPr>
          <w:tblHeader/>
        </w:trPr>
        <w:tc>
          <w:tcPr>
            <w:tcW w:type="dxa" w:w="1591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Folder</w:t>
            </w:r>
          </w:p>
        </w:tc>
        <w:tc>
          <w:tcPr>
            <w:tcW w:type="dxa" w:w="4961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Close the folder when (doc 02 Table 8.2)</w:t>
            </w:r>
          </w:p>
        </w:tc>
        <w:tc>
          <w:tcPr>
            <w:tcW w:type="dxa" w:w="2808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Suite checks first runnable here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01 Macro</w:t>
            </w:r>
          </w:p>
        </w:tc>
        <w:tc>
          <w:tcPr>
            <w:tcW w:type="dxa" w:w="49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CPI Index for a known month matches the FRED series page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02 Sector</w:t>
            </w:r>
          </w:p>
        </w:tc>
        <w:tc>
          <w:tcPr>
            <w:tcW w:type="dxa" w:w="49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Sector Sales for code 452 matches FRED MRTSSM452USS within rounding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3, 4 — the closing check is check 4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03 Micro</w:t>
            </w:r>
          </w:p>
        </w:tc>
        <w:tc>
          <w:tcPr>
            <w:tcW w:type="dxa" w:w="49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Total Cases unfiltered reconciles to the fact-table sum in SQL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04 Cross-Tier</w:t>
            </w:r>
          </w:p>
        </w:tc>
        <w:tc>
          <w:tcPr>
            <w:tcW w:type="dxa" w:w="49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National Liquor Stores Real Sales moves with, not against, RRSFS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05 Channel</w:t>
            </w:r>
          </w:p>
        </w:tc>
        <w:tc>
          <w:tcPr>
            <w:tcW w:type="dxa" w:w="49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On-Premise Share 2019 Baseline returns a value under every R1 Page 3 slicer combination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9, 10 — the closing check is check 9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06 Elasticity</w:t>
            </w:r>
          </w:p>
        </w:tc>
        <w:tc>
          <w:tcPr>
            <w:tcW w:type="dxa" w:w="49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Observation Count is non-zero and plausible before any slope is trusted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07 Rotation</w:t>
            </w:r>
          </w:p>
        </w:tc>
        <w:tc>
          <w:tcPr>
            <w:tcW w:type="dxa" w:w="49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Rate Sensitivity Beta lands negative for 441, 442 and 444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08 Assortment</w:t>
            </w:r>
          </w:p>
        </w:tc>
        <w:tc>
          <w:tcPr>
            <w:tcW w:type="dxa" w:w="49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Cumulative Cases % reaches exactly 100% at the lowest-ranked item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13, 14 — the closing check is check 14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09 Supplier</w:t>
            </w:r>
          </w:p>
        </w:tc>
        <w:tc>
          <w:tcPr>
            <w:tcW w:type="dxa" w:w="49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Supplier HHI falls between 0 and 10,000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10 Seasonality</w:t>
            </w:r>
          </w:p>
        </w:tc>
        <w:tc>
          <w:tcPr>
            <w:tcW w:type="dxa" w:w="49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twelve Month Seasonal Factor values average to approximately 1.00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200" w:before="40"/>
      </w:pPr>
      <w:r>
        <w:rPr>
          <w:rFonts w:ascii="Times New Roman" w:cs="Times New Roman" w:eastAsia="Times New Roman" w:hAnsi="Times New Roman"/>
          <w:i/>
          <w:iCs/>
          <w:color w:val="595959"/>
          <w:sz w:val="19"/>
          <w:szCs w:val="19"/>
        </w:rPr>
        <w:t xml:space="preserve">Table 3.5 — Gate G4, one row per folder.</w:t>
      </w:r>
    </w:p>
    <w:p>
      <w:pPr>
        <w:pStyle w:val="Heading3"/>
        <w:spacing w:after="100" w:before="220"/>
      </w:pPr>
      <w:r>
        <w:rPr>
          <w:rFonts w:ascii="Times New Roman" w:cs="Times New Roman" w:eastAsia="Times New Roman" w:hAnsi="Times New Roman"/>
          <w:b/>
          <w:bCs/>
          <w:color w:val="404040"/>
          <w:sz w:val="23"/>
          <w:szCs w:val="23"/>
        </w:rPr>
        <w:t xml:space="preserve">Paste-ready queries for DAX query view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One query per closing check that has a clear numeric answer, plus the suite checks first runnable in this gate. Each states its pass condition in its last line.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01 Macro — CPI Index by month, newest first.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Compare one month against the CPIAUCSL page on fred.stlouisfed.org.</w:t>
      </w:r>
    </w:p>
    <w:p>
      <w:pPr>
        <w:pBdr>
          <w:left w:val="single" w:color="A6A6A6" w:sz="12" w:space="6"/>
        </w:pBdr>
        <w:shd w:fill="F2F2F2" w:color="auto" w:val="clear"/>
        <w:spacing w:after="0" w:before="12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EVALUATE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SUMMARIZECOLUMNS ( DimDate[DateKey], "CPI Index", [CPI Index] )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ORDER BY DimDate[DateKey] DESC</w:t>
      </w:r>
    </w:p>
    <w:p>
      <w:pPr>
        <w:pBdr>
          <w:left w:val="single" w:color="A6A6A6" w:sz="12" w:space="6"/>
        </w:pBdr>
        <w:shd w:fill="F2F2F2" w:color="auto" w:val="clear"/>
        <w:spacing w:after="16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-- Pass: the value for a chosen month matches FRED CPIAUCSL.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02 Sector — check 4.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Census code 452 beside FRED MRTSSM452USS for every month.</w:t>
      </w:r>
    </w:p>
    <w:p>
      <w:pPr>
        <w:pBdr>
          <w:left w:val="single" w:color="A6A6A6" w:sz="12" w:space="6"/>
        </w:pBdr>
        <w:shd w:fill="F2F2F2" w:color="auto" w:val="clear"/>
        <w:spacing w:after="0" w:before="12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EVALUATE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SUMMARIZECOLUMNS (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DimDate[DateKey],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"Census 452",        CALCULATE ( [Sector Sales], DimCategory[CategoryCode] = "452" ),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"FRED MRTSSM452USS", CALCULATE ( [Macro Value], DimIndicator[SeriesId] = "MRTSSM452USS" )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ORDER BY DimDate[DateKey]</w:t>
      </w:r>
    </w:p>
    <w:p>
      <w:pPr>
        <w:pBdr>
          <w:left w:val="single" w:color="A6A6A6" w:sz="12" w:space="6"/>
        </w:pBdr>
        <w:shd w:fill="F2F2F2" w:color="auto" w:val="clear"/>
        <w:spacing w:after="16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-- Pass: the two columns agree within rounding in every month.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02 Sector — check 3.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Every category against the headline for one month. Replace 20240101 with any loaded month (DateKey is YYYYMM01).</w:t>
      </w:r>
    </w:p>
    <w:p>
      <w:pPr>
        <w:pBdr>
          <w:left w:val="single" w:color="A6A6A6" w:sz="12" w:space="6"/>
        </w:pBdr>
        <w:shd w:fill="F2F2F2" w:color="auto" w:val="clear"/>
        <w:spacing w:after="0" w:before="12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EVALUATE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SUMMARIZECOLUMNS (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DimCategory[CategoryCode],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DimCategory[CategoryName],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TREATAS ( { 20240101 }, DimDate[DateKey] ),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"Sector Sales",                   [Sector Sales],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"Total Retail and Food Services", [Total Retail and Food Services]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pBdr>
          <w:left w:val="single" w:color="A6A6A6" w:sz="12" w:space="6"/>
        </w:pBdr>
        <w:shd w:fill="F2F2F2" w:color="auto" w:val="clear"/>
        <w:spacing w:after="16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-- Record the gap and its reason. Categories overlap, so exact equality is not expected.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03 Micro — closing check and check 11.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Run the SQL beside it in SSMS 22.</w:t>
      </w:r>
    </w:p>
    <w:p>
      <w:pPr>
        <w:pBdr>
          <w:left w:val="single" w:color="A6A6A6" w:sz="12" w:space="6"/>
        </w:pBdr>
        <w:shd w:fill="F2F2F2" w:color="auto" w:val="clear"/>
        <w:spacing w:after="0" w:before="12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EVALUATE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ROW ( "Total Cases", [Total Cases], "Return Rows", [Return Rows] )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-- Pass: Total Cases equals the SQL result below; Return Rows is non-zero.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-- SSMS 22:</w:t>
      </w:r>
    </w:p>
    <w:p>
      <w:pPr>
        <w:pBdr>
          <w:left w:val="single" w:color="A6A6A6" w:sz="12" w:space="6"/>
        </w:pBdr>
        <w:shd w:fill="F2F2F2" w:color="auto" w:val="clear"/>
        <w:spacing w:after="16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-- SELECT SUM(TotalMovement) AS TotalCases FROM dw.vw_ItemMovement;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05 Channel — check 9.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Lists every item-type combination whose 2019 baseline is blank. ADDCOLUMNS is used rather than SUMMARIZECOLUMNS on purpose: SUMMARIZECOLUMNS drops rows whose measures are all blank, which would hide exactly the rows this check is looking for.</w:t>
      </w:r>
    </w:p>
    <w:p>
      <w:pPr>
        <w:pBdr>
          <w:left w:val="single" w:color="A6A6A6" w:sz="12" w:space="6"/>
        </w:pBdr>
        <w:shd w:fill="F2F2F2" w:color="auto" w:val="clear"/>
        <w:spacing w:after="0" w:before="12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EVALUATE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FILTER (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ADDCOLUMNS (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    SUMMARIZE ( DimItem, DimItem[BeverageClass], DimItem[ItemType] ),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    "2019 baseline", [On-Premise Share 2019 Baseline]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),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ISBLANK ( [2019 baseline] )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pBdr>
          <w:left w:val="single" w:color="A6A6A6" w:sz="12" w:space="6"/>
        </w:pBdr>
        <w:shd w:fill="F2F2F2" w:color="auto" w:val="clear"/>
        <w:spacing w:after="16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-- Pass: no rows returned. Any row is a combination that will blank the card.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05 Channel — check 10.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national series beside the local on-premise share, 2019 to 2021.</w:t>
      </w:r>
    </w:p>
    <w:p>
      <w:pPr>
        <w:pBdr>
          <w:left w:val="single" w:color="A6A6A6" w:sz="12" w:space="6"/>
        </w:pBdr>
        <w:shd w:fill="F2F2F2" w:color="auto" w:val="clear"/>
        <w:spacing w:after="0" w:before="12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EVALUATE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SUMMARIZECOLUMNS (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DimDate[DateKey],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FILTER ( VALUES ( DimDate[Year] ), DimDate[Year] IN { 2019, 2020, 2021 } ),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"722 YoY %",        CALCULATE ( [Sector Sales YoY %], DimCategory[CategoryCode] = "722" ),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"4453 YoY %",       CALCULATE ( [Sector Sales YoY %], DimCategory[CategoryCode] = "4453" ),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"On-Premise Share", [On-Premise Share %]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ORDER BY DimDate[DateKey]</w:t>
      </w:r>
    </w:p>
    <w:p>
      <w:pPr>
        <w:pBdr>
          <w:left w:val="single" w:color="A6A6A6" w:sz="12" w:space="6"/>
        </w:pBdr>
        <w:shd w:fill="F2F2F2" w:color="auto" w:val="clear"/>
        <w:spacing w:after="16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-- Record the direction and the months, not a yes or no.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06 Elasticity — closing check.</w:t>
      </w:r>
    </w:p>
    <w:p>
      <w:pPr>
        <w:pBdr>
          <w:left w:val="single" w:color="A6A6A6" w:sz="12" w:space="6"/>
        </w:pBdr>
        <w:shd w:fill="F2F2F2" w:color="auto" w:val="clear"/>
        <w:spacing w:after="0" w:before="12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EVALUATE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ROW ( "Observation Count", [Observation Count] )</w:t>
      </w:r>
    </w:p>
    <w:p>
      <w:pPr>
        <w:pBdr>
          <w:left w:val="single" w:color="A6A6A6" w:sz="12" w:space="6"/>
        </w:pBdr>
        <w:shd w:fill="F2F2F2" w:color="auto" w:val="clear"/>
        <w:spacing w:after="16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-- Pass: non-zero, and close to the number of months with a prior-year value.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07 Rotation — closing check.</w:t>
      </w:r>
    </w:p>
    <w:p>
      <w:pPr>
        <w:pBdr>
          <w:left w:val="single" w:color="A6A6A6" w:sz="12" w:space="6"/>
        </w:pBdr>
        <w:shd w:fill="F2F2F2" w:color="auto" w:val="clear"/>
        <w:spacing w:after="0" w:before="12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EVALUATE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SUMMARIZECOLUMNS ( DimCategory[CategoryCode], "Rate Sensitivity Beta", [Rate Sensitivity Beta] )</w:t>
      </w:r>
    </w:p>
    <w:p>
      <w:pPr>
        <w:pBdr>
          <w:left w:val="single" w:color="A6A6A6" w:sz="12" w:space="6"/>
        </w:pBdr>
        <w:shd w:fill="F2F2F2" w:color="auto" w:val="clear"/>
        <w:spacing w:after="16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-- Pass: negative for 441, 442 and 444.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08 Assortment — check 13.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Tests directly the property check 13 protects: that no item is missing a cohort year.</w:t>
      </w:r>
    </w:p>
    <w:p>
      <w:pPr>
        <w:pBdr>
          <w:left w:val="single" w:color="A6A6A6" w:sz="12" w:space="6"/>
        </w:pBdr>
        <w:shd w:fill="F2F2F2" w:color="auto" w:val="clear"/>
        <w:spacing w:after="0" w:before="12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EVALUATE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ROW (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"Items with a cohort year",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    CALCULATE ( COUNTROWS ( DimItem ), NOT ISBLANK ( DimItem[CohortYear] ) ),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"All items",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    COUNTROWS ( DimItem )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pBdr>
          <w:left w:val="single" w:color="A6A6A6" w:sz="12" w:space="6"/>
        </w:pBdr>
        <w:shd w:fill="F2F2F2" w:color="auto" w:val="clear"/>
        <w:spacing w:after="16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-- Pass: the two values are equal.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08 Assortment — closing check and check 14.</w:t>
      </w:r>
    </w:p>
    <w:p>
      <w:pPr>
        <w:pBdr>
          <w:left w:val="single" w:color="A6A6A6" w:sz="12" w:space="6"/>
        </w:pBdr>
        <w:shd w:fill="F2F2F2" w:color="auto" w:val="clear"/>
        <w:spacing w:after="0" w:before="12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EVALUATE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TOPN (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1,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ADDCOLUMNS (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    VALUES ( DimItem[ItemDescription] ),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    "Rank",       [Item Rank by Volume],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    "Cumulative", [Cumulative Cases %]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),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[Rank], DESC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pBdr>
          <w:left w:val="single" w:color="A6A6A6" w:sz="12" w:space="6"/>
        </w:pBdr>
        <w:shd w:fill="F2F2F2" w:color="auto" w:val="clear"/>
        <w:spacing w:after="16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-- Pass: Cumulative is exactly 1 on the lowest-ranked row, or on every row tied for it.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09 Supplier and 10 Seasonality — closing checks.</w:t>
      </w:r>
    </w:p>
    <w:p>
      <w:pPr>
        <w:pBdr>
          <w:left w:val="single" w:color="A6A6A6" w:sz="12" w:space="6"/>
        </w:pBdr>
        <w:shd w:fill="F2F2F2" w:color="auto" w:val="clear"/>
        <w:spacing w:after="0" w:before="12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EVALUATE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ROW (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"Supplier HHI",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    [Supplier HHI],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"Average seasonal factor",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        AVERAGEX ( VALUES ( DimDate[MonthNumber] ), [Month Seasonal Factor] )</w:t>
      </w:r>
    </w:p>
    <w:p>
      <w:pPr>
        <w:pBdr>
          <w:left w:val="single" w:color="A6A6A6" w:sz="12" w:space="6"/>
        </w:pBdr>
        <w:shd w:fill="F2F2F2" w:color="auto" w:val="clear"/>
        <w:spacing w:after="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)</w:t>
      </w:r>
    </w:p>
    <w:p>
      <w:pPr>
        <w:pBdr>
          <w:left w:val="single" w:color="A6A6A6" w:sz="12" w:space="6"/>
        </w:pBdr>
        <w:shd w:fill="F2F2F2" w:color="auto" w:val="clear"/>
        <w:spacing w:after="160" w:before="0" w:line="240"/>
        <w:ind w:left="180"/>
      </w:pPr>
      <w:r>
        <w:rPr>
          <w:rFonts w:ascii="Consolas" w:cs="Consolas" w:eastAsia="Consolas" w:hAnsi="Consolas"/>
          <w:sz w:val="16"/>
          <w:szCs w:val="16"/>
        </w:rPr>
        <w:t xml:space="preserve">-- Pass: HHI between 0 and 10,000; average factor approximately 1.00.</w:t>
      </w:r>
    </w:p>
    <w:p>
      <w:pPr>
        <w:pBdr>
          <w:left w:val="single" w:color="C0504D" w:sz="18" w:space="8"/>
        </w:pBdr>
        <w:shd w:fill="FBE9E7" w:color="auto" w:val="clear"/>
        <w:spacing w:after="180" w:before="140" w:line="276"/>
        <w:ind w:left="140" w:right="140"/>
      </w:pPr>
      <w:r>
        <w:rPr>
          <w:rFonts w:ascii="Times New Roman" w:cs="Times New Roman" w:eastAsia="Times New Roman" w:hAnsi="Times New Roman"/>
          <w:b/>
          <w:bCs/>
          <w:color w:val="963634"/>
          <w:sz w:val="21"/>
          <w:szCs w:val="21"/>
        </w:rPr>
        <w:t xml:space="preserve">Folder 04 has no query here. 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Its closing check is a comparison of direction — National Liquor Stores Real Sales moving with RRSFS — which is read from the two series side by side, not from a single number. Run a SUMMARIZECOLUMNS by DimDate[DateKey] with both and read the turns.</w:t>
      </w:r>
    </w:p>
    <w:p>
      <w:pPr>
        <w:pStyle w:val="Heading2"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2E5496"/>
          <w:sz w:val="25"/>
          <w:szCs w:val="25"/>
        </w:rPr>
        <w:t xml:space="preserve">3.6 G5 — Model Pass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after the last folder closes and before publishing the model. Document 02 §9; document 21 Phase 6.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Open document 22. If Run 1 does not exist yet, add it on the Run Summary tab with Trigger set to Initial build.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Re-run all twelve data checks together on the finished model — 1, 2, 3, 4, 5, 6, 9, 10, 11, 12, 13, 14. Most were first run at G1 to G4. They are run again here because a later step can undo an earlier result: a re-run of script 06, an edited relationship, a measure changed while building a later folder.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Update each check’s row in Check Results with the final observed value and today’s date. Log any Fail on the Failure Log tab.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Read the Outcome on the Run Summary tab. The state that permits publishing the model is INCOMPLETE — 5 not recorded, with Blocking failures at zero. The five unrecorded checks are the report checks, which cannot run yet.</w:t>
      </w:r>
    </w:p>
    <w:p>
      <w:pPr>
        <w:pBdr>
          <w:left w:val="single" w:color="C0504D" w:sz="18" w:space="8"/>
        </w:pBdr>
        <w:shd w:fill="FBE9E7" w:color="auto" w:val="clear"/>
        <w:spacing w:after="180" w:before="140" w:line="276"/>
        <w:ind w:left="140" w:right="140"/>
      </w:pPr>
      <w:r>
        <w:rPr>
          <w:rFonts w:ascii="Times New Roman" w:cs="Times New Roman" w:eastAsia="Times New Roman" w:hAnsi="Times New Roman"/>
          <w:b/>
          <w:bCs/>
          <w:color w:val="963634"/>
          <w:sz w:val="21"/>
          <w:szCs w:val="21"/>
        </w:rPr>
        <w:t xml:space="preserve">Do not publish over a Blocking failure. 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 Blocking failure in the model pass carries into every report built on the model. Fix it, re-run the check, and close it on the Failure Log before document 02 §10.</w:t>
      </w:r>
    </w:p>
    <w:p>
      <w:pPr>
        <w:pStyle w:val="Heading2"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2E5496"/>
          <w:sz w:val="25"/>
          <w:szCs w:val="25"/>
        </w:rPr>
        <w:t xml:space="preserve">3.7 G6 — Publish and Bind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after document 02 §10, and again as each report file is created. Document 21 Phase 7.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680"/>
        <w:gridCol w:w="1310"/>
      </w:tblGrid>
      <w:tr>
        <w:trPr>
          <w:tblHeader/>
        </w:trPr>
        <w:tc>
          <w:tcPr>
            <w:tcW w:type="dxa" w:w="337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Check</w:t>
            </w:r>
          </w:p>
        </w:tc>
        <w:tc>
          <w:tcPr>
            <w:tcW w:type="dxa" w:w="468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Pass when</w:t>
            </w:r>
          </w:p>
        </w:tc>
        <w:tc>
          <w:tcPr>
            <w:tcW w:type="dxa" w:w="131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Suite</w:t>
            </w:r>
          </w:p>
        </w:tc>
      </w:tr>
      <w:tr>
        <w:trPr>
          <w:cantSplit/>
        </w:trP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First refresh in the Service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All four sources refresh: SQL Server and RefMappings.xlsx through the gateway, FRED and Census without it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Refresh schedule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Set on the semantic model — twice weekly is sufficient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Each report file as it is created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status bar shows the live connection and the Fields pane is read-only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</w:tr>
    </w:tbl>
    <w:p>
      <w:pPr>
        <w:spacing w:after="200" w:before="40"/>
      </w:pPr>
      <w:r>
        <w:rPr>
          <w:rFonts w:ascii="Times New Roman" w:cs="Times New Roman" w:eastAsia="Times New Roman" w:hAnsi="Times New Roman"/>
          <w:i/>
          <w:iCs/>
          <w:color w:val="595959"/>
          <w:sz w:val="19"/>
          <w:szCs w:val="19"/>
        </w:rPr>
        <w:t xml:space="preserve">Table 3.6 — Gate G6.</w:t>
      </w:r>
    </w:p>
    <w:p>
      <w:pPr>
        <w:pStyle w:val="Heading2"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2E5496"/>
          <w:sz w:val="25"/>
          <w:szCs w:val="25"/>
        </w:rPr>
        <w:t xml:space="preserve">3.8 G7 — Report Build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as each report page is finished, before starting the next page. Document 15; document 21 Phase 8.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Before the first visual in each report, apply that report’s theme and run the three theme checks in document 15 §3.3. A theme changes defaults; it does not overwrite settings already made by hand, so a theme applied late means re-formatting every visual built before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5522"/>
        <w:gridCol w:w="2808"/>
      </w:tblGrid>
      <w:tr>
        <w:trPr>
          <w:tblHeader/>
        </w:trPr>
        <w:tc>
          <w:tcPr>
            <w:tcW w:type="dxa" w:w="103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Page</w:t>
            </w:r>
          </w:p>
        </w:tc>
        <w:tc>
          <w:tcPr>
            <w:tcW w:type="dxa" w:w="5522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Visuals that bring a check into play (document 15 specs)</w:t>
            </w:r>
          </w:p>
        </w:tc>
        <w:tc>
          <w:tcPr>
            <w:tcW w:type="dxa" w:w="2808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Checks when the page is finished</w:t>
            </w:r>
          </w:p>
        </w:tc>
      </w:tr>
      <w:tr>
        <w:trPr>
          <w:cantSplit/>
        </w:trPr>
        <w:tc>
          <w:tcPr>
            <w:tcW w:type="dxa" w:w="1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 P1</w:t>
            </w:r>
          </w:p>
        </w:tc>
        <w:tc>
          <w:tcPr>
            <w:tcW w:type="dxa" w:w="55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1.6 dual axis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 P2</w:t>
            </w:r>
          </w:p>
        </w:tc>
        <w:tc>
          <w:tcPr>
            <w:tcW w:type="dxa" w:w="55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Dollar series only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R1 P3</w:t>
            </w:r>
          </w:p>
        </w:tc>
        <w:tc>
          <w:tcPr>
            <w:tcW w:type="dxa" w:w="55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Case measures 3.1, 3.5, 3.7, 3.9; the one permitted pairing 3.5; 2019 baselines 3.2, 3.10; Return Rows 3.8; national series 3.5, 3.12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8, 9, 10, 11</w:t>
            </w:r>
          </w:p>
        </w:tc>
      </w:tr>
      <w:tr>
        <w:trPr>
          <w:cantSplit/>
        </w:trPr>
        <w:tc>
          <w:tcPr>
            <w:tcW w:type="dxa" w:w="1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 P1</w:t>
            </w:r>
          </w:p>
        </w:tc>
        <w:tc>
          <w:tcPr>
            <w:tcW w:type="dxa" w:w="55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Dual axis 4.5; case measures 4.5, 4.7, 4.6a–d; slope and correlation 4.2, 4.3, with Observation Count 4.4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7, 8, 15</w:t>
            </w:r>
          </w:p>
        </w:tc>
      </w:tr>
      <w:tr>
        <w:trPr>
          <w:cantSplit/>
        </w:trPr>
        <w:tc>
          <w:tcPr>
            <w:tcW w:type="dxa" w:w="1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 P2</w:t>
            </w:r>
          </w:p>
        </w:tc>
        <w:tc>
          <w:tcPr>
            <w:tcW w:type="dxa" w:w="55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Dual axis 5.7; case measures 5.2, 5.8; 2019 baselines 5.3, 5.4, 5.6, 5.8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7, 8, 9</w:t>
            </w:r>
          </w:p>
        </w:tc>
      </w:tr>
      <w:tr>
        <w:trPr>
          <w:cantSplit/>
        </w:trPr>
        <w:tc>
          <w:tcPr>
            <w:tcW w:type="dxa" w:w="1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R2 P3</w:t>
            </w:r>
          </w:p>
        </w:tc>
        <w:tc>
          <w:tcPr>
            <w:tcW w:type="dxa" w:w="55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Slope visuals 6.8, 6.9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R3 P1</w:t>
            </w:r>
          </w:p>
        </w:tc>
        <w:tc>
          <w:tcPr>
            <w:tcW w:type="dxa" w:w="55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Dual axis 7.5, 7.7; case measures and Pareto 7.5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7, 8, 14</w:t>
            </w:r>
          </w:p>
        </w:tc>
      </w:tr>
      <w:tr>
        <w:trPr>
          <w:cantSplit/>
        </w:trPr>
        <w:tc>
          <w:tcPr>
            <w:tcW w:type="dxa" w:w="1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R3 P2</w:t>
            </w:r>
          </w:p>
        </w:tc>
        <w:tc>
          <w:tcPr>
            <w:tcW w:type="dxa" w:w="55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Survival visuals 8.3, 8.4, 8.6 to 8.8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1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R3 P3</w:t>
            </w:r>
          </w:p>
        </w:tc>
        <w:tc>
          <w:tcPr>
            <w:tcW w:type="dxa" w:w="55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Dual axis 9.6; case measures 9.7, 9.8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7, 8</w:t>
            </w:r>
          </w:p>
        </w:tc>
      </w:tr>
      <w:tr>
        <w:trPr>
          <w:cantSplit/>
        </w:trPr>
        <w:tc>
          <w:tcPr>
            <w:tcW w:type="dxa" w:w="1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R3 P4</w:t>
            </w:r>
          </w:p>
        </w:tc>
        <w:tc>
          <w:tcPr>
            <w:tcW w:type="dxa" w:w="55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Case measure 10.5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</w:tr>
    </w:tbl>
    <w:p>
      <w:pPr>
        <w:spacing w:after="200" w:before="40"/>
      </w:pPr>
      <w:r>
        <w:rPr>
          <w:rFonts w:ascii="Times New Roman" w:cs="Times New Roman" w:eastAsia="Times New Roman" w:hAnsi="Times New Roman"/>
          <w:i/>
          <w:iCs/>
          <w:color w:val="595959"/>
          <w:sz w:val="19"/>
          <w:szCs w:val="19"/>
        </w:rPr>
        <w:t xml:space="preserve">Table 3.7 — Gate G7, one row per report page. Derived from the document 15 specification tables.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Checks 9, 10, 11 and 14 were first run in the model at G4. On the page they are re-confirmed as the reader sees them: the baseline card holds a value under each slicer combination, the narrative on R1 Page 3 matches what check 10 found, the Return Rows card carries its explanation, and the Pareto line reaches the right-hand edge.</w:t>
      </w:r>
    </w:p>
    <w:p>
      <w:pPr>
        <w:pStyle w:val="Heading2"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2E5496"/>
          <w:sz w:val="25"/>
          <w:szCs w:val="25"/>
        </w:rPr>
        <w:t xml:space="preserve">3.9 G8 — Report Pass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after the last page of a report, before publishing that report. Document 15 §10; document 21 Phase 8.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In document 22, Run 1: record checks 7, 8, 15 and 16 for this report’s pages, and 17 for this report. The Observed value column names the pages and reports covered so far.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R1, update checks 9 and 11 with what R1 Page 3 shows.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Publish the report only when none of its checks has a Blocking failure. Follow document 15 §10.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After the third report, all seventeen rows carry a result and the Run Summary Outcome reads PASS. Run 1 is closed.</w:t>
      </w:r>
    </w:p>
    <w:p>
      <w:pPr>
        <w:pBdr>
          <w:left w:val="single" w:color="C0504D" w:sz="18" w:space="8"/>
        </w:pBdr>
        <w:shd w:fill="FBE9E7" w:color="auto" w:val="clear"/>
        <w:spacing w:after="180" w:before="140" w:line="276"/>
        <w:ind w:left="140" w:right="140"/>
      </w:pPr>
      <w:r>
        <w:rPr>
          <w:rFonts w:ascii="Times New Roman" w:cs="Times New Roman" w:eastAsia="Times New Roman" w:hAnsi="Times New Roman"/>
          <w:b/>
          <w:bCs/>
          <w:color w:val="963634"/>
          <w:sz w:val="21"/>
          <w:szCs w:val="21"/>
        </w:rPr>
        <w:t xml:space="preserve">Check 8 is the one to run last and slowly. 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It is the single error that would discredit the project: a case measure beside a nominal dollar measure. Walk every visual, every tooltip and every text box on every page that carries a case measure — Table 3.7 lists them.</w:t>
      </w:r>
    </w:p>
    <w:p>
      <w:pPr>
        <w:pStyle w:val="Heading2"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2E5496"/>
          <w:sz w:val="25"/>
          <w:szCs w:val="25"/>
        </w:rPr>
        <w:t xml:space="preserve">3.10 G9 — Packaging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before the final push to GitHub. Document 00 §14; document 21 Phase 9.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Run the document 00 §14 verification checklist end to end.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Search the repository for .csv, key= and the first six characters of the Census key. Zero hits is the pass.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Confirm the three report PBIP folders contain a report definition and no TMDL — the file-level evidence that the reports are thin.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4. After the Build — When to Validate Again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Validation does not end at Run 1. Each event below starts a new run in document 22; the last column is the Trigger value to choose on its Run Summary tab.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3182"/>
        <w:gridCol w:w="2434"/>
        <w:gridCol w:w="1685"/>
      </w:tblGrid>
      <w:tr>
        <w:trPr>
          <w:tblHeader/>
        </w:trPr>
        <w:tc>
          <w:tcPr>
            <w:tcW w:type="dxa" w:w="2059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</w:t>
            </w:r>
          </w:p>
        </w:tc>
        <w:tc>
          <w:tcPr>
            <w:tcW w:type="dxa" w:w="3182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Re-run</w:t>
            </w:r>
          </w:p>
        </w:tc>
        <w:tc>
          <w:tcPr>
            <w:tcW w:type="dxa" w:w="2434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Why</w:t>
            </w:r>
          </w:p>
        </w:tc>
        <w:tc>
          <w:tcPr>
            <w:tcW w:type="dxa" w:w="1685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 22 Trigger</w:t>
            </w:r>
          </w:p>
        </w:tc>
      </w:tr>
      <w:tr>
        <w:trPr>
          <w:cantSplit/>
        </w:trP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fact table reloads with new data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Script 06 first if the county data moved. Then the twelve data checks</w:t>
            </w:r>
          </w:p>
        </w:tc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Document 21 Phase 6 makes this a standing rule. Script 06’s lifecycle columns go stale silently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Post fact-table reload</w:t>
            </w:r>
          </w:p>
        </w:tc>
      </w:tr>
      <w:tr>
        <w:trPr>
          <w:cantSplit/>
        </w:trP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measure is edited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That folder’s closing check; every folder whose Depends on column names the measure (document 02 §8); any suite check that names it. Then republish</w:t>
            </w:r>
          </w:p>
        </w:tc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measure with a broken dependency returns blank, not an error — downstream folders fail quietly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Post measure change</w:t>
            </w:r>
          </w:p>
        </w:tc>
      </w:tr>
      <w:tr>
        <w:trPr>
          <w:cantSplit/>
        </w:trP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relationship or model setting changes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Compare against Figure 7.1; check 6; all ten folder closing checks; then the model pass</w:t>
            </w:r>
          </w:p>
        </w:tc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relationship defect produces plausible wrong numbers in every measure that crosses it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Ad hoc — name the change in Notes</w:t>
            </w:r>
          </w:p>
        </w:tc>
      </w:tr>
      <w:tr>
        <w:trPr>
          <w:cantSplit/>
        </w:trP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RefMappings.xlsx is edited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Check 5; look for “Unmapped” in the item-type and category slicers; check 3 if IsAggregate changed</w:t>
            </w:r>
          </w:p>
        </w:tc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missing mapping appears as a blank slicer entry, not an error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Ad hoc</w:t>
            </w:r>
          </w:p>
        </w:tc>
      </w:tr>
      <w:tr>
        <w:trPr>
          <w:cantSplit/>
        </w:trP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Census changes its category set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document 02 §3.4 discovery query; update Table 3.1 and RefMappings.xlsx; checks 5 and 3</w:t>
            </w:r>
          </w:p>
        </w:tc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NAICS vintage change can alter what a code means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Ad hoc</w:t>
            </w:r>
          </w:p>
        </w:tc>
      </w:tr>
      <w:tr>
        <w:trPr>
          <w:cantSplit/>
        </w:trP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report visual is added or changed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Checks 7 and 8 on that page; any of 9, 11, 14, 15, 16 the page carries (Table 3.7); 17 for the report</w:t>
            </w:r>
          </w:p>
        </w:tc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Only a report change can break the five report checks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Post report change</w:t>
            </w:r>
          </w:p>
        </w:tc>
      </w:tr>
      <w:tr>
        <w:trPr>
          <w:cantSplit/>
        </w:trP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theme .json is edited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Re-apply the theme, then the three theme checks in document 15 §3.3</w:t>
            </w:r>
          </w:p>
        </w:tc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theme edit applies only when re-applied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Not recorded in doc 22</w:t>
            </w:r>
          </w:p>
        </w:tc>
      </w:tr>
      <w:tr>
        <w:trPr>
          <w:cantSplit/>
        </w:trP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model is republished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First refresh succeeds in the Service; check 17 on each report</w:t>
            </w:r>
          </w:p>
        </w:tc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republish can reset credentials or break a binding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Pre-publication</w:t>
            </w:r>
          </w:p>
        </w:tc>
      </w:tr>
      <w:tr>
        <w:trPr>
          <w:cantSplit/>
        </w:trP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Before any push to GitHub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Search for key= and .csv</w:t>
            </w:r>
          </w:p>
        </w:tc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committed key stays in history even after the file is removed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Not recorded in doc 22</w:t>
            </w:r>
          </w:p>
        </w:tc>
      </w:tr>
    </w:tbl>
    <w:p>
      <w:pPr>
        <w:spacing w:after="200" w:before="40"/>
      </w:pPr>
      <w:r>
        <w:rPr>
          <w:rFonts w:ascii="Times New Roman" w:cs="Times New Roman" w:eastAsia="Times New Roman" w:hAnsi="Times New Roman"/>
          <w:i/>
          <w:iCs/>
          <w:color w:val="595959"/>
          <w:sz w:val="19"/>
          <w:szCs w:val="19"/>
        </w:rPr>
        <w:t xml:space="preserve">Table 4.1 — Re-validation triggers.</w:t>
      </w:r>
    </w:p>
    <w:p>
      <w:pPr>
        <w:pBdr>
          <w:left w:val="single" w:color="C0504D" w:sz="18" w:space="8"/>
        </w:pBdr>
        <w:shd w:fill="FBE9E7" w:color="auto" w:val="clear"/>
        <w:spacing w:after="180" w:before="140" w:line="276"/>
        <w:ind w:left="140" w:right="140"/>
      </w:pPr>
      <w:r>
        <w:rPr>
          <w:rFonts w:ascii="Times New Roman" w:cs="Times New Roman" w:eastAsia="Times New Roman" w:hAnsi="Times New Roman"/>
          <w:b/>
          <w:bCs/>
          <w:color w:val="963634"/>
          <w:sz w:val="21"/>
          <w:szCs w:val="21"/>
        </w:rPr>
        <w:t xml:space="preserve">How often to re-run after a scheduled refresh. 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Every scheduled refresh reloads all three fact tables, and the model refreshes twice a week. Refreshes that bring no new source data cannot change a check’s result, so the practical cadence is once a month: after the first refresh that picks up the new MARTS advance estimate and the new month of county data.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5. Recording What You Ran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Where</w:t>
            </w:r>
          </w:p>
        </w:tc>
        <w:tc>
          <w:tcPr>
            <w:tcW w:type="dxa" w:w="6739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What goes in it</w:t>
            </w:r>
          </w:p>
        </w:tc>
      </w:tr>
      <w:tr>
        <w:trPr>
          <w:cantSplit/>
        </w:trPr>
        <w:tc>
          <w:tcPr>
            <w:tcW w:type="dxa" w:w="2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Document 22 — Run Summary</w:t>
            </w:r>
          </w:p>
        </w:tc>
        <w:tc>
          <w:tcPr>
            <w:tcW w:type="dxa" w:w="67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One row per run. Run 1 is the initial build and spans gates G1 to G8: it reads INCOMPLETE until the report pass at G8, then PASS. Every later run is one row, with its Trigger from Table 4.1</w:t>
            </w:r>
          </w:p>
        </w:tc>
      </w:tr>
      <w:tr>
        <w:trPr>
          <w:cantSplit/>
        </w:trPr>
        <w:tc>
          <w:tcPr>
            <w:tcW w:type="dxa" w:w="2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Document 22 — Check Results</w:t>
            </w:r>
          </w:p>
        </w:tc>
        <w:tc>
          <w:tcPr>
            <w:tcW w:type="dxa" w:w="67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check’s first result goes in at the gate where it first runs. At G5 and G8 the same row is updated with the final observed value and date</w:t>
            </w:r>
          </w:p>
        </w:tc>
      </w:tr>
      <w:tr>
        <w:trPr>
          <w:cantSplit/>
        </w:trPr>
        <w:tc>
          <w:tcPr>
            <w:tcW w:type="dxa" w:w="2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Document 22 — Failure Log</w:t>
            </w:r>
          </w:p>
        </w:tc>
        <w:tc>
          <w:tcPr>
            <w:tcW w:type="dxa" w:w="67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Every Fail, at any gate, stays open until a later run re-verifies it</w:t>
            </w:r>
          </w:p>
        </w:tc>
      </w:tr>
      <w:tr>
        <w:trPr>
          <w:cantSplit/>
        </w:trPr>
        <w:tc>
          <w:tcPr>
            <w:tcW w:type="dxa" w:w="2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Document 21 — phase rows</w:t>
            </w:r>
          </w:p>
        </w:tc>
        <w:tc>
          <w:tcPr>
            <w:tcW w:type="dxa" w:w="67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Marked done when the phase’s gate passes. Step-check surprises go in its Relevant Notes column</w:t>
            </w:r>
          </w:p>
        </w:tc>
      </w:tr>
    </w:tbl>
    <w:p>
      <w:pPr>
        <w:spacing w:after="200" w:before="40"/>
      </w:pPr>
      <w:r>
        <w:rPr>
          <w:rFonts w:ascii="Times New Roman" w:cs="Times New Roman" w:eastAsia="Times New Roman" w:hAnsi="Times New Roman"/>
          <w:i/>
          <w:iCs/>
          <w:color w:val="595959"/>
          <w:sz w:val="19"/>
          <w:szCs w:val="19"/>
        </w:rPr>
        <w:t xml:space="preserve">Table 5.1 — Where each result is recorded.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6. References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Verified against the live pages in September 2026.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Work with DAX query view (§1.1, §3.4, §3.5) — </w:t>
      </w:r>
      <w:hyperlink w:history="1" r:id="rIdbgd0orlhrqz1o3wllibu6">
        <w:r>
          <w:rPr>
            <w:rFonts w:ascii="Times New Roman" w:cs="Times New Roman" w:eastAsia="Times New Roman" w:hAnsi="Times New Roman"/>
            <w:color w:val="0563C1"/>
            <w:sz w:val="21"/>
            <w:szCs w:val="21"/>
            <w:u w:val="single"/>
          </w:rPr>
          <w:t xml:space="preserve">https://learn.microsoft.com/en-us/power-bi/transform-model/dax-query-view</w:t>
        </w:r>
      </w:hyperlink>
    </w:p>
    <w:p>
      <w:pPr>
        <w:spacing w:after="8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DAX overview — </w:t>
      </w:r>
      <w:hyperlink w:history="1" r:id="rIdskwkfbdc9yujfkgdi7mtk">
        <w:r>
          <w:rPr>
            <w:rFonts w:ascii="Times New Roman" w:cs="Times New Roman" w:eastAsia="Times New Roman" w:hAnsi="Times New Roman"/>
            <w:color w:val="0563C1"/>
            <w:sz w:val="21"/>
            <w:szCs w:val="21"/>
            <w:u w:val="single"/>
          </w:rPr>
          <w:t xml:space="preserve">https://learn.microsoft.com/en-us/dax/dax-overview</w:t>
        </w:r>
      </w:hyperlink>
    </w:p>
    <w:p>
      <w:pPr>
        <w:spacing w:after="8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On-premises data gateway (§3.7) — </w:t>
      </w:r>
      <w:hyperlink w:history="1" r:id="rIdfde1ey7adv-5bfud66vbl">
        <w:r>
          <w:rPr>
            <w:rFonts w:ascii="Times New Roman" w:cs="Times New Roman" w:eastAsia="Times New Roman" w:hAnsi="Times New Roman"/>
            <w:color w:val="0563C1"/>
            <w:sz w:val="21"/>
            <w:szCs w:val="21"/>
            <w:u w:val="single"/>
          </w:rPr>
          <w:t xml:space="preserve">https://learn.microsoft.com/en-us/power-bi/connect-data/service-gateway-onprem</w:t>
        </w:r>
      </w:hyperlink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Within the document set: document 02 §5 to §10 for the build steps and the seventeen checks; document 15 §3.3 and §10 for the theme checks and report publishing; document 21 for the phase rows; document 22 for recording.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7. AI Assistance Disclosure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Portions of this document were drafted with the assistance of a generative AI system. The author defined the project scope and reviewed all content prior to publication.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Every step check, closing check and suite check in this guide was taken from the document sources — the sql/ script headers, document 02 Table 8.2 and §9, document 15 §3.3 and §10, and document 22 — rather than written anew. The page-to-check mapping in Table 3.7 was derived from the document 15 specification tables. The DAX queries use only measures and columns defined in documents 02 and 20; the DAX query view behaviour they rely on was checked against Microsoft Learn.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rFonts w:ascii="Times New Roman" w:cs="Times New Roman" w:eastAsia="Times New Roman" w:hAnsi="Times New Roman"/>
        <w:sz w:val="22"/>
        <w:szCs w:val="22"/>
      </w:rPr>
    </w:lvl>
    <w:lvl w:ilvl="1" w15:tentative="1">
      <w:start w:val="1"/>
      <w:numFmt w:val="bullet"/>
      <w:lvlText w:val="◦"/>
      <w:lvlJc w:val="left"/>
      <w:pPr>
        <w:ind w:left="920" w:hanging="260"/>
      </w:pPr>
      <w:rPr>
        <w:rFonts w:ascii="Times New Roman" w:cs="Times New Roman" w:eastAsia="Times New Roman" w:hAnsi="Times New Roman"/>
        <w:sz w:val="22"/>
        <w:szCs w:val="2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  <w:rPr>
        <w:rFonts w:ascii="Times New Roman" w:cs="Times New Roman" w:eastAsia="Times New Roman" w:hAnsi="Times New Roman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gd0orlhrqz1o3wllibu6" Type="http://schemas.openxmlformats.org/officeDocument/2006/relationships/hyperlink" Target="https://learn.microsoft.com/en-us/power-bi/transform-model/dax-query-view" TargetMode="External"/><Relationship Id="rIdskwkfbdc9yujfkgdi7mtk" Type="http://schemas.openxmlformats.org/officeDocument/2006/relationships/hyperlink" Target="https://learn.microsoft.com/en-us/dax/dax-overview" TargetMode="External"/><Relationship Id="rIdfde1ey7adv-5bfud66vbl" Type="http://schemas.openxmlformats.org/officeDocument/2006/relationships/hyperlink" Target="https://learn.microsoft.com/en-us/power-bi/connect-data/service-gateway-onprem" TargetMode="External"/><Relationship Id="rId7" Type="http://schemas.openxmlformats.org/officeDocument/2006/relationships/image" Target="media/73f78a6c946569f798f6eadf687c346b0dc95fe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2026-09-21T22:24:35.750Z</dcterms:created>
  <dcterms:modified xsi:type="dcterms:W3CDTF">2026-09-21T22:24:35.750Z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