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DOCUMENT 01</w:t>
      </w:r>
    </w:p>
    <w:p>
      <w:pPr>
        <w:spacing w:after="60"/>
      </w:pPr>
      <w:r>
        <w:rPr>
          <w:rFonts w:ascii="Times New Roman" w:cs="Times New Roman" w:eastAsia="Times New Roman" w:hAnsi="Times New Roman"/>
          <w:b/>
          <w:bCs/>
          <w:color w:val="1F3864"/>
          <w:sz w:val="40"/>
          <w:szCs w:val="40"/>
        </w:rPr>
        <w:t xml:space="preserve">U.S. Retail Sector Health</w:t>
      </w:r>
    </w:p>
    <w:p>
      <w:pPr>
        <w:spacing w:after="120"/>
      </w:pPr>
      <w:r>
        <w:rPr>
          <w:rFonts w:ascii="Times New Roman" w:cs="Times New Roman" w:eastAsia="Times New Roman" w:hAnsi="Times New Roman"/>
          <w:color w:val="2E5496"/>
          <w:sz w:val="28"/>
          <w:szCs w:val="28"/>
        </w:rPr>
        <w:t xml:space="preserve">From Macroeconomic Indicators to Item-Level Movement</w:t>
      </w:r>
    </w:p>
    <w:p>
      <w:pPr>
        <w:spacing w:after="120" w:line="276"/>
      </w:pPr>
      <w:r>
        <w:rPr>
          <w:rFonts w:ascii="Times New Roman" w:cs="Times New Roman" w:eastAsia="Times New Roman" w:hAnsi="Times New Roman"/>
          <w:sz w:val="22"/>
          <w:szCs w:val="22"/>
        </w:rPr>
        <w:t xml:space="preserve">Power BI Portfolio Project — Census MARTS · FRED · Montgomery County Item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BI reviewers and sector analysts</w:t>
      </w:r>
      <w:r>
        <w:rPr>
          <w:rFonts w:ascii="Times New Roman" w:cs="Times New Roman" w:eastAsia="Times New Roman" w:hAnsi="Times New Roman"/>
          <w:b/>
          <w:bCs/>
          <w:sz w:val="21"/>
          <w:szCs w:val="21"/>
        </w:rPr>
        <w:t xml:space="preserve">   |   Tooling: </w:t>
      </w:r>
      <w:r>
        <w:rPr>
          <w:rFonts w:ascii="Times New Roman" w:cs="Times New Roman" w:eastAsia="Times New Roman" w:hAnsi="Times New Roman"/>
          <w:sz w:val="21"/>
          <w:szCs w:val="21"/>
        </w:rPr>
        <w:t xml:space="preserve">Power BI Desktop · Power BI Pro · SQL Server 2025 Developer Edition</w:t>
      </w:r>
    </w:p>
    <w:p>
      <w:pPr>
        <w:spacing w:after="240" w:line="276"/>
      </w:pPr>
      <w:r>
        <w:rPr>
          <w:rFonts w:ascii="Times New Roman" w:cs="Times New Roman" w:eastAsia="Times New Roman" w:hAnsi="Times New Roman"/>
          <w:i/>
          <w:iCs/>
          <w:color w:val="595959"/>
          <w:sz w:val="21"/>
          <w:szCs w:val="21"/>
        </w:rPr>
        <w:t xml:space="preserve">Prepared by Evy  |  September 2026  |  Document 01 · Project ID: PBI-MACRO-001</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Executive Summary</w:t>
      </w:r>
    </w:p>
    <w:p>
      <w:pPr>
        <w:spacing w:after="120" w:line="276"/>
      </w:pPr>
      <w:r>
        <w:rPr>
          <w:rFonts w:ascii="Times New Roman" w:cs="Times New Roman" w:eastAsia="Times New Roman" w:hAnsi="Times New Roman"/>
          <w:sz w:val="22"/>
          <w:szCs w:val="22"/>
        </w:rPr>
        <w:t xml:space="preserve">This project delivers three Power BI reports built on one shared semantic model, tracing U.S. retail performance from national macroeconomic conditions down to item-level physical product movement. It demonstrates three distinct ingestion patterns in a single coherent model — a keyed REST API, an on-premises SQL Server warehouse, and a governed Excel reference file — together with a star-schema design, a documented DAX layer of roughly seventy measures, and the shared-model / thin-report deployment pattern that enterprise BI teams use to avoid divergent copies of the same logic.</w:t>
      </w:r>
    </w:p>
    <w:p>
      <w:pPr>
        <w:spacing w:after="120" w:line="276"/>
      </w:pPr>
      <w:r>
        <w:rPr>
          <w:rFonts w:ascii="Times New Roman" w:cs="Times New Roman" w:eastAsia="Times New Roman" w:hAnsi="Times New Roman"/>
          <w:b/>
          <w:bCs/>
          <w:sz w:val="22"/>
          <w:szCs w:val="22"/>
        </w:rPr>
        <w:t xml:space="preserve">Business scenario: </w:t>
      </w:r>
      <w:r>
        <w:rPr>
          <w:rFonts w:ascii="Times New Roman" w:cs="Times New Roman" w:eastAsia="Times New Roman" w:hAnsi="Times New Roman"/>
          <w:sz w:val="22"/>
          <w:szCs w:val="22"/>
        </w:rPr>
        <w:t xml:space="preserve">a retail sector analyst needs to know whether consumer spending is holding up in real terms, which kinds of business are gaining or losing share, and whether observed physical volume at the shelf confirms what the national dollar series reports. The reports answer: </w:t>
      </w:r>
      <w:r>
        <w:rPr>
          <w:rFonts w:ascii="Times New Roman" w:cs="Times New Roman" w:eastAsia="Times New Roman" w:hAnsi="Times New Roman"/>
          <w:i/>
          <w:iCs/>
          <w:sz w:val="22"/>
          <w:szCs w:val="22"/>
        </w:rPr>
        <w:t xml:space="preserve">What is the economic backdrop? Which categories are rotating? Does actual volume agree with the dollar headline?</w:t>
      </w:r>
    </w:p>
    <w:p>
      <w:pPr>
        <w:spacing w:after="120" w:line="276"/>
      </w:pPr>
      <w:r>
        <w:rPr>
          <w:rFonts w:ascii="Times New Roman" w:cs="Times New Roman" w:eastAsia="Times New Roman" w:hAnsi="Times New Roman"/>
          <w:b/>
          <w:bCs/>
          <w:sz w:val="22"/>
          <w:szCs w:val="22"/>
        </w:rPr>
        <w:t xml:space="preserve">Portfolio positioning: </w:t>
      </w:r>
      <w:r>
        <w:rPr>
          <w:rFonts w:ascii="Times New Roman" w:cs="Times New Roman" w:eastAsia="Times New Roman" w:hAnsi="Times New Roman"/>
          <w:sz w:val="22"/>
          <w:szCs w:val="22"/>
        </w:rPr>
        <w:t xml:space="preserve">most public-data BI projects stop at one CSV and a dollar total. This build differentiates on three things a reviewer can verify in thirty seconds — every source is live and citable with no fabricated tables; the model reconciles a physical volume series against a nominal dollar series by deflating one of them, which is a modelling decision rather than a chart; and the work ships as one published model with three live-connected reports rather than three copies of the same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Times New Roman" w:cs="Times New Roman" w:eastAsia="Times New Roman" w:hAnsi="Times New Roman"/>
                <w:b/>
                <w:bCs/>
                <w:color w:val="1F3864"/>
                <w:sz w:val="22"/>
                <w:szCs w:val="22"/>
              </w:rPr>
              <w:t xml:space="preserve">Why this project is defensible</w:t>
            </w:r>
          </w:p>
          <w:p>
            <w:pPr>
              <w:spacing w:after="100" w:line="276"/>
            </w:pPr>
            <w:r>
              <w:rPr>
                <w:rFonts w:ascii="Times New Roman" w:cs="Times New Roman" w:eastAsia="Times New Roman" w:hAnsi="Times New Roman"/>
                <w:sz w:val="21"/>
                <w:szCs w:val="21"/>
              </w:rPr>
              <w:t xml:space="preserve">Every table in the model comes from a live public source. Nothing is simulated, and no measure is computed from a number that was typed in by hand.</w:t>
            </w:r>
          </w:p>
          <w:p>
            <w:pPr>
              <w:spacing w:after="0" w:line="276"/>
            </w:pPr>
            <w:r>
              <w:rPr>
                <w:rFonts w:ascii="Times New Roman" w:cs="Times New Roman" w:eastAsia="Times New Roman" w:hAnsi="Times New Roman"/>
                <w:sz w:val="21"/>
                <w:szCs w:val="21"/>
              </w:rPr>
              <w:t xml:space="preserve">The hardest problem in the project is stated openly rather than hidden: Tier 3 measures cases while Tiers 1 and 2 measure dollars. Section 8 explains how the model reconciles them, and why forward-filling or a raw level comparison would have been wrong.</w:t>
            </w:r>
          </w:p>
        </w:tc>
      </w:tr>
    </w:tbl>
    <w:p>
      <w:pPr>
        <w:pStyle w:val="Heading1"/>
        <w:spacing w:after="160" w:before="360"/>
      </w:pPr>
      <w:r>
        <w:rPr>
          <w:rFonts w:ascii="Times New Roman" w:cs="Times New Roman" w:eastAsia="Times New Roman" w:hAnsi="Times New Roman"/>
          <w:b/>
          <w:bCs/>
          <w:color w:val="1F3864"/>
          <w:sz w:val="30"/>
          <w:szCs w:val="30"/>
        </w:rPr>
        <w:t xml:space="preserve">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246"/>
        <w:gridCol w:w="3370"/>
        <w:gridCol w:w="2246"/>
      </w:tblGrid>
      <w:tr>
        <w:trPr>
          <w:tblHeader/>
        </w:trPr>
        <w:tc>
          <w:tcPr>
            <w:tcW w:type="dxa" w:w="149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Source</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Purpose</w:t>
            </w:r>
          </w:p>
        </w:tc>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Reporting — what it tells a business reader</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URL / Origin</w:t>
            </w:r>
          </w:p>
        </w:tc>
      </w:tr>
      <w:tr>
        <w:trPr>
          <w:cantSplit/>
        </w:trPr>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U.S. Census Bureau — MARTS (PRIMARY)</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Monthly retail sales by NAICS kind of business, seasonally adjusted, national. The sector tier and the benchmark every local series is compared against.</w:t>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Answers whether the retail market itself is growing or shrinking, and which kinds of business are gaining or losing share. That is what lets a reader tell a market-wide movement from something specific to one business — a decline everyone is having is a different problem from a decline only you are having. In R2 it shows which categories keep selling when households come under pressure and which are cut first, which is where a defensive budget decision gets made. Not used in R3.</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https://api.census.gov/data/timeseries/eits/marts</w:t>
            </w:r>
          </w:p>
        </w:tc>
      </w:tr>
      <w:tr>
        <w:trPr>
          <w:cantSplit/>
        </w:trPr>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Federal Reserve Economic Data (FRED)</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Nine monthly macro series: CPI, retail sales headline and real, general merchandise, Fed funds, sentiment, unemployment, saving rate, real disposable income.</w:t>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Explains WHY demand moved, not just that it did. R1 sets the economic conditions behind the sales line — inflation, rates, jobs, confidence. R2 combines the household-pressure indicators into one stress line, so a fall in sales can be attributed to customers being unable to spend rather than unwilling. Its quietest contribution is the largest: CPI strips inflation out of every dollar figure in the project, which is what separates “we sold more” from “we charged more”.</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https://fred.stlouisfed.org/</w:t>
            </w:r>
          </w:p>
        </w:tc>
      </w:tr>
      <w:tr>
        <w:trPr>
          <w:cantSplit/>
        </w:trPr>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Montgomery County, MD — Warehouse and Retail Sales</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330,080 rows of item-level monthly product movement, 2017–2026, by supplier and item type. The only public source in this project with genuine item grain.</w:t>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only place actual units are counted, so it is the reality check on whether a dollar trend reflects real demand or just higher prices. R1 shows whether physical volume agrees with the national dollar headline. R2 shows customers trading down, or changing where they consume rather than simply spending less. R3 is where the operational decisions sit: which products earn their shelf space, how long new lines survive, how few products carry most of the volume, and how exposed the business is if one large supplier goes away.</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https://catalog.data.gov/dataset/warehouse-and-retail-sales</w:t>
            </w:r>
          </w:p>
        </w:tc>
      </w:tr>
      <w:tr>
        <w:trPr>
          <w:cantSplit/>
        </w:trPr>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RefMappings.xlsx (analyst-maintained)</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Display names and groupings that no upstream system owns. Category codes and names are transcribed from the published MARTS list; item types from the source’s own distinct values. The grouping columns are analyst classifications that change how results are displayed, never what they are. Full provenance: document 02 Table 6.1.</w:t>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Never appears as a chart, but decides the words on every one of them — the category names, the groupings and the order they appear in. It is the business vocabulary of the reports, and it is a spreadsheet on purpose: someone who knows the business can regroup how results are presented without touching the data or waiting on a developer. Changing a grouping re-cuts every chart in all three reports without altering a single underlying number.</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Derived from the three sources above — no independent data</w:t>
            </w:r>
          </w:p>
        </w:tc>
      </w:tr>
    </w:tbl>
    <w:p>
      <w:pPr>
        <w:spacing w:after="200" w:before="40"/>
      </w:pPr>
      <w:r>
        <w:rPr>
          <w:rFonts w:ascii="Times New Roman" w:cs="Times New Roman" w:eastAsia="Times New Roman" w:hAnsi="Times New Roman"/>
          <w:i/>
          <w:iCs/>
          <w:color w:val="595959"/>
          <w:sz w:val="19"/>
          <w:szCs w:val="19"/>
        </w:rPr>
        <w:t xml:space="preserve">Table 2.1 — Data sources and what each one contributes to the reports. Which pages carry which content is §6.2; the visual-by-visual specification is document 15.</w:t>
      </w:r>
    </w:p>
    <w:p>
      <w:pPr>
        <w:spacing w:after="120" w:line="276"/>
      </w:pPr>
      <w:r>
        <w:rPr>
          <w:rFonts w:ascii="Times New Roman" w:cs="Times New Roman" w:eastAsia="Times New Roman" w:hAnsi="Times New Roman"/>
          <w:b/>
          <w:bCs/>
          <w:sz w:val="22"/>
          <w:szCs w:val="22"/>
        </w:rPr>
        <w:t xml:space="preserve">Licensing note: </w:t>
      </w:r>
      <w:r>
        <w:rPr>
          <w:rFonts w:ascii="Times New Roman" w:cs="Times New Roman" w:eastAsia="Times New Roman" w:hAnsi="Times New Roman"/>
          <w:sz w:val="22"/>
          <w:szCs w:val="22"/>
        </w:rPr>
        <w:t xml:space="preserve">all three external sources are U.S. federal or county open data and carry no redistribution restriction. The Census API requires a free key, which is personal and is never committed to the repository. The county CSV is not redistributed in the repo; the README links to it, and document 00 §4.3 blocks it in .gitignore.</w:t>
      </w:r>
    </w:p>
    <w:p>
      <w:pPr>
        <w:spacing w:after="120" w:line="276"/>
      </w:pPr>
      <w:r>
        <w:rPr>
          <w:rFonts w:ascii="Times New Roman" w:cs="Times New Roman" w:eastAsia="Times New Roman" w:hAnsi="Times New Roman"/>
          <w:b/>
          <w:bCs/>
          <w:sz w:val="22"/>
          <w:szCs w:val="22"/>
        </w:rPr>
        <w:t xml:space="preserve">Dataset facts to sanity-check after load: </w:t>
      </w:r>
      <w:r>
        <w:rPr>
          <w:rFonts w:ascii="Times New Roman" w:cs="Times New Roman" w:eastAsia="Times New Roman" w:hAnsi="Times New Roman"/>
          <w:sz w:val="22"/>
          <w:szCs w:val="22"/>
        </w:rPr>
        <w:t xml:space="preserve">county source 330,080 rows, 2017–2026, nine columns, item types Wine / Liquor / Beer / Kegs / Non-Alcohol; MARTS publishes nineteen kind-of-business codes used here, headline code 44X72; FRED series all monthly, CPIAUCSL and MRTSSM452USS both starting January 1992.</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The county measures are cases, not dollars.  </w:t>
      </w:r>
      <w:r>
        <w:rPr>
          <w:rFonts w:ascii="Times New Roman" w:cs="Times New Roman" w:eastAsia="Times New Roman" w:hAnsi="Times New Roman"/>
          <w:sz w:val="21"/>
          <w:szCs w:val="21"/>
        </w:rPr>
        <w:t xml:space="preserve">The publisher defines all three measure columns as counts of cases. Tier 3 is a physical volume series; Tiers 1 and 2 are denominated in dollars. They are never compared directly — Section 8 gives the reconciliation rule and Section 6 marks every visual where it applies.</w:t>
      </w:r>
    </w:p>
    <w:p>
      <w:pPr>
        <w:pStyle w:val="Heading2"/>
        <w:spacing w:after="120" w:before="280"/>
      </w:pPr>
      <w:r>
        <w:rPr>
          <w:rFonts w:ascii="Times New Roman" w:cs="Times New Roman" w:eastAsia="Times New Roman" w:hAnsi="Times New Roman"/>
          <w:b/>
          <w:bCs/>
          <w:color w:val="2E5496"/>
          <w:sz w:val="25"/>
          <w:szCs w:val="25"/>
        </w:rPr>
        <w:t xml:space="preserve">2.1 Sources Considered and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Source</w:t>
            </w:r>
          </w:p>
        </w:tc>
        <w:tc>
          <w:tcPr>
            <w:tcW w:type="dxa" w:w="692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Disposition</w:t>
            </w:r>
          </w:p>
        </w:tc>
      </w:tr>
      <w:tr>
        <w:trPr>
          <w:cantSplit/>
        </w:trPr>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tradingeconomics.com</w:t>
            </w:r>
          </w:p>
        </w:tc>
        <w:tc>
          <w:tcPr>
            <w:tcW w:type="dxa" w:w="692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Not ingested. The underlying data is Census retail sales, already taken at source. Full history sits behind a paid subscription and table scraping would be both a terms-of-use concern and fragile under refresh. Retained as a narrative reference for consensus-versus-actual commentary.</w:t>
            </w:r>
          </w:p>
        </w:tc>
      </w:tr>
      <w:tr>
        <w:trPr>
          <w:cantSplit/>
        </w:trPr>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Yahoo Finance historical CSV</w:t>
            </w:r>
          </w:p>
        </w:tc>
        <w:tc>
          <w:tcPr>
            <w:tcW w:type="dxa" w:w="692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Not used. Bulk historical download is gated, and the export has never contained margin or inventory data. Equity prices are out of scope.</w:t>
            </w:r>
          </w:p>
        </w:tc>
      </w:tr>
    </w:tbl>
    <w:p>
      <w:pPr>
        <w:pStyle w:val="Heading1"/>
        <w:spacing w:after="160" w:before="360"/>
      </w:pPr>
      <w:r>
        <w:rPr>
          <w:rFonts w:ascii="Times New Roman" w:cs="Times New Roman" w:eastAsia="Times New Roman" w:hAnsi="Times New Roman"/>
          <w:b/>
          <w:bCs/>
          <w:color w:val="1F3864"/>
          <w:sz w:val="30"/>
          <w:szCs w:val="30"/>
        </w:rPr>
        <w:t xml:space="preserve">3. Data Pipeline — Source to Semantic Layer</w:t>
      </w:r>
    </w:p>
    <w:p>
      <w:pPr>
        <w:spacing w:after="120" w:line="276"/>
      </w:pPr>
      <w:r>
        <w:rPr>
          <w:rFonts w:ascii="Times New Roman" w:cs="Times New Roman" w:eastAsia="Times New Roman" w:hAnsi="Times New Roman"/>
          <w:sz w:val="22"/>
          <w:szCs w:val="22"/>
        </w:rPr>
        <w:t xml:space="preserve">Four sources reach one semantic model by three different ingestion patterns, and the pattern is the point: a keyed REST API, an on-premises relational database, and a governed file. Nothing is hand-copied between stages. Every arrow below is either a Power Query step or a SQL script that can be re-run from scratch, which is what makes the model reproducible rather than merely built.</w:t>
      </w:r>
    </w:p>
    <w:p>
      <w:pPr>
        <w:spacing w:after="40" w:before="120"/>
        <w:jc w:val="center"/>
      </w:pPr>
      <w:r>
        <w:drawing>
          <wp:inline distT="0" distB="0" distL="0" distR="0">
            <wp:extent cx="5943600" cy="791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7915275"/>
                    </a:xfrm>
                    <a:prstGeom prst="rect">
                      <a:avLst/>
                    </a:prstGeom>
                  </pic:spPr>
                </pic:pic>
              </a:graphicData>
            </a:graphic>
          </wp:inline>
        </w:drawing>
      </w:r>
    </w:p>
    <w:p>
      <w:pPr>
        <w:spacing w:after="200" w:before="40"/>
      </w:pPr>
      <w:r>
        <w:rPr>
          <w:rFonts w:ascii="Times New Roman" w:cs="Times New Roman" w:eastAsia="Times New Roman" w:hAnsi="Times New Roman"/>
          <w:i/>
          <w:iCs/>
          <w:color w:val="595959"/>
          <w:sz w:val="19"/>
          <w:szCs w:val="19"/>
        </w:rPr>
        <w:t xml:space="preserve">Figure 3.1 — Data pipeline, source to semantic layer. Navy is the default path, teal the SQL Server path, amber everything that is either never committed or analyst-maintained.</w:t>
      </w:r>
    </w:p>
    <w:p>
      <w:pPr>
        <w:spacing w:after="120" w:line="276"/>
      </w:pPr>
      <w:r>
        <w:rPr>
          <w:rFonts w:ascii="Times New Roman" w:cs="Times New Roman" w:eastAsia="Times New Roman" w:hAnsi="Times New Roman"/>
          <w:sz w:val="22"/>
          <w:szCs w:val="22"/>
        </w:rPr>
        <w:t xml:space="preserve">The same pipeline in plain text, for the README and for anyone reading this on a device that does not render the figure:</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SOURCE           LANDING            TRANSFORM           SEMANTIC LAYER</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FRED          -&gt; read at refresh -&gt; Power Query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CSV endpoints    (no file)          fnGetFredSeries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Census MARTS  -&gt; read at refresh -&gt; Power Query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API (keyed)      (key = cred)       + pCensusKey param      &gt; RetailEconomics</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  _Model</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data.gov CSV  -&gt; C:\Data\        -&gt; SQL Server 2025       /   3 facts</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330,080 rows     RetailEconomics\   stg -&gt; dw -&gt; view    /    5 dimensions</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NEVER COMMITTED    scripts 01 .. 08    /     79 measures</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RefMappings   -&gt; reference/      -&gt; Power Query       -/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.xlsx            (in the clone)     Excel.Workbook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v</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Power BI Service (Pro)</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gateway ----&gt;  published model</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(SQL Server only)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live connection  v</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R1 .... R2 .... R3</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 </w:t>
      </w:r>
    </w:p>
    <w:p>
      <w:pPr>
        <w:pStyle w:val="Heading2"/>
        <w:spacing w:after="120" w:before="280"/>
      </w:pPr>
      <w:r>
        <w:rPr>
          <w:rFonts w:ascii="Times New Roman" w:cs="Times New Roman" w:eastAsia="Times New Roman" w:hAnsi="Times New Roman"/>
          <w:b/>
          <w:bCs/>
          <w:color w:val="2E5496"/>
          <w:sz w:val="25"/>
          <w:szCs w:val="25"/>
        </w:rPr>
        <w:t xml:space="preserve">3.1 What Happens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1872"/>
        <w:gridCol w:w="2995"/>
        <w:gridCol w:w="3276"/>
      </w:tblGrid>
      <w:tr>
        <w:trPr>
          <w:tblHeader/>
        </w:trPr>
        <w:tc>
          <w:tcPr>
            <w:tcW w:type="dxa" w:w="1217"/>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Stage</w:t>
            </w:r>
          </w:p>
        </w:tc>
        <w:tc>
          <w:tcPr>
            <w:tcW w:type="dxa" w:w="187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Tool</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produces</w:t>
            </w:r>
          </w:p>
        </w:tc>
        <w:tc>
          <w:tcPr>
            <w:tcW w:type="dxa" w:w="327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The rule that governs it</w:t>
            </w:r>
          </w:p>
        </w:tc>
      </w:tr>
      <w:tr>
        <w:trPr>
          <w:cantSplit/>
        </w:trPr>
        <w:tc>
          <w:tcPr>
            <w:tcW w:type="dxa" w:w="121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Source</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Four publishers, four different access patterns</w:t>
            </w:r>
          </w:p>
        </w:tc>
        <w:tc>
          <w:tcPr>
            <w:tcW w:type="dxa" w:w="327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Nothing is downloaded by hand except the county CSV, which is versioned by the publisher, not by this project</w:t>
            </w:r>
          </w:p>
        </w:tc>
      </w:tr>
      <w:tr>
        <w:trPr>
          <w:cantSplit/>
        </w:trPr>
        <w:tc>
          <w:tcPr>
            <w:tcW w:type="dxa" w:w="121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Landing</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Filesystem</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Two sources land nothing; the county CSV lands outside the repository; RefMappings.xlsx lands inside it</w:t>
            </w:r>
          </w:p>
        </w:tc>
        <w:tc>
          <w:tcPr>
            <w:tcW w:type="dxa" w:w="327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file that is source data stays out of Git. A file that is analyst judgement goes in. That distinction is the whole rule</w:t>
            </w:r>
          </w:p>
        </w:tc>
      </w:tr>
      <w:tr>
        <w:trPr>
          <w:cantSplit/>
        </w:trPr>
        <w:tc>
          <w:tcPr>
            <w:tcW w:type="dxa" w:w="121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Transform</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Query · T-SQL</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Three M queries and eight SQL scripts run in numeric order</w:t>
            </w:r>
          </w:p>
        </w:tc>
        <w:tc>
          <w:tcPr>
            <w:tcW w:type="dxa" w:w="327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Transformation happens as close to the source as possible: row-level work in SQL, shaping in M, nothing in DAX that could have been done earlier</w:t>
            </w:r>
          </w:p>
        </w:tc>
      </w:tr>
      <w:tr>
        <w:trPr>
          <w:cantSplit/>
        </w:trPr>
        <w:tc>
          <w:tcPr>
            <w:tcW w:type="dxa" w:w="121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Semantic layer</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model — three facts, five dimensions, seven relationships, 79 measures</w:t>
            </w:r>
          </w:p>
        </w:tc>
        <w:tc>
          <w:tcPr>
            <w:tcW w:type="dxa" w:w="327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model is the contract. Reports consume it; they never extend it</w:t>
            </w:r>
          </w:p>
        </w:tc>
      </w:tr>
      <w:tr>
        <w:trPr>
          <w:cantSplit/>
        </w:trPr>
        <w:tc>
          <w:tcPr>
            <w:tcW w:type="dxa" w:w="121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Service</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Pro</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published model, three live-connected thin reports</w:t>
            </w:r>
          </w:p>
        </w:tc>
        <w:tc>
          <w:tcPr>
            <w:tcW w:type="dxa" w:w="327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refresh, one measure library, one version of every number</w:t>
            </w:r>
          </w:p>
        </w:tc>
      </w:tr>
    </w:tbl>
    <w:p>
      <w:pPr>
        <w:spacing w:after="200" w:before="40"/>
      </w:pPr>
      <w:r>
        <w:rPr>
          <w:rFonts w:ascii="Times New Roman" w:cs="Times New Roman" w:eastAsia="Times New Roman" w:hAnsi="Times New Roman"/>
          <w:i/>
          <w:iCs/>
          <w:color w:val="595959"/>
          <w:sz w:val="19"/>
          <w:szCs w:val="19"/>
        </w:rPr>
        <w:t xml:space="preserve">Table 3.1 — Pipeline stages. The click-by-click procedure for every row is document 02; this table is the map, not the instructions.</w:t>
      </w:r>
    </w:p>
    <w:p>
      <w:pPr>
        <w:pStyle w:val="Heading2"/>
        <w:spacing w:after="120" w:before="280"/>
      </w:pPr>
      <w:r>
        <w:rPr>
          <w:rFonts w:ascii="Times New Roman" w:cs="Times New Roman" w:eastAsia="Times New Roman" w:hAnsi="Times New Roman"/>
          <w:b/>
          <w:bCs/>
          <w:color w:val="2E5496"/>
          <w:sz w:val="25"/>
          <w:szCs w:val="25"/>
        </w:rPr>
        <w:t xml:space="preserve">3.2 Why the Refresh Paths Differ</w:t>
      </w:r>
    </w:p>
    <w:p>
      <w:pPr>
        <w:spacing w:after="120" w:line="276"/>
      </w:pPr>
      <w:r>
        <w:rPr>
          <w:rFonts w:ascii="Times New Roman" w:cs="Times New Roman" w:eastAsia="Times New Roman" w:hAnsi="Times New Roman"/>
          <w:sz w:val="22"/>
          <w:szCs w:val="22"/>
        </w:rPr>
        <w:t xml:space="preserve">Two of the three ingestion patterns refresh in the Service unattended. The third cannot, and the reason is worth stating explicitly because it is the most common thing a reviewer asks about a multi-source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1872"/>
        <w:gridCol w:w="3182"/>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Source</w:t>
            </w:r>
          </w:p>
        </w:tc>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Refresh in the Service</w:t>
            </w:r>
          </w:p>
        </w:tc>
        <w:tc>
          <w:tcPr>
            <w:tcW w:type="dxa" w:w="187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Gateway</w:t>
            </w:r>
          </w:p>
        </w:tc>
        <w:tc>
          <w:tcPr>
            <w:tcW w:type="dxa" w:w="318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Why</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FRED</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Yes</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Not required</w:t>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Static URL read by Web.Contents with RelativePath</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Census MARTS</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Yes</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Not required</w:t>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Web.Contents with a Query record plus a Power Query parameter for the key — the documented pattern that keeps the source from being classified as dynamic</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SQL Server 2025</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Yes</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Required</w:t>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database is on a local machine. There is no exception that removes this requirement</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RefMappings.xlsx</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Yes</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Required if read from a local path</w:t>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Held in the repository clone, so the gateway that serves SQL Server serves this too</w:t>
            </w:r>
          </w:p>
        </w:tc>
      </w:tr>
    </w:tbl>
    <w:p>
      <w:pPr>
        <w:spacing w:after="200" w:before="40"/>
      </w:pPr>
      <w:r>
        <w:rPr>
          <w:rFonts w:ascii="Times New Roman" w:cs="Times New Roman" w:eastAsia="Times New Roman" w:hAnsi="Times New Roman"/>
          <w:i/>
          <w:iCs/>
          <w:color w:val="595959"/>
          <w:sz w:val="19"/>
          <w:szCs w:val="19"/>
        </w:rPr>
        <w:t xml:space="preserve">Table 3.2 — Refresh requirements by source.</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A dynamic data source will not refresh in the Service at all.  </w:t>
      </w:r>
      <w:r>
        <w:rPr>
          <w:rFonts w:ascii="Times New Roman" w:cs="Times New Roman" w:eastAsia="Times New Roman" w:hAnsi="Times New Roman"/>
          <w:sz w:val="21"/>
          <w:szCs w:val="21"/>
        </w:rPr>
        <w:t xml:space="preserve">Concatenating a key or a parameter directly into a URL string makes the source dynamic, and the Service refuses to refresh it — with an error that names neither the query nor the cause. RelativePath, Query and Power Query parameters are the two documented ways around this, and both are used here. Document 02 §3.6 carries the working M.</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Nothing in this pipeline moves data by hand.  </w:t>
      </w:r>
      <w:r>
        <w:rPr>
          <w:rFonts w:ascii="Times New Roman" w:cs="Times New Roman" w:eastAsia="Times New Roman" w:hAnsi="Times New Roman"/>
          <w:sz w:val="21"/>
          <w:szCs w:val="21"/>
        </w:rPr>
        <w:t xml:space="preserve">No copy-paste into Excel, no exported extract, no manual step between any two boxes above. That is what makes the whole thing re-runnable from an empty machine, and it is a fair question for a reviewer to ask of any portfolio project.</w:t>
      </w:r>
    </w:p>
    <w:p>
      <w:pPr>
        <w:pStyle w:val="Heading1"/>
        <w:spacing w:after="160" w:before="360"/>
      </w:pPr>
      <w:r>
        <w:rPr>
          <w:rFonts w:ascii="Times New Roman" w:cs="Times New Roman" w:eastAsia="Times New Roman" w:hAnsi="Times New Roman"/>
          <w:b/>
          <w:bCs/>
          <w:color w:val="1F3864"/>
          <w:sz w:val="30"/>
          <w:szCs w:val="30"/>
        </w:rPr>
        <w:t xml:space="preserve">4. Data Model — Star Schema</w:t>
      </w:r>
    </w:p>
    <w:p>
      <w:pPr>
        <w:spacing w:after="120" w:line="276"/>
      </w:pPr>
      <w:r>
        <w:rPr>
          <w:rFonts w:ascii="Times New Roman" w:cs="Times New Roman" w:eastAsia="Times New Roman" w:hAnsi="Times New Roman"/>
          <w:sz w:val="22"/>
          <w:szCs w:val="22"/>
        </w:rPr>
        <w:t xml:space="preserve">Four sources resolve into three fact tables and five dimensions, conformed on a single monthly date grain. All relationships are single-direction, one-to-many, filtering from dimension to fact. No bidirectional filters are used anywhere in the model. Foreign keys are hidden from Report view; currency, percentage and decimal formats are set at the model level so no visual has to correct them.</w:t>
      </w:r>
    </w:p>
    <w:p>
      <w:pPr>
        <w:pStyle w:val="Heading2"/>
        <w:spacing w:after="120" w:before="280"/>
      </w:pPr>
      <w:r>
        <w:rPr>
          <w:rFonts w:ascii="Times New Roman" w:cs="Times New Roman" w:eastAsia="Times New Roman" w:hAnsi="Times New Roman"/>
          <w:b/>
          <w:bCs/>
          <w:color w:val="2E5496"/>
          <w:sz w:val="25"/>
          <w:szCs w:val="25"/>
        </w:rPr>
        <w:t xml:space="preserve">4.1 Tables and Relationships</w:t>
      </w:r>
    </w:p>
    <w:p>
      <w:pPr>
        <w:spacing w:after="120" w:line="276"/>
      </w:pPr>
      <w:r>
        <w:rPr>
          <w:rFonts w:ascii="Times New Roman" w:cs="Times New Roman" w:eastAsia="Times New Roman" w:hAnsi="Times New Roman"/>
          <w:sz w:val="22"/>
          <w:szCs w:val="22"/>
        </w:rPr>
        <w:t xml:space="preserve">Eight tables: three facts and five dimensions. The full column-level dictionary — data type, derivation, format string, visibility and description for all 47 columns — is document 20, which is the single source of truth and is not repeated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310"/>
        <w:gridCol w:w="2808"/>
        <w:gridCol w:w="3182"/>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Table</w:t>
            </w:r>
          </w:p>
        </w:tc>
        <w:tc>
          <w:tcPr>
            <w:tcW w:type="dxa" w:w="131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Type</w:t>
            </w:r>
          </w:p>
        </w:tc>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Grain</w:t>
            </w:r>
          </w:p>
        </w:tc>
        <w:tc>
          <w:tcPr>
            <w:tcW w:type="dxa" w:w="318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Source</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DimDate</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Dimension</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row per month</w:t>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SQL Server, recursive CTE</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DimIndicator</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Dimension</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row per FRED series</w:t>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Entered in the model</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DimCategory</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Dimension</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row per NAICS code</w:t>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RefMappings.xlsx</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DimSupplier</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Dimension</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row per supplier</w:t>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SQL Server</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DimItem</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Dimension</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row per item</w:t>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SQL Server + RefMappings.xlsx merge</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FactMacro</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Fact</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Series × month</w:t>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FRED, via a reusable M function</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FactSectorSales</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Fact</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Category × month</w:t>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Census MARTS API</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FactItemMovement</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Fact</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Item × supplier × month</w:t>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SQL Server — 330,080 rows</w:t>
            </w:r>
          </w:p>
        </w:tc>
      </w:tr>
    </w:tbl>
    <w:p>
      <w:pPr>
        <w:spacing w:after="200" w:before="40"/>
      </w:pPr>
      <w:r>
        <w:rPr>
          <w:rFonts w:ascii="Times New Roman" w:cs="Times New Roman" w:eastAsia="Times New Roman" w:hAnsi="Times New Roman"/>
          <w:i/>
          <w:iCs/>
          <w:color w:val="595959"/>
          <w:sz w:val="19"/>
          <w:szCs w:val="19"/>
        </w:rPr>
        <w:t xml:space="preserve">Table 4.1 — Model tables. Expected row counts are in document 20, Model Tables tab.</w:t>
      </w:r>
    </w:p>
    <w:p>
      <w:pPr>
        <w:spacing w:after="120" w:line="276"/>
      </w:pPr>
      <w:r>
        <w:rPr>
          <w:rFonts w:ascii="Times New Roman" w:cs="Times New Roman" w:eastAsia="Times New Roman" w:hAnsi="Times New Roman"/>
          <w:sz w:val="22"/>
          <w:szCs w:val="22"/>
        </w:rPr>
        <w:t xml:space="preserve">Seven relationships, all one-to-many from dimension to fact, all single-direction. The model uses no bidirectional filters and no virtual joins — if a bidirectional filter ever seems necessary here, the grain is wrong rather than the relationship.</w:t>
      </w:r>
    </w:p>
    <w:p>
      <w:pPr>
        <w:pStyle w:val="Heading2"/>
        <w:spacing w:after="120" w:before="280"/>
      </w:pPr>
      <w:r>
        <w:rPr>
          <w:rFonts w:ascii="Times New Roman" w:cs="Times New Roman" w:eastAsia="Times New Roman" w:hAnsi="Times New Roman"/>
          <w:b/>
          <w:bCs/>
          <w:color w:val="2E5496"/>
          <w:sz w:val="25"/>
          <w:szCs w:val="25"/>
        </w:rPr>
        <w:t xml:space="preserve">4.2 Relationship Diagram</w:t>
      </w:r>
    </w:p>
    <w:p>
      <w:pPr>
        <w:spacing w:after="120" w:line="276"/>
      </w:pPr>
      <w:r>
        <w:rPr>
          <w:rFonts w:ascii="Times New Roman" w:cs="Times New Roman" w:eastAsia="Times New Roman" w:hAnsi="Times New Roman"/>
          <w:sz w:val="22"/>
          <w:szCs w:val="22"/>
        </w:rPr>
        <w:t xml:space="preserve">The same eight tables as Table 4.1, drawn as the model view renders them. Every relationship is one-to-many from the dimension side, single-direction, and active — there are no exceptions in this model and no reason for one.</w:t>
      </w:r>
    </w:p>
    <w:p>
      <w:pPr>
        <w:spacing w:after="40" w:before="120"/>
        <w:jc w:val="center"/>
      </w:pPr>
      <w:r>
        <w:drawing>
          <wp:inline distT="0" distB="0" distL="0" distR="0">
            <wp:extent cx="5943600" cy="638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6381750"/>
                    </a:xfrm>
                    <a:prstGeom prst="rect">
                      <a:avLst/>
                    </a:prstGeom>
                  </pic:spPr>
                </pic:pic>
              </a:graphicData>
            </a:graphic>
          </wp:inline>
        </w:drawing>
      </w:r>
    </w:p>
    <w:p>
      <w:pPr>
        <w:spacing w:after="200" w:before="40"/>
      </w:pPr>
      <w:r>
        <w:rPr>
          <w:rFonts w:ascii="Times New Roman" w:cs="Times New Roman" w:eastAsia="Times New Roman" w:hAnsi="Times New Roman"/>
          <w:i/>
          <w:iCs/>
          <w:color w:val="595959"/>
          <w:sz w:val="19"/>
          <w:szCs w:val="19"/>
        </w:rPr>
        <w:t xml:space="preserve">Figure 4.1 — Semantic layer relationships. DimDate is drawn apart from the other dimensions because it is the only one filtering all three facts.</w:t>
      </w:r>
    </w:p>
    <w:p>
      <w:pPr>
        <w:spacing w:after="120" w:line="276"/>
      </w:pPr>
      <w:r>
        <w:rPr>
          <w:rFonts w:ascii="Times New Roman" w:cs="Times New Roman" w:eastAsia="Times New Roman" w:hAnsi="Times New Roman"/>
          <w:sz w:val="22"/>
          <w:szCs w:val="22"/>
        </w:rPr>
        <w:t xml:space="preserve">The same schema in plain text:</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  DimIndicator --1:*--&gt; FactMacro         &lt;---------------\</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DimCategory  --1:*--&gt; FactSectorSales   &lt;---------------+-- DimDate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   (1:* to all</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DimSupplier -\                                         /     three facts)</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&gt;--1:*--&gt; FactItemMovement &lt;------------/</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DimItem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Seven relationships. Every one is one-to-many, single-direction,</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filtering dimension -&gt; fact. No bidirectional filters, no inactive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relationships, no virtual joins. DimDate is the conforming dimension.</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 </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Read the direction, not just the line.  </w:t>
      </w:r>
      <w:r>
        <w:rPr>
          <w:rFonts w:ascii="Times New Roman" w:cs="Times New Roman" w:eastAsia="Times New Roman" w:hAnsi="Times New Roman"/>
          <w:sz w:val="21"/>
          <w:szCs w:val="21"/>
        </w:rPr>
        <w:t xml:space="preserve">A relationship line says nothing on its own; the arrow says everything. Filtering runs dimension to fact and nowhere else. If a visual ever needs the reverse — a fact filtering a dimension — the answer is a measure written with the right filter context, never a bidirectional relationship, which is how a model starts returning different totals depending on which visual asked.</w:t>
      </w:r>
    </w:p>
    <w:p>
      <w:pPr>
        <w:pStyle w:val="Heading2"/>
        <w:spacing w:after="120" w:before="280"/>
      </w:pPr>
      <w:r>
        <w:rPr>
          <w:rFonts w:ascii="Times New Roman" w:cs="Times New Roman" w:eastAsia="Times New Roman" w:hAnsi="Times New Roman"/>
          <w:b/>
          <w:bCs/>
          <w:color w:val="2E5496"/>
          <w:sz w:val="25"/>
          <w:szCs w:val="25"/>
        </w:rPr>
        <w:t xml:space="preserve">4.3 The Conforming Decision</w:t>
      </w:r>
    </w:p>
    <w:p>
      <w:pPr>
        <w:spacing w:after="120" w:line="276"/>
      </w:pPr>
      <w:r>
        <w:rPr>
          <w:rFonts w:ascii="Times New Roman" w:cs="Times New Roman" w:eastAsia="Times New Roman" w:hAnsi="Times New Roman"/>
          <w:sz w:val="22"/>
          <w:szCs w:val="22"/>
        </w:rPr>
        <w:t xml:space="preserve">The three tiers arrive at three different natural grains, and reconciling them is the most consequential modelling decision in the project. FRED and Census are already monthly. The county source stores Year and Month as separate integers with no date key at all, so DateKey is constructed during the fact load rather than in Power Query.</w:t>
      </w:r>
    </w:p>
    <w:p>
      <w:pPr>
        <w:spacing w:after="120" w:line="276"/>
      </w:pPr>
      <w:r>
        <w:rPr>
          <w:rFonts w:ascii="Times New Roman" w:cs="Times New Roman" w:eastAsia="Times New Roman" w:hAnsi="Times New Roman"/>
          <w:sz w:val="22"/>
          <w:szCs w:val="22"/>
        </w:rPr>
        <w:t xml:space="preserve">All three facts therefore share one conformed monthly key, and DimDate is a monthly dimension rather than a daily one. This is deliberate. A daily date table joined to three monthly facts creates twenty-nine empty days per month in every filter context and produces time intelligence that is quietly wrong.</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Do not forward-fill to align grains.  </w:t>
      </w:r>
      <w:r>
        <w:rPr>
          <w:rFonts w:ascii="Times New Roman" w:cs="Times New Roman" w:eastAsia="Times New Roman" w:hAnsi="Times New Roman"/>
          <w:sz w:val="21"/>
          <w:szCs w:val="21"/>
        </w:rPr>
        <w:t xml:space="preserve">Filling monthly values across daily rows to make a join work fabricates observations the source never published, and corrupts every average and every correlation computed downstream. Conform the grain instead.</w:t>
      </w:r>
    </w:p>
    <w:p>
      <w:pPr>
        <w:pStyle w:val="Heading1"/>
        <w:spacing w:after="160" w:before="360"/>
      </w:pPr>
      <w:r>
        <w:rPr>
          <w:rFonts w:ascii="Times New Roman" w:cs="Times New Roman" w:eastAsia="Times New Roman" w:hAnsi="Times New Roman"/>
          <w:b/>
          <w:bCs/>
          <w:color w:val="1F3864"/>
          <w:sz w:val="30"/>
          <w:szCs w:val="30"/>
        </w:rPr>
        <w:t xml:space="preserve">5. Report Portfolio — One Model, Three Reports</w:t>
      </w:r>
    </w:p>
    <w:p>
      <w:pPr>
        <w:spacing w:after="120" w:line="276"/>
      </w:pPr>
      <w:r>
        <w:rPr>
          <w:rFonts w:ascii="Times New Roman" w:cs="Times New Roman" w:eastAsia="Times New Roman" w:hAnsi="Times New Roman"/>
          <w:sz w:val="22"/>
          <w:szCs w:val="22"/>
        </w:rPr>
        <w:t xml:space="preserve">Fourteen analytical questions do not belong in one report. A single artifact carrying all of them runs past twelve pages, serves three different audiences badly, and is abandoned halfway through by every reviewer who opens it. The work is split into three reports built by live connection against one published semantic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8"/>
        <w:gridCol w:w="2621"/>
        <w:gridCol w:w="3370"/>
      </w:tblGrid>
      <w:tr>
        <w:trPr>
          <w:tblHeader/>
        </w:trPr>
        <w:tc>
          <w:tcPr>
            <w:tcW w:type="dxa" w:w="187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Report</w:t>
            </w:r>
          </w:p>
        </w:tc>
        <w:tc>
          <w:tcPr>
            <w:tcW w:type="dxa" w:w="149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Pages</w:t>
            </w:r>
          </w:p>
        </w:tc>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Audience</w:t>
            </w:r>
          </w:p>
        </w:tc>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Questions Answered</w:t>
            </w:r>
          </w:p>
        </w:tc>
      </w:tr>
      <w:tr>
        <w:trPr>
          <w:cantSplit/>
        </w:trPr>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 Retail Sector Health</w:t>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 (spec 1–3)</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Executive; the general reader</w:t>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Macro backdrop, sector performance, item-level volume, on-premise versus off-premise channel shift</w:t>
            </w:r>
          </w:p>
        </w:tc>
      </w:tr>
      <w:tr>
        <w:trPr>
          <w:cantSplit/>
        </w:trPr>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 Consumer Stress and Sector Rotation</w:t>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 (spec 4–6)</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Macro and sector analyst</w:t>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Is alcohol demand recession-resistant, does the mix shift between item types under stress, e-commerce and warehouse-club share transfer, rate sensitivity by category</w:t>
            </w:r>
          </w:p>
        </w:tc>
      </w:tr>
      <w:tr>
        <w:trPr>
          <w:cantSplit/>
        </w:trPr>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 Assortment and Supplier Analytics</w:t>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 (spec 7–10)</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Merchandising and operations</w:t>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Assortment concentration and long tail, item survival by cohort, supplier concentration, distribution quality, seasonality</w:t>
            </w:r>
          </w:p>
        </w:tc>
      </w:tr>
    </w:tbl>
    <w:p>
      <w:pPr>
        <w:spacing w:after="200" w:before="40"/>
      </w:pPr>
      <w:r>
        <w:rPr>
          <w:rFonts w:ascii="Times New Roman" w:cs="Times New Roman" w:eastAsia="Times New Roman" w:hAnsi="Times New Roman"/>
          <w:i/>
          <w:iCs/>
          <w:color w:val="595959"/>
          <w:sz w:val="19"/>
          <w:szCs w:val="19"/>
        </w:rPr>
        <w:t xml:space="preserve">Table 5.1 — Report portfolio. Spec numbers run 1 through 10 across all three reports, so every visual in the project has a unique identifier.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Times New Roman" w:cs="Times New Roman" w:eastAsia="Times New Roman" w:hAnsi="Times New Roman"/>
                <w:b/>
                <w:bCs/>
                <w:color w:val="1F3864"/>
                <w:sz w:val="22"/>
                <w:szCs w:val="22"/>
              </w:rPr>
              <w:t xml:space="preserve">Why one model and three reports, not three models</w:t>
            </w:r>
          </w:p>
          <w:p>
            <w:pPr>
              <w:spacing w:after="100" w:line="276"/>
            </w:pPr>
            <w:r>
              <w:rPr>
                <w:rFonts w:ascii="Times New Roman" w:cs="Times New Roman" w:eastAsia="Times New Roman" w:hAnsi="Times New Roman"/>
                <w:sz w:val="21"/>
                <w:szCs w:val="21"/>
              </w:rPr>
              <w:t xml:space="preserve">One refresh serves all three reports. Three independent models would mean three gateway connections, three schedules, and three chances to be looking at different numbers in the same meeting.</w:t>
            </w:r>
          </w:p>
          <w:p>
            <w:pPr>
              <w:spacing w:after="0" w:line="276"/>
            </w:pPr>
            <w:r>
              <w:rPr>
                <w:rFonts w:ascii="Times New Roman" w:cs="Times New Roman" w:eastAsia="Times New Roman" w:hAnsi="Times New Roman"/>
                <w:sz w:val="21"/>
                <w:szCs w:val="21"/>
              </w:rPr>
              <w:t xml:space="preserve">One measure library: a correction to Real Sector Sales lands everywhere at once. Anything two reports need lives in SQL or the shared model; a calculated column added inside a live-connected report exists only in that report, which is the divergence this pattern exists to prevent.</w:t>
            </w:r>
          </w:p>
        </w:tc>
      </w:tr>
    </w:tbl>
    <w:p>
      <w:pPr>
        <w:pStyle w:val="Heading2"/>
        <w:spacing w:after="120" w:before="280"/>
      </w:pPr>
      <w:r>
        <w:rPr>
          <w:rFonts w:ascii="Times New Roman" w:cs="Times New Roman" w:eastAsia="Times New Roman" w:hAnsi="Times New Roman"/>
          <w:b/>
          <w:bCs/>
          <w:color w:val="2E5496"/>
          <w:sz w:val="25"/>
          <w:szCs w:val="25"/>
        </w:rPr>
        <w:t xml:space="preserve">5.1 How the Document Set Fits Together</w:t>
      </w:r>
    </w:p>
    <w:p>
      <w:pPr>
        <w:spacing w:after="120" w:line="276"/>
      </w:pPr>
      <w:r>
        <w:rPr>
          <w:rFonts w:ascii="Times New Roman" w:cs="Times New Roman" w:eastAsia="Times New Roman" w:hAnsi="Times New Roman"/>
          <w:sz w:val="22"/>
          <w:szCs w:val="22"/>
        </w:rPr>
        <w:t xml:space="preserve">Seven documents, each doing one job. The fastest way to lose a day on this project is to look for something in the wrong one. Document 00 comes first because nothing else starts until the repository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808"/>
        <w:gridCol w:w="5242"/>
      </w:tblGrid>
      <w:tr>
        <w:trPr>
          <w:tblHeader/>
        </w:trPr>
        <w:tc>
          <w:tcPr>
            <w:tcW w:type="dxa" w:w="131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Doc</w:t>
            </w:r>
          </w:p>
        </w:tc>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Answers</w:t>
            </w:r>
          </w:p>
        </w:tc>
        <w:tc>
          <w:tcPr>
            <w:tcW w:type="dxa" w:w="524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Use it when</w:t>
            </w:r>
          </w:p>
        </w:tc>
      </w:tr>
      <w:tr>
        <w:trPr>
          <w:cantSplit/>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00</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does the work live?</w:t>
            </w:r>
          </w:p>
        </w:tc>
        <w:tc>
          <w:tcPr>
            <w:tcW w:type="dxa" w:w="52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Before anything else. Creating the GitHub repository, cloning it locally, the PBIP workflow, the daily commit loop.</w:t>
            </w:r>
          </w:p>
        </w:tc>
      </w:tr>
      <w:tr>
        <w:trPr>
          <w:cantSplit/>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01</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are we building, and why is it defensible?</w:t>
            </w:r>
          </w:p>
        </w:tc>
        <w:tc>
          <w:tcPr>
            <w:tcW w:type="dxa" w:w="52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This document. Scope, sources, the analytical argument, the page inventory and design rules, limitations.</w:t>
            </w:r>
          </w:p>
        </w:tc>
      </w:tr>
      <w:tr>
        <w:trPr>
          <w:cantSplit/>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02</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How do I get the data in and build the model?</w:t>
            </w:r>
          </w:p>
        </w:tc>
        <w:tc>
          <w:tcPr>
            <w:tcW w:type="dxa" w:w="52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Standing up the warehouse, writing the queries, configuring the model, building all 79 measures, publishing it.</w:t>
            </w:r>
          </w:p>
        </w:tc>
      </w:tr>
      <w:tr>
        <w:trPr>
          <w:cantSplit/>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12 / 13 / 14</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should the reports look like?</w:t>
            </w:r>
          </w:p>
        </w:tc>
        <w:tc>
          <w:tcPr>
            <w:tcW w:type="dxa" w:w="52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Building a page — open the matching mockup on a second screen.</w:t>
            </w:r>
          </w:p>
        </w:tc>
      </w:tr>
      <w:tr>
        <w:trPr>
          <w:cantSplit/>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15</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exactly does this visual show, and how do I build it?</w:t>
            </w:r>
          </w:p>
        </w:tc>
        <w:tc>
          <w:tcPr>
            <w:tcW w:type="dxa" w:w="52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complete specification — type, fields, position, formatting — plus eleven click-by-click patterns. The single source of truth for every visual.</w:t>
            </w:r>
          </w:p>
        </w:tc>
      </w:tr>
      <w:tr>
        <w:trPr>
          <w:cantSplit/>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20</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is this column, and what does this measure do?</w:t>
            </w:r>
          </w:p>
        </w:tc>
        <w:tc>
          <w:tcPr>
            <w:tcW w:type="dxa" w:w="52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Any question about a field, a format, a relationship, or one of the 79 DAX definitions — the filterable copy of what document 02 §8 builds.</w:t>
            </w:r>
          </w:p>
        </w:tc>
      </w:tr>
    </w:tbl>
    <w:p>
      <w:pPr>
        <w:spacing w:after="200" w:before="40"/>
      </w:pPr>
      <w:r>
        <w:rPr>
          <w:rFonts w:ascii="Times New Roman" w:cs="Times New Roman" w:eastAsia="Times New Roman" w:hAnsi="Times New Roman"/>
          <w:i/>
          <w:iCs/>
          <w:color w:val="595959"/>
          <w:sz w:val="19"/>
          <w:szCs w:val="19"/>
        </w:rPr>
        <w:t xml:space="preserve">Table 5.2 — Document set at a glance. Section 9 carries the full register including reserved numbers.</w:t>
      </w:r>
    </w:p>
    <w:p>
      <w:pPr>
        <w:pStyle w:val="Heading1"/>
        <w:spacing w:after="160" w:before="360"/>
      </w:pPr>
      <w:r>
        <w:rPr>
          <w:rFonts w:ascii="Times New Roman" w:cs="Times New Roman" w:eastAsia="Times New Roman" w:hAnsi="Times New Roman"/>
          <w:b/>
          <w:bCs/>
          <w:color w:val="1F3864"/>
          <w:sz w:val="30"/>
          <w:szCs w:val="30"/>
        </w:rPr>
        <w:t xml:space="preserve">6. Report Design</w:t>
      </w:r>
    </w:p>
    <w:p>
      <w:pPr>
        <w:spacing w:after="120" w:line="276"/>
      </w:pPr>
      <w:r>
        <w:rPr>
          <w:rFonts w:ascii="Times New Roman" w:cs="Times New Roman" w:eastAsia="Times New Roman" w:hAnsi="Times New Roman"/>
          <w:sz w:val="22"/>
          <w:szCs w:val="22"/>
        </w:rPr>
        <w:t xml:space="preserve">Canvas 1280 × 720 (16:9). Every page shares a header band carrying the report title, the synced date slicer, and page-navigation buttons. Colour is set by a report theme rather than visual by visual — navy #1F3864 primary, blue #2E74B5 secondary, teal #1B9E8F for real and deflated series, amber #C8860A for markers and thresholds, red #C0392B and green #1E7B34 for conditional extremes, light-gray canvas #FAFAFA.</w:t>
      </w:r>
    </w:p>
    <w:p>
      <w:pPr>
        <w:spacing w:after="120" w:line="276"/>
      </w:pPr>
      <w:r>
        <w:rPr>
          <w:rFonts w:ascii="Times New Roman" w:cs="Times New Roman" w:eastAsia="Times New Roman" w:hAnsi="Times New Roman"/>
          <w:sz w:val="22"/>
          <w:szCs w:val="22"/>
        </w:rPr>
        <w:t xml:space="preserve">Each report carries its own theme file, because Power BI applies exactly one theme JSON per report and themes cannot inherit from one another. All three share an identical palette, page background and text classes; each adds visual defaults for the chart types that report actually uses. The three files live in theme/ and are applied before the first visual is built — a theme changes defaults and does not overwrite a property already set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808"/>
        <w:gridCol w:w="3557"/>
      </w:tblGrid>
      <w:tr>
        <w:trPr>
          <w:tblHeader/>
        </w:trPr>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File</w:t>
            </w:r>
          </w:p>
        </w:tc>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Applied to</w:t>
            </w:r>
          </w:p>
        </w:tc>
        <w:tc>
          <w:tcPr>
            <w:tcW w:type="dxa" w:w="3557"/>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Report-specific defaults it adds</w:t>
            </w:r>
          </w:p>
        </w:tc>
      </w:tr>
      <w:tr>
        <w:trPr>
          <w:cantSplit/>
        </w:trPr>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R1_Retail_Sector_Health.json</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 Macro Environment</w:t>
            </w:r>
          </w:p>
        </w:tc>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Line and combo stroke weights, markers off, KPI card callout sizing</w:t>
            </w:r>
          </w:p>
        </w:tc>
      </w:tr>
      <w:tr>
        <w:trPr>
          <w:cantSplit/>
        </w:trPr>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R2_Consumer_Stress.json</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 Recession Resistance</w:t>
            </w:r>
          </w:p>
        </w:tc>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Diverging matrix scale (red · neutral · green), stacked-area transparency</w:t>
            </w:r>
          </w:p>
        </w:tc>
      </w:tr>
      <w:tr>
        <w:trPr>
          <w:cantSplit/>
        </w:trPr>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R3_Assortment_Supplier.json</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 Assortment Concentration</w:t>
            </w:r>
          </w:p>
        </w:tc>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Scatter bubble sizing and fill, Pareto combo settings, matrix banding</w:t>
            </w:r>
          </w:p>
        </w:tc>
      </w:tr>
    </w:tbl>
    <w:p>
      <w:pPr>
        <w:spacing w:after="200" w:before="40"/>
      </w:pPr>
      <w:r>
        <w:rPr>
          <w:rFonts w:ascii="Times New Roman" w:cs="Times New Roman" w:eastAsia="Times New Roman" w:hAnsi="Times New Roman"/>
          <w:i/>
          <w:iCs/>
          <w:color w:val="595959"/>
          <w:sz w:val="19"/>
          <w:szCs w:val="19"/>
        </w:rPr>
        <w:t xml:space="preserve">Table 6.1 — Report theme files. Document 15 §3.3 lists which properties the theme sets and which are still set by hand.</w:t>
      </w:r>
    </w:p>
    <w:p>
      <w:pPr>
        <w:spacing w:after="120" w:line="276"/>
      </w:pPr>
      <w:r>
        <w:rPr>
          <w:rFonts w:ascii="Times New Roman" w:cs="Times New Roman" w:eastAsia="Times New Roman" w:hAnsi="Times New Roman"/>
          <w:i/>
          <w:iCs/>
          <w:sz w:val="22"/>
          <w:szCs w:val="22"/>
        </w:rPr>
        <w:t xml:space="preserve">This section sets the design rules and lists the pages. Documents 12, 13 and 14 show what the finished pages look like; document 15 carries the complete visual-by-visual specification and the instructions to build it. The spec numbers are identical across all four documents.</w:t>
      </w:r>
    </w:p>
    <w:p>
      <w:pPr>
        <w:pStyle w:val="Heading2"/>
        <w:spacing w:after="120" w:before="280"/>
      </w:pPr>
      <w:r>
        <w:rPr>
          <w:rFonts w:ascii="Times New Roman" w:cs="Times New Roman" w:eastAsia="Times New Roman" w:hAnsi="Times New Roman"/>
          <w:b/>
          <w:bCs/>
          <w:color w:val="2E5496"/>
          <w:sz w:val="25"/>
          <w:szCs w:val="25"/>
        </w:rPr>
        <w:t xml:space="preserve">6.1 Power BI Buildability Rules</w:t>
      </w:r>
    </w:p>
    <w:p>
      <w:pPr>
        <w:spacing w:after="120" w:line="276"/>
      </w:pPr>
      <w:r>
        <w:rPr>
          <w:rFonts w:ascii="Times New Roman" w:cs="Times New Roman" w:eastAsia="Times New Roman" w:hAnsi="Times New Roman"/>
          <w:sz w:val="22"/>
          <w:szCs w:val="22"/>
        </w:rPr>
        <w:t xml:space="preserve">Every visual in this project is buildable with a native Power BI visual and no custom or AppSource import. Three constraints shaped the design and are recorded here because each one rules out an approach that would otherwise look reasonable on a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Constraint</w:t>
            </w:r>
          </w:p>
        </w:tc>
        <w:tc>
          <w:tcPr>
            <w:tcW w:type="dxa" w:w="692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Consequence for this design</w:t>
            </w:r>
          </w:p>
        </w:tc>
      </w:tr>
      <w:tr>
        <w:trPr>
          <w:cantSplit/>
        </w:trPr>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Small multiples are not available on scatter charts</w:t>
            </w:r>
          </w:p>
        </w:tc>
        <w:tc>
          <w:tcPr>
            <w:tcW w:type="dxa" w:w="692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Supported on line, bar, column and area only. Where a per-category scatter is wanted (spec 4.6), the page uses a row of four separate scatter visuals each carrying a visual-level filter, not a small-multiples scatter.</w:t>
            </w:r>
          </w:p>
        </w:tc>
      </w:tr>
      <w:tr>
        <w:trPr>
          <w:cantSplit/>
        </w:trPr>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X-axis constant lines require a continuous axis</w:t>
            </w:r>
          </w:p>
        </w:tc>
        <w:tc>
          <w:tcPr>
            <w:tcW w:type="dxa" w:w="692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line chart with a text X axis such as MonthYear offers no X-axis constant line. Every visual that marks March 2020 (specs 3.9 to 3.12, and 6.7) sets the X axis to DimDate[Date] on Continuous, which makes the Analytics-pane X-Axis Constant Line available.</w:t>
            </w:r>
          </w:p>
        </w:tc>
      </w:tr>
      <w:tr>
        <w:trPr>
          <w:cantSplit/>
        </w:trPr>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There is no native histogram visual</w:t>
            </w:r>
          </w:p>
        </w:tc>
        <w:tc>
          <w:tcPr>
            <w:tcW w:type="dxa" w:w="692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Spec 8.5 is built by creating a bin group on DimItem[MonthsActive] (right-click the field, New group, Bin, size 3) and plotting Count of ItemKey against the resulting bin on a clustered column chart.</w:t>
            </w:r>
          </w:p>
        </w:tc>
      </w:tr>
    </w:tbl>
    <w:p>
      <w:pPr>
        <w:spacing w:after="200" w:before="40"/>
      </w:pPr>
      <w:r>
        <w:rPr>
          <w:rFonts w:ascii="Times New Roman" w:cs="Times New Roman" w:eastAsia="Times New Roman" w:hAnsi="Times New Roman"/>
          <w:i/>
          <w:iCs/>
          <w:color w:val="595959"/>
          <w:sz w:val="19"/>
          <w:szCs w:val="19"/>
        </w:rPr>
        <w:t xml:space="preserve">Table 6.2 — Native-visual constraints that shaped the design. Document 15 §12 carries the Microsoft documentation supporting each.</w:t>
      </w:r>
    </w:p>
    <w:p>
      <w:pPr>
        <w:spacing w:after="120" w:line="276"/>
      </w:pPr>
      <w:r>
        <w:rPr>
          <w:rFonts w:ascii="Times New Roman" w:cs="Times New Roman" w:eastAsia="Times New Roman" w:hAnsi="Times New Roman"/>
          <w:sz w:val="22"/>
          <w:szCs w:val="22"/>
        </w:rPr>
        <w:t xml:space="preserve">Beyond these three, the design uses only cards with sparklines, line, clustered bar, clustered and stacked column, stacked area, line-and-clustered-column combination, scatter with Analytics-pane trend and quadrant lines, matrix with conditional formatting, table, numeric range slicer, and small multiples on column and line charts. Reference lines, Top N visual filters, drillthrough, bookmarks, sync slicers and tooltip pages are all native behaviour.</w:t>
      </w:r>
    </w:p>
    <w:p>
      <w:pPr>
        <w:pStyle w:val="Heading2"/>
        <w:spacing w:after="120" w:before="280"/>
      </w:pPr>
      <w:r>
        <w:rPr>
          <w:rFonts w:ascii="Times New Roman" w:cs="Times New Roman" w:eastAsia="Times New Roman" w:hAnsi="Times New Roman"/>
          <w:b/>
          <w:bCs/>
          <w:color w:val="2E5496"/>
          <w:sz w:val="25"/>
          <w:szCs w:val="25"/>
        </w:rPr>
        <w:t xml:space="preserve">6.2 Page Inventory</w:t>
      </w:r>
    </w:p>
    <w:p>
      <w:pPr>
        <w:spacing w:after="120" w:line="276"/>
      </w:pPr>
      <w:r>
        <w:rPr>
          <w:rFonts w:ascii="Times New Roman" w:cs="Times New Roman" w:eastAsia="Times New Roman" w:hAnsi="Times New Roman"/>
          <w:sz w:val="22"/>
          <w:szCs w:val="22"/>
        </w:rPr>
        <w:t xml:space="preserve">Ten pages across three reports. Spec numbers run 1 through 10 so that every visual in the project has a unique identifier, used identically in this document, in the mockups and in document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936"/>
        <w:gridCol w:w="2059"/>
        <w:gridCol w:w="3744"/>
        <w:gridCol w:w="842"/>
        <w:gridCol w:w="1030"/>
      </w:tblGrid>
      <w:tr>
        <w:trPr>
          <w:tblHeader/>
        </w:trPr>
        <w:tc>
          <w:tcPr>
            <w:tcW w:type="dxa" w:w="74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Page</w:t>
            </w:r>
          </w:p>
        </w:tc>
        <w:tc>
          <w:tcPr>
            <w:tcW w:type="dxa" w:w="93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Report</w:t>
            </w:r>
          </w:p>
        </w:tc>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Title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Question it answers</w:t>
            </w:r>
          </w:p>
        </w:tc>
        <w:tc>
          <w:tcPr>
            <w:tcW w:type="dxa" w:w="84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Visuals</w:t>
            </w:r>
          </w:p>
        </w:tc>
        <w:tc>
          <w:tcPr>
            <w:tcW w:type="dxa" w:w="103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Specs</w:t>
            </w:r>
          </w:p>
        </w:tc>
      </w:tr>
      <w:tr>
        <w:trPr>
          <w:cantSplit/>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w:t>
            </w:r>
          </w:p>
        </w:tc>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Macro Environment</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is the economic backdrop for consumer spending?</w:t>
            </w:r>
          </w:p>
        </w:tc>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w:t>
            </w:r>
          </w:p>
        </w:tc>
        <w:tc>
          <w:tcPr>
            <w:tcW w:type="dxa" w:w="103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1.1 – 1.8</w:t>
            </w:r>
          </w:p>
        </w:tc>
      </w:tr>
      <w:tr>
        <w:trPr>
          <w:cantSplit/>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w:t>
            </w:r>
          </w:p>
        </w:tc>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Sector Performance</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Which kinds of business are gaining or losing share, and how much of that is price?</w:t>
            </w:r>
          </w:p>
        </w:tc>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6</w:t>
            </w:r>
          </w:p>
        </w:tc>
        <w:tc>
          <w:tcPr>
            <w:tcW w:type="dxa" w:w="103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2.1 – 2.6</w:t>
            </w:r>
          </w:p>
        </w:tc>
      </w:tr>
      <w:tr>
        <w:trPr>
          <w:cantSplit/>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w:t>
            </w:r>
          </w:p>
        </w:tc>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Item-Level Volume and Channel Shift</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Does physical volume agree with the dollar headline, and where did consumption happen?</w:t>
            </w:r>
          </w:p>
        </w:tc>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12</w:t>
            </w:r>
          </w:p>
        </w:tc>
        <w:tc>
          <w:tcPr>
            <w:tcW w:type="dxa" w:w="103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3.1 – 3.12</w:t>
            </w:r>
          </w:p>
        </w:tc>
      </w:tr>
      <w:tr>
        <w:trPr>
          <w:cantSplit/>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w:t>
            </w:r>
          </w:p>
        </w:tc>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Is Alcohol Recession-Resistant?</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Does volume hold when unemployment rises, sentiment falls and saving climbs?</w:t>
            </w:r>
          </w:p>
        </w:tc>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12</w:t>
            </w:r>
          </w:p>
        </w:tc>
        <w:tc>
          <w:tcPr>
            <w:tcW w:type="dxa" w:w="103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4.1 – 4.9</w:t>
            </w:r>
          </w:p>
        </w:tc>
      </w:tr>
      <w:tr>
        <w:trPr>
          <w:cantSplit/>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5</w:t>
            </w:r>
          </w:p>
        </w:tc>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Mix Shift Under Stress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Does the composition move between item types while the total holds?</w:t>
            </w:r>
          </w:p>
        </w:tc>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w:t>
            </w:r>
          </w:p>
        </w:tc>
        <w:tc>
          <w:tcPr>
            <w:tcW w:type="dxa" w:w="103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5.1 – 5.8</w:t>
            </w:r>
          </w:p>
        </w:tc>
      </w:tr>
      <w:tr>
        <w:trPr>
          <w:cantSplit/>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6</w:t>
            </w:r>
          </w:p>
        </w:tc>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Sector Rotation and Rate Sensitivity</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has share moved, and which categories are rate-sensitive?</w:t>
            </w:r>
          </w:p>
        </w:tc>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9</w:t>
            </w:r>
          </w:p>
        </w:tc>
        <w:tc>
          <w:tcPr>
            <w:tcW w:type="dxa" w:w="103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6.1 – 6.9</w:t>
            </w:r>
          </w:p>
        </w:tc>
      </w:tr>
      <w:tr>
        <w:trPr>
          <w:cantSplit/>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7</w:t>
            </w:r>
          </w:p>
        </w:tc>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Assortment Concentration</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How few items carry the volume, and is the tail lengthening?</w:t>
            </w:r>
          </w:p>
        </w:tc>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w:t>
            </w:r>
          </w:p>
        </w:tc>
        <w:tc>
          <w:tcPr>
            <w:tcW w:type="dxa" w:w="103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7.1 – 7.8</w:t>
            </w:r>
          </w:p>
        </w:tc>
      </w:tr>
      <w:tr>
        <w:trPr>
          <w:cantSplit/>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w:t>
            </w:r>
          </w:p>
        </w:tc>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Item Survival by Cohort</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share of new items survive, and is that improving?</w:t>
            </w:r>
          </w:p>
        </w:tc>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w:t>
            </w:r>
          </w:p>
        </w:tc>
        <w:tc>
          <w:tcPr>
            <w:tcW w:type="dxa" w:w="103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8.1 – 8.8</w:t>
            </w:r>
          </w:p>
        </w:tc>
      </w:tr>
      <w:tr>
        <w:trPr>
          <w:cantSplit/>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9</w:t>
            </w:r>
          </w:p>
        </w:tc>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Supplier Concentration and Distribution Quality</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How concentrated is the supplier base, and where does distribution misfire?</w:t>
            </w:r>
          </w:p>
        </w:tc>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w:t>
            </w:r>
          </w:p>
        </w:tc>
        <w:tc>
          <w:tcPr>
            <w:tcW w:type="dxa" w:w="103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9.1 – 9.8</w:t>
            </w:r>
          </w:p>
        </w:tc>
      </w:tr>
      <w:tr>
        <w:trPr>
          <w:cantSplit/>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10</w:t>
            </w:r>
          </w:p>
        </w:tc>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Seasonality</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How strong is seasonality, and is its amplitude changing?</w:t>
            </w:r>
          </w:p>
        </w:tc>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w:t>
            </w:r>
          </w:p>
        </w:tc>
        <w:tc>
          <w:tcPr>
            <w:tcW w:type="dxa" w:w="103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10.1 – 10.8</w:t>
            </w:r>
          </w:p>
        </w:tc>
      </w:tr>
    </w:tbl>
    <w:p>
      <w:pPr>
        <w:spacing w:after="200" w:before="40"/>
      </w:pPr>
      <w:r>
        <w:rPr>
          <w:rFonts w:ascii="Times New Roman" w:cs="Times New Roman" w:eastAsia="Times New Roman" w:hAnsi="Times New Roman"/>
          <w:i/>
          <w:iCs/>
          <w:color w:val="595959"/>
          <w:sz w:val="19"/>
          <w:szCs w:val="19"/>
        </w:rPr>
        <w:t xml:space="preserve">Table 6.3 — Page inventory. Visual counts include the four separate scatter panels that together satisfy spec 4.6.</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The full specification lives in document 15.  </w:t>
      </w:r>
      <w:r>
        <w:rPr>
          <w:rFonts w:ascii="Times New Roman" w:cs="Times New Roman" w:eastAsia="Times New Roman" w:hAnsi="Times New Roman"/>
          <w:sz w:val="21"/>
          <w:szCs w:val="21"/>
        </w:rPr>
        <w:t xml:space="preserve">Type, fields, exact canvas position and formatting for all eighty-seven visuals are in document 15 §5 to §7, one row per visual, alongside the click-by-click pattern that builds it. That was previously split across two documents, which meant every visual was described twice and a change had to be made in both. It is now stated once.</w:t>
      </w:r>
    </w:p>
    <w:p>
      <w:pPr>
        <w:pStyle w:val="Heading1"/>
        <w:spacing w:after="160" w:before="360"/>
      </w:pPr>
      <w:r>
        <w:rPr>
          <w:rFonts w:ascii="Times New Roman" w:cs="Times New Roman" w:eastAsia="Times New Roman" w:hAnsi="Times New Roman"/>
          <w:b/>
          <w:bCs/>
          <w:color w:val="1F3864"/>
          <w:sz w:val="30"/>
          <w:szCs w:val="30"/>
        </w:rPr>
        <w:t xml:space="preserve">7.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246"/>
        <w:gridCol w:w="6271"/>
      </w:tblGrid>
      <w:tr>
        <w:trPr>
          <w:tblHeader/>
        </w:trPr>
        <w:tc>
          <w:tcPr>
            <w:tcW w:type="dxa" w:w="84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Block</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Deliverable</w:t>
            </w:r>
          </w:p>
        </w:tc>
        <w:tc>
          <w:tcPr>
            <w:tcW w:type="dxa" w:w="627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Key tasks</w:t>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0</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Repository</w:t>
            </w:r>
          </w:p>
        </w:tc>
        <w:tc>
          <w:tcPr>
            <w:tcW w:type="dxa" w:w="627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Create the GitHub repository, add the .gitignore, create the folder skeleton, then clone to X:\retail-sector-health. Everything in every block below is saved inside that clone. Document 00 §4 and §5.</w:t>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Warehouse</w:t>
            </w:r>
          </w:p>
        </w:tc>
        <w:tc>
          <w:tcPr>
            <w:tcW w:type="dxa" w:w="627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Extract the county CSV; staging table; profiling queries; dimensions; fact table and load procedure; item lifecycle columns; columnstore index; presentation views</w:t>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Shared model</w:t>
            </w:r>
          </w:p>
        </w:tc>
        <w:tc>
          <w:tcPr>
            <w:tcW w:type="dxa" w:w="627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Census and FRED queries with parameters; Excel reference queries; relationships; monthly DimDate marked as date table; hide foreign keys; set formats</w:t>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Measure library</w:t>
            </w:r>
          </w:p>
        </w:tc>
        <w:tc>
          <w:tcPr>
            <w:tcW w:type="dxa" w:w="627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Measures in display folders: Macro, Sector, Micro, Cross-Tier, Channel, Elasticity, Rotation, Assortment, Supplier, Seasonality. Validate against the sanity-check facts in §2</w:t>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Publish model</w:t>
            </w:r>
          </w:p>
        </w:tc>
        <w:tc>
          <w:tcPr>
            <w:tcW w:type="dxa" w:w="627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Publish RetailEconomics_Model.pbix; install personal gateway; configure credentials and refresh schedule; confirm all four sources refresh</w:t>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5</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(specs 1–3)</w:t>
            </w:r>
          </w:p>
        </w:tc>
        <w:tc>
          <w:tcPr>
            <w:tcW w:type="dxa" w:w="627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Theme JSON; live connection; three pages in order; channel panel last</w:t>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6</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(specs 4–6)</w:t>
            </w:r>
          </w:p>
        </w:tc>
        <w:tc>
          <w:tcPr>
            <w:tcW w:type="dxa" w:w="627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Live connection; three pages; four-scatter row on spec 4.6</w:t>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7</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(specs 7–10)</w:t>
            </w:r>
          </w:p>
        </w:tc>
        <w:tc>
          <w:tcPr>
            <w:tcW w:type="dxa" w:w="627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Live connection; four pages; bin group for spec 8.5</w:t>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Polish and packaging</w:t>
            </w:r>
          </w:p>
        </w:tc>
        <w:tc>
          <w:tcPr>
            <w:tcW w:type="dxa" w:w="627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Sync slicers; reset bookmarks; drillthrough; tooltip pages; alt text and tab order; README; screenshots; validation results</w:t>
            </w:r>
          </w:p>
        </w:tc>
      </w:tr>
    </w:tbl>
    <w:p>
      <w:pPr>
        <w:spacing w:after="120" w:line="276"/>
      </w:pPr>
      <w:r>
        <w:rPr>
          <w:rFonts w:ascii="Times New Roman" w:cs="Times New Roman" w:eastAsia="Times New Roman" w:hAnsi="Times New Roman"/>
          <w:b/>
          <w:bCs/>
          <w:sz w:val="22"/>
          <w:szCs w:val="22"/>
        </w:rPr>
        <w:t xml:space="preserve">Block 0 is not optional and not deferrable. </w:t>
      </w:r>
      <w:r>
        <w:rPr>
          <w:rFonts w:ascii="Times New Roman" w:cs="Times New Roman" w:eastAsia="Times New Roman" w:hAnsi="Times New Roman"/>
          <w:sz w:val="22"/>
          <w:szCs w:val="22"/>
        </w:rPr>
        <w:t xml:space="preserve">Work produced outside the clone has to be relocated later, and its history collapses into a single bulk commit — which is the opposite of what a reviewer opens a repository to see. </w:t>
      </w:r>
      <w:r>
        <w:rPr>
          <w:rFonts w:ascii="Times New Roman" w:cs="Times New Roman" w:eastAsia="Times New Roman" w:hAnsi="Times New Roman"/>
          <w:b/>
          <w:bCs/>
          <w:sz w:val="22"/>
          <w:szCs w:val="22"/>
        </w:rPr>
        <w:t xml:space="preserve">Scope guardrails: </w:t>
      </w:r>
      <w:r>
        <w:rPr>
          <w:rFonts w:ascii="Times New Roman" w:cs="Times New Roman" w:eastAsia="Times New Roman" w:hAnsi="Times New Roman"/>
          <w:sz w:val="22"/>
          <w:szCs w:val="22"/>
        </w:rPr>
        <w:t xml:space="preserve">if Block 1 is at risk, load the county data without the lifecycle columns and drop R3 Page 2 (specs 8.1–8.8) entirely rather than shipping half a cohort analysis. If Block 7 is at risk, drop spec 10.7 first, then 9.7. Never cut the channel panel (3.9–3.12) or the cross-tier comparison (3.5) — they are the differentiators, and without them this is three disconnected reports rather than one argument.</w:t>
      </w:r>
    </w:p>
    <w:p>
      <w:pPr>
        <w:pStyle w:val="Heading1"/>
        <w:spacing w:after="160" w:before="360"/>
      </w:pPr>
      <w:r>
        <w:rPr>
          <w:rFonts w:ascii="Times New Roman" w:cs="Times New Roman" w:eastAsia="Times New Roman" w:hAnsi="Times New Roman"/>
          <w:b/>
          <w:bCs/>
          <w:color w:val="1F3864"/>
          <w:sz w:val="30"/>
          <w:szCs w:val="30"/>
        </w:rPr>
        <w:t xml:space="preserve">8. Methodology and Limitations</w:t>
      </w:r>
    </w:p>
    <w:p>
      <w:pPr>
        <w:pStyle w:val="Heading2"/>
        <w:spacing w:after="120" w:before="280"/>
      </w:pPr>
      <w:r>
        <w:rPr>
          <w:rFonts w:ascii="Times New Roman" w:cs="Times New Roman" w:eastAsia="Times New Roman" w:hAnsi="Times New Roman"/>
          <w:b/>
          <w:bCs/>
          <w:color w:val="2E5496"/>
          <w:sz w:val="25"/>
          <w:szCs w:val="25"/>
        </w:rPr>
        <w:t xml:space="preserve">8.1 The Cases-to-Dollars Reconciliation</w:t>
      </w:r>
    </w:p>
    <w:p>
      <w:pPr>
        <w:spacing w:after="120" w:line="276"/>
      </w:pPr>
      <w:r>
        <w:rPr>
          <w:rFonts w:ascii="Times New Roman" w:cs="Times New Roman" w:eastAsia="Times New Roman" w:hAnsi="Times New Roman"/>
          <w:sz w:val="22"/>
          <w:szCs w:val="22"/>
        </w:rPr>
        <w:t xml:space="preserve">Tier 3 measures cases. Tiers 1 and 2 measure dollars. The reconciliation rule is stated once here and enforced by a validation check before publication.</w:t>
      </w:r>
    </w:p>
    <w:p>
      <w:pPr>
        <w:pStyle w:val="ListParagraph"/>
        <w:numPr>
          <w:ilvl w:val="0"/>
          <w:numId w:val="2"/>
        </w:numPr>
        <w:spacing w:after="60" w:line="276"/>
      </w:pPr>
      <w:r>
        <w:rPr>
          <w:rFonts w:ascii="Times New Roman" w:cs="Times New Roman" w:eastAsia="Times New Roman" w:hAnsi="Times New Roman"/>
          <w:sz w:val="22"/>
          <w:szCs w:val="22"/>
        </w:rPr>
        <w:t xml:space="preserve">Total Cases YoY % may be compared to National Liquor Stores Real YoY % and to nothing else. The national series is deflated by CPI before it meets the local series, because setting a dollar growth rate against a volume growth rate without removing price attributes inflation to the local market.</w:t>
      </w:r>
    </w:p>
    <w:p>
      <w:pPr>
        <w:pStyle w:val="ListParagraph"/>
        <w:numPr>
          <w:ilvl w:val="0"/>
          <w:numId w:val="2"/>
        </w:numPr>
        <w:spacing w:after="60" w:line="276"/>
      </w:pPr>
      <w:r>
        <w:rPr>
          <w:rFonts w:ascii="Times New Roman" w:cs="Times New Roman" w:eastAsia="Times New Roman" w:hAnsi="Times New Roman"/>
          <w:sz w:val="22"/>
          <w:szCs w:val="22"/>
        </w:rPr>
        <w:t xml:space="preserve">The wedge between national nominal and national real growth is reported alongside as Implied Price Contribution, so the reader can see how much of the dollar headline was price rather than quantity.</w:t>
      </w:r>
    </w:p>
    <w:p>
      <w:pPr>
        <w:pStyle w:val="ListParagraph"/>
        <w:numPr>
          <w:ilvl w:val="0"/>
          <w:numId w:val="2"/>
        </w:numPr>
        <w:spacing w:after="60" w:line="276"/>
      </w:pPr>
      <w:r>
        <w:rPr>
          <w:rFonts w:ascii="Times New Roman" w:cs="Times New Roman" w:eastAsia="Times New Roman" w:hAnsi="Times New Roman"/>
          <w:sz w:val="22"/>
          <w:szCs w:val="22"/>
        </w:rPr>
        <w:t xml:space="preserve">Placing a case count beside a nominal dollar series — on one axis, in one matrix, or in one sentence — is the most consequential error available in this model, and it is invisible once the visual is built.</w:t>
      </w:r>
    </w:p>
    <w:p>
      <w:pPr>
        <w:pStyle w:val="Heading2"/>
        <w:spacing w:after="120" w:before="280"/>
      </w:pPr>
      <w:r>
        <w:rPr>
          <w:rFonts w:ascii="Times New Roman" w:cs="Times New Roman" w:eastAsia="Times New Roman" w:hAnsi="Times New Roman"/>
          <w:b/>
          <w:bCs/>
          <w:color w:val="2E5496"/>
          <w:sz w:val="25"/>
          <w:szCs w:val="25"/>
        </w:rPr>
        <w:t xml:space="preserve">8.2 Limitations</w:t>
      </w:r>
    </w:p>
    <w:p>
      <w:pPr>
        <w:pStyle w:val="ListParagraph"/>
        <w:numPr>
          <w:ilvl w:val="0"/>
          <w:numId w:val="3"/>
        </w:numPr>
        <w:spacing w:after="60" w:line="276"/>
      </w:pPr>
      <w:r>
        <w:rPr>
          <w:rFonts w:ascii="Times New Roman" w:cs="Times New Roman" w:eastAsia="Times New Roman" w:hAnsi="Times New Roman"/>
          <w:sz w:val="22"/>
          <w:szCs w:val="22"/>
        </w:rPr>
        <w:t xml:space="preserve">Tier 3 is not a national sample. It covers alcoholic beverage distribution in one Maryland county under a county-controlled distribution model. It is used for item-level grain, not for national inference, and every comparison to the national series is labelled illustrative on the page.</w:t>
      </w:r>
    </w:p>
    <w:p>
      <w:pPr>
        <w:pStyle w:val="ListParagraph"/>
        <w:numPr>
          <w:ilvl w:val="0"/>
          <w:numId w:val="3"/>
        </w:numPr>
        <w:spacing w:after="60" w:line="276"/>
      </w:pPr>
      <w:r>
        <w:rPr>
          <w:rFonts w:ascii="Times New Roman" w:cs="Times New Roman" w:eastAsia="Times New Roman" w:hAnsi="Times New Roman"/>
          <w:sz w:val="22"/>
          <w:szCs w:val="22"/>
        </w:rPr>
        <w:t xml:space="preserve">Cases are not comparable across item types. A case of beer, a case of wine and a keg differ in contained volume, in value and in units per case. Totals summed across item types are mix-weighted quantities, not physical totals.</w:t>
      </w:r>
    </w:p>
    <w:p>
      <w:pPr>
        <w:pStyle w:val="ListParagraph"/>
        <w:numPr>
          <w:ilvl w:val="0"/>
          <w:numId w:val="3"/>
        </w:numPr>
        <w:spacing w:after="60" w:line="276"/>
      </w:pPr>
      <w:r>
        <w:rPr>
          <w:rFonts w:ascii="Times New Roman" w:cs="Times New Roman" w:eastAsia="Times New Roman" w:hAnsi="Times New Roman"/>
          <w:sz w:val="22"/>
          <w:szCs w:val="22"/>
        </w:rPr>
        <w:t xml:space="preserve">Regression coefficients are descriptive, not inferential. The slopes and correlations are ordinary least squares fits over short monthly series with no standard errors, no confidence intervals, no lag structure and no control variables. They indicate direction and rough magnitude. Reporting one as a demand elasticity would misstate what was measured.</w:t>
      </w:r>
    </w:p>
    <w:p>
      <w:pPr>
        <w:pStyle w:val="ListParagraph"/>
        <w:numPr>
          <w:ilvl w:val="0"/>
          <w:numId w:val="3"/>
        </w:numPr>
        <w:spacing w:after="60" w:line="276"/>
      </w:pPr>
      <w:r>
        <w:rPr>
          <w:rFonts w:ascii="Times New Roman" w:cs="Times New Roman" w:eastAsia="Times New Roman" w:hAnsi="Times New Roman"/>
          <w:sz w:val="22"/>
          <w:szCs w:val="22"/>
        </w:rPr>
        <w:t xml:space="preserve">Census advance estimates are revised. MARTS advance figures are revised in MRTS, benchmarked annually to ARTS and every five years to the Economic Census. Figures quoted from a given vintage will change.</w:t>
      </w:r>
    </w:p>
    <w:p>
      <w:pPr>
        <w:pStyle w:val="ListParagraph"/>
        <w:numPr>
          <w:ilvl w:val="0"/>
          <w:numId w:val="3"/>
        </w:numPr>
        <w:spacing w:after="60" w:line="276"/>
      </w:pPr>
      <w:r>
        <w:rPr>
          <w:rFonts w:ascii="Times New Roman" w:cs="Times New Roman" w:eastAsia="Times New Roman" w:hAnsi="Times New Roman"/>
          <w:sz w:val="22"/>
          <w:szCs w:val="22"/>
        </w:rPr>
        <w:t xml:space="preserve">Correlation is not causation, and level correlation is not evidence at all. Every cross-series comparison is computed on year-over-year percentage changes for this reason.</w:t>
      </w:r>
    </w:p>
    <w:p>
      <w:pPr>
        <w:pStyle w:val="ListParagraph"/>
        <w:numPr>
          <w:ilvl w:val="0"/>
          <w:numId w:val="3"/>
        </w:numPr>
        <w:spacing w:after="60" w:line="276"/>
      </w:pPr>
      <w:r>
        <w:rPr>
          <w:rFonts w:ascii="Times New Roman" w:cs="Times New Roman" w:eastAsia="Times New Roman" w:hAnsi="Times New Roman"/>
          <w:sz w:val="22"/>
          <w:szCs w:val="22"/>
        </w:rPr>
        <w:t xml:space="preserve">The channel split reflects the county distribution channel, not consumer behaviour directly. Warehouse movement to licensees carries licensee inventory decisions, and a county policy change would appear as though it were a demand change. Spec 3.12 is the check that distinguishes the two.</w:t>
      </w:r>
    </w:p>
    <w:p>
      <w:pPr>
        <w:pStyle w:val="ListParagraph"/>
        <w:numPr>
          <w:ilvl w:val="0"/>
          <w:numId w:val="3"/>
        </w:numPr>
        <w:spacing w:after="60" w:line="276"/>
      </w:pPr>
      <w:r>
        <w:rPr>
          <w:rFonts w:ascii="Times New Roman" w:cs="Times New Roman" w:eastAsia="Times New Roman" w:hAnsi="Times New Roman"/>
          <w:sz w:val="22"/>
          <w:szCs w:val="22"/>
        </w:rPr>
        <w:t xml:space="preserve">Seasonal factors are ratio-to-average, not X-13ARIMA-SEATS. The comparison to the national adjustment is descriptive.</w:t>
      </w:r>
    </w:p>
    <w:p>
      <w:pPr>
        <w:pStyle w:val="ListParagraph"/>
        <w:numPr>
          <w:ilvl w:val="0"/>
          <w:numId w:val="3"/>
        </w:numPr>
        <w:spacing w:after="60" w:line="276"/>
      </w:pPr>
      <w:r>
        <w:rPr>
          <w:rFonts w:ascii="Times New Roman" w:cs="Times New Roman" w:eastAsia="Times New Roman" w:hAnsi="Times New Roman"/>
          <w:sz w:val="22"/>
          <w:szCs w:val="22"/>
        </w:rPr>
        <w:t xml:space="preserve">The 2017 item cohort is left-censored, and the final loaded month distorts discontinuation counts. Both are handled in the measures and labelled on the page.</w:t>
      </w:r>
    </w:p>
    <w:p>
      <w:pPr>
        <w:pStyle w:val="Heading2"/>
        <w:spacing w:after="120" w:before="280"/>
      </w:pPr>
      <w:r>
        <w:rPr>
          <w:rFonts w:ascii="Times New Roman" w:cs="Times New Roman" w:eastAsia="Times New Roman" w:hAnsi="Times New Roman"/>
          <w:b/>
          <w:bCs/>
          <w:color w:val="2E5496"/>
          <w:sz w:val="25"/>
          <w:szCs w:val="25"/>
        </w:rPr>
        <w:t xml:space="preserve">8.3 Future Enhancements</w:t>
      </w:r>
    </w:p>
    <w:p>
      <w:pPr>
        <w:spacing w:after="120" w:line="276"/>
      </w:pPr>
      <w:r>
        <w:rPr>
          <w:rFonts w:ascii="Times New Roman" w:cs="Times New Roman" w:eastAsia="Times New Roman" w:hAnsi="Times New Roman"/>
          <w:sz w:val="22"/>
          <w:szCs w:val="22"/>
        </w:rPr>
        <w:t xml:space="preserve">Listed in the README at zero build cost, and each is an honest next step rather than a wish:</w:t>
      </w:r>
    </w:p>
    <w:p>
      <w:pPr>
        <w:pStyle w:val="ListParagraph"/>
        <w:numPr>
          <w:ilvl w:val="0"/>
          <w:numId w:val="2"/>
        </w:numPr>
        <w:spacing w:after="60" w:line="276"/>
      </w:pPr>
      <w:r>
        <w:rPr>
          <w:rFonts w:ascii="Times New Roman" w:cs="Times New Roman" w:eastAsia="Times New Roman" w:hAnsi="Times New Roman"/>
          <w:sz w:val="22"/>
          <w:szCs w:val="22"/>
        </w:rPr>
        <w:t xml:space="preserve">Lagged and lead-lag cross-correlation for the elasticity question — the correct next step, and one DAX is a poor host for. The honest implementation is Python against the same SQL Server tables.</w:t>
      </w:r>
    </w:p>
    <w:p>
      <w:pPr>
        <w:pStyle w:val="ListParagraph"/>
        <w:numPr>
          <w:ilvl w:val="0"/>
          <w:numId w:val="2"/>
        </w:numPr>
        <w:spacing w:after="60" w:line="276"/>
      </w:pPr>
      <w:r>
        <w:rPr>
          <w:rFonts w:ascii="Times New Roman" w:cs="Times New Roman" w:eastAsia="Times New Roman" w:hAnsi="Times New Roman"/>
          <w:sz w:val="22"/>
          <w:szCs w:val="22"/>
        </w:rPr>
        <w:t xml:space="preserve">Incremental refresh with RangeStart and RangeEnd if the warehouse grows by an order of magnitude.</w:t>
      </w:r>
    </w:p>
    <w:p>
      <w:pPr>
        <w:pStyle w:val="ListParagraph"/>
        <w:numPr>
          <w:ilvl w:val="0"/>
          <w:numId w:val="2"/>
        </w:numPr>
        <w:spacing w:after="60" w:line="276"/>
      </w:pPr>
      <w:r>
        <w:rPr>
          <w:rFonts w:ascii="Times New Roman" w:cs="Times New Roman" w:eastAsia="Times New Roman" w:hAnsi="Times New Roman"/>
          <w:sz w:val="22"/>
          <w:szCs w:val="22"/>
        </w:rPr>
        <w:t xml:space="preserve">Row-level security by item type, and a deployment pipeline across Dev, Test and Production workspaces.</w:t>
      </w:r>
    </w:p>
    <w:p>
      <w:pPr>
        <w:pStyle w:val="ListParagraph"/>
        <w:numPr>
          <w:ilvl w:val="0"/>
          <w:numId w:val="2"/>
        </w:numPr>
        <w:spacing w:after="60" w:line="276"/>
      </w:pPr>
      <w:r>
        <w:rPr>
          <w:rFonts w:ascii="Times New Roman" w:cs="Times New Roman" w:eastAsia="Times New Roman" w:hAnsi="Times New Roman"/>
          <w:sz w:val="22"/>
          <w:szCs w:val="22"/>
        </w:rPr>
        <w:t xml:space="preserve">Fabric Git integration in place of the GitHub Desktop loop, once capacity is available — see document 00 §10.</w:t>
      </w:r>
    </w:p>
    <w:p>
      <w:pPr>
        <w:pStyle w:val="ListParagraph"/>
        <w:numPr>
          <w:ilvl w:val="0"/>
          <w:numId w:val="2"/>
        </w:numPr>
        <w:spacing w:after="60" w:line="276"/>
      </w:pPr>
      <w:r>
        <w:rPr>
          <w:rFonts w:ascii="Times New Roman" w:cs="Times New Roman" w:eastAsia="Times New Roman" w:hAnsi="Times New Roman"/>
          <w:sz w:val="22"/>
          <w:szCs w:val="22"/>
        </w:rPr>
        <w:t xml:space="preserve">Census vintage handling via ALFRED, so revisions to the advance estimate can be shown rather than silently absorbed.</w:t>
      </w:r>
    </w:p>
    <w:p>
      <w:pPr>
        <w:pStyle w:val="Heading1"/>
        <w:spacing w:after="160" w:before="360"/>
      </w:pPr>
      <w:r>
        <w:rPr>
          <w:rFonts w:ascii="Times New Roman" w:cs="Times New Roman" w:eastAsia="Times New Roman" w:hAnsi="Times New Roman"/>
          <w:b/>
          <w:bCs/>
          <w:color w:val="1F3864"/>
          <w:sz w:val="30"/>
          <w:szCs w:val="30"/>
        </w:rPr>
        <w:t xml:space="preserve">9. Document Set and Numbering</w:t>
      </w:r>
    </w:p>
    <w:p>
      <w:pPr>
        <w:spacing w:after="120" w:line="276"/>
      </w:pPr>
      <w:r>
        <w:rPr>
          <w:rFonts w:ascii="Times New Roman" w:cs="Times New Roman" w:eastAsia="Times New Roman" w:hAnsi="Times New Roman"/>
          <w:sz w:val="22"/>
          <w:szCs w:val="22"/>
        </w:rPr>
        <w:t xml:space="preserve">The set is gap-numbered so later documents slot in without renumbering anything a reader or another document already references. Numbers marked reserved are planned and not yet written; the gap is deliberate, not an omission.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3744"/>
        <w:gridCol w:w="1872"/>
        <w:gridCol w:w="2621"/>
      </w:tblGrid>
      <w:tr>
        <w:trPr>
          <w:tblHeader/>
        </w:trPr>
        <w:tc>
          <w:tcPr>
            <w:tcW w:type="dxa" w:w="1123"/>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Doc</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Title</w:t>
            </w:r>
          </w:p>
        </w:tc>
        <w:tc>
          <w:tcPr>
            <w:tcW w:type="dxa" w:w="187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Status</w:t>
            </w:r>
          </w:p>
        </w:tc>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Contents</w:t>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00</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Development Environment and Source Control Setup Guide</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Delivered</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Repository design, creating and cloning the repository, local development environment, PBIP workflow, the daily loop, branching, Fabric Git integration, packaging. Numbered 00 because it precedes all other work</w:t>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01</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Project Plan — U.S. Retail Sector Health</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This document</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Executive summary, sources, model, report portfolio, full page specifications, build sequence, methodology</w:t>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02</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Data Setup and Semantic Model Guide</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Delivered</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Source to ingestion to a published model: Census API and FRED queries, the SQL warehouse build, the Excel reference workbook, model configuration, all 79 measure definitions with build order and per-folder checks, validation, publish and thin-report binding</w:t>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12</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Report Mockup (HTML)</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Delivered</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Interactive mockup for specs 1–3</w:t>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13</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Report Mockup (HTML)</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Delivered</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Interactive mockup for specs 4–6</w:t>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14</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Report Mockup (HTML)</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Delivered</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Interactive mockup for specs 7–10</w:t>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15</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Report Build Instructions</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Delivered</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complete visual specification for all ten pages and eighty-seven visuals, the report themes, and the click-by-click build patterns</w:t>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20</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Data Dictionary (XLSX)</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Delivered</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Six tabs: source columns, model tables, column dictionary, all 79 measures with full DAX, relationships. The single source of truth for measure definitions</w:t>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21</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Development Checklist (XLSX)</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Delivered</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Every build task across ten phases, each marked needed or not needed for this project with the reason, and a formula-driven progress block that follows edits to the list</w:t>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Validation and QA Results (XLSX)</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Delivered</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Four tabs: the seventeen pre-publication checks expanded with severity, where each runs and what it protects; a per-run recording sheet; a run summary whose counts and pass rate are formulas; and a failure log that stays open until a later run re-verifies the fix</w:t>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24</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Evaluation Dashboard Mockup</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Reserved</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mockup of the validation results as a report page, so QA is visible rather than filed</w:t>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30</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Fabric Migration Path</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Reserved</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Moving the warehouse to a Fabric Lakehouse and the model to Direct Lake</w:t>
            </w:r>
          </w:p>
        </w:tc>
      </w:tr>
    </w:tbl>
    <w:p>
      <w:pPr>
        <w:spacing w:after="200" w:before="40"/>
      </w:pPr>
      <w:r>
        <w:rPr>
          <w:rFonts w:ascii="Times New Roman" w:cs="Times New Roman" w:eastAsia="Times New Roman" w:hAnsi="Times New Roman"/>
          <w:i/>
          <w:iCs/>
          <w:color w:val="595959"/>
          <w:sz w:val="19"/>
          <w:szCs w:val="19"/>
        </w:rPr>
        <w:t xml:space="preserve">Table 9.1 — Document set. Numbering follows lifecycle sequence: if a human reads it in lifecycle sequence it is numbered and lives in docs/; if a system consumes it, it keeps a functional name in its purpose folder.</w:t>
      </w:r>
    </w:p>
    <w:p>
      <w:pPr>
        <w:pStyle w:val="Heading1"/>
        <w:spacing w:after="160" w:before="360"/>
      </w:pPr>
      <w:r>
        <w:rPr>
          <w:rFonts w:ascii="Times New Roman" w:cs="Times New Roman" w:eastAsia="Times New Roman" w:hAnsi="Times New Roman"/>
          <w:b/>
          <w:bCs/>
          <w:color w:val="1F3864"/>
          <w:sz w:val="30"/>
          <w:szCs w:val="30"/>
        </w:rPr>
        <w:t xml:space="preserve">10. Portfolio Packaging Checklist</w:t>
      </w:r>
    </w:p>
    <w:p>
      <w:pPr>
        <w:pStyle w:val="ListParagraph"/>
        <w:numPr>
          <w:ilvl w:val="0"/>
          <w:numId w:val="4"/>
        </w:numPr>
        <w:spacing w:after="60" w:line="276"/>
      </w:pPr>
      <w:r>
        <w:rPr>
          <w:rFonts w:ascii="Times New Roman" w:cs="Times New Roman" w:eastAsia="Times New Roman" w:hAnsi="Times New Roman"/>
          <w:sz w:val="22"/>
          <w:szCs w:val="22"/>
        </w:rPr>
        <w:t xml:space="preserve">Public GitHub repository with README, .gitignore, MIT licence and the folder skeleton — see document 00.</w:t>
      </w:r>
    </w:p>
    <w:p>
      <w:pPr>
        <w:pStyle w:val="ListParagraph"/>
        <w:numPr>
          <w:ilvl w:val="0"/>
          <w:numId w:val="4"/>
        </w:numPr>
        <w:spacing w:after="60" w:line="276"/>
      </w:pPr>
      <w:r>
        <w:rPr>
          <w:rFonts w:ascii="Times New Roman" w:cs="Times New Roman" w:eastAsia="Times New Roman" w:hAnsi="Times New Roman"/>
          <w:sz w:val="22"/>
          <w:szCs w:val="22"/>
        </w:rPr>
        <w:t xml:space="preserve">docs/ holds the numbered set; pbip/ holds the diffable text form of the model and all three reports; pbix/ holds the four binaries at milestone.</w:t>
      </w:r>
    </w:p>
    <w:p>
      <w:pPr>
        <w:pStyle w:val="ListParagraph"/>
        <w:numPr>
          <w:ilvl w:val="0"/>
          <w:numId w:val="4"/>
        </w:numPr>
        <w:spacing w:after="60" w:line="276"/>
      </w:pPr>
      <w:r>
        <w:rPr>
          <w:rFonts w:ascii="Times New Roman" w:cs="Times New Roman" w:eastAsia="Times New Roman" w:hAnsi="Times New Roman"/>
          <w:sz w:val="22"/>
          <w:szCs w:val="22"/>
        </w:rPr>
        <w:t xml:space="preserve">Eleven screenshots in assets/: ten report pages at 1280×720 plus one model-view screenshot showing the star schema. The model view is the credibility shot.</w:t>
      </w:r>
    </w:p>
    <w:p>
      <w:pPr>
        <w:pStyle w:val="ListParagraph"/>
        <w:numPr>
          <w:ilvl w:val="0"/>
          <w:numId w:val="4"/>
        </w:numPr>
        <w:spacing w:after="60" w:line="276"/>
      </w:pPr>
      <w:r>
        <w:rPr>
          <w:rFonts w:ascii="Times New Roman" w:cs="Times New Roman" w:eastAsia="Times New Roman" w:hAnsi="Times New Roman"/>
          <w:sz w:val="22"/>
          <w:szCs w:val="22"/>
        </w:rPr>
        <w:t xml:space="preserve">One screenshot of a PBIP commit diff showing a single measure change line by line — the strongest “works like an engineer” image a Power BI portfolio can carry.</w:t>
      </w:r>
    </w:p>
    <w:p>
      <w:pPr>
        <w:pStyle w:val="ListParagraph"/>
        <w:numPr>
          <w:ilvl w:val="0"/>
          <w:numId w:val="4"/>
        </w:numPr>
        <w:spacing w:after="60" w:line="276"/>
      </w:pPr>
      <w:r>
        <w:rPr>
          <w:rFonts w:ascii="Times New Roman" w:cs="Times New Roman" w:eastAsia="Times New Roman" w:hAnsi="Times New Roman"/>
          <w:sz w:val="22"/>
          <w:szCs w:val="22"/>
        </w:rPr>
        <w:t xml:space="preserve">README states the business scenario, the three-report structure, the cases-versus-dollars reconciliation in two sentences, and the limitations list from §8.2.</w:t>
      </w:r>
    </w:p>
    <w:p>
      <w:pPr>
        <w:pStyle w:val="ListParagraph"/>
        <w:numPr>
          <w:ilvl w:val="0"/>
          <w:numId w:val="4"/>
        </w:numPr>
        <w:spacing w:after="60" w:line="276"/>
      </w:pPr>
      <w:r>
        <w:rPr>
          <w:rFonts w:ascii="Times New Roman" w:cs="Times New Roman" w:eastAsia="Times New Roman" w:hAnsi="Times New Roman"/>
          <w:sz w:val="22"/>
          <w:szCs w:val="22"/>
        </w:rPr>
        <w:t xml:space="preserve">Attribution line: “Retail sales data © U.S. Census Bureau; macroeconomic series via Federal Reserve Bank of St. Louis (FRED); item movement data © Montgomery County, Maryland, published as open data.”</w:t>
      </w:r>
    </w:p>
    <w:p>
      <w:pPr>
        <w:pStyle w:val="ListParagraph"/>
        <w:numPr>
          <w:ilvl w:val="0"/>
          <w:numId w:val="4"/>
        </w:numPr>
        <w:spacing w:after="60" w:line="276"/>
      </w:pPr>
      <w:r>
        <w:rPr>
          <w:rFonts w:ascii="Times New Roman" w:cs="Times New Roman" w:eastAsia="Times New Roman" w:hAnsi="Times New Roman"/>
          <w:sz w:val="22"/>
          <w:szCs w:val="22"/>
        </w:rPr>
        <w:t xml:space="preserve">Census API key confirmed absent from every committed file, including PBIP text and query text. Search the repository for “key=” before the first push.</w:t>
      </w:r>
    </w:p>
    <w:p>
      <w:pPr>
        <w:pStyle w:val="ListParagraph"/>
        <w:numPr>
          <w:ilvl w:val="0"/>
          <w:numId w:val="4"/>
        </w:numPr>
        <w:spacing w:after="60" w:line="276"/>
      </w:pPr>
      <w:r>
        <w:rPr>
          <w:rFonts w:ascii="Times New Roman" w:cs="Times New Roman" w:eastAsia="Times New Roman" w:hAnsi="Times New Roman"/>
          <w:sz w:val="22"/>
          <w:szCs w:val="22"/>
        </w:rPr>
        <w:t xml:space="preserve">Validation results recorded in docs/22_Validation_Results.xlsx with a date, so the numbers in the reports are reproducible.</w:t>
      </w:r>
    </w:p>
    <w:p>
      <w:pPr>
        <w:pStyle w:val="Heading1"/>
        <w:spacing w:after="160" w:before="360"/>
      </w:pPr>
      <w:r>
        <w:rPr>
          <w:rFonts w:ascii="Times New Roman" w:cs="Times New Roman" w:eastAsia="Times New Roman" w:hAnsi="Times New Roman"/>
          <w:b/>
          <w:bCs/>
          <w:color w:val="1F3864"/>
          <w:sz w:val="30"/>
          <w:szCs w:val="30"/>
        </w:rPr>
        <w:t xml:space="preserve">11. AI Assistance Disclosure</w:t>
      </w:r>
    </w:p>
    <w:p>
      <w:pPr>
        <w:spacing w:after="120" w:line="276"/>
      </w:pPr>
      <w:r>
        <w:rPr>
          <w:rFonts w:ascii="Times New Roman" w:cs="Times New Roman" w:eastAsia="Times New Roman" w:hAnsi="Times New Roman"/>
          <w:sz w:val="22"/>
          <w:szCs w:val="22"/>
        </w:rPr>
        <w:t xml:space="preserve">Portions of this document were drafted with the assistance of a generative AI system. The author defined the project scope, selected and vetted the data sources, and reviewed all technical content prior to publication.</w:t>
      </w:r>
    </w:p>
    <w:p>
      <w:pPr>
        <w:spacing w:after="120" w:line="276"/>
      </w:pPr>
      <w:r>
        <w:rPr>
          <w:rFonts w:ascii="Times New Roman" w:cs="Times New Roman" w:eastAsia="Times New Roman" w:hAnsi="Times New Roman"/>
          <w:sz w:val="22"/>
          <w:szCs w:val="22"/>
        </w:rPr>
        <w:t xml:space="preserve">All source URLs, API endpoint structures, dataset row counts, column inventories and units of measure, NAICS category codes, FRED series identifiers and units, and Power BI native-visual capabilities cited in this document were verified against the live sources in September 2026. Visual specifications were checked against Power BI’s native visual set; the three constraints that ruled out otherwise-reasonable designs are recorded in §6.1 rather than discovered during the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78faed97d954a770cc8d7cf4b5c46cf59b905a.png"/><Relationship Id="rId8" Type="http://schemas.openxmlformats.org/officeDocument/2006/relationships/image" Target="media/68e570ec506da724044dc66d32fd8fb3befe41b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2026-09-20T16:19:06.065Z</dcterms:created>
  <dcterms:modified xsi:type="dcterms:W3CDTF">2026-09-20T16:19:06.065Z</dcterms:modified>
</cp:coreProperties>
</file>

<file path=docProps/custom.xml><?xml version="1.0" encoding="utf-8"?>
<Properties xmlns="http://schemas.openxmlformats.org/officeDocument/2006/custom-properties" xmlns:vt="http://schemas.openxmlformats.org/officeDocument/2006/docPropsVTypes"/>
</file>