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Times New Roman" w:cs="Times New Roman" w:eastAsia="Times New Roman" w:hAnsi="Times New Roman"/>
          <w:b/>
          <w:bCs/>
          <w:color w:val="595959"/>
          <w:sz w:val="24"/>
          <w:szCs w:val="24"/>
        </w:rPr>
        <w:t xml:space="preserve">DOCUMENT 02</w:t>
      </w:r>
    </w:p>
    <w:p>
      <w:pPr>
        <w:spacing w:after="60"/>
      </w:pPr>
      <w:r>
        <w:rPr>
          <w:rFonts w:ascii="Times New Roman" w:cs="Times New Roman" w:eastAsia="Times New Roman" w:hAnsi="Times New Roman"/>
          <w:b/>
          <w:bCs/>
          <w:color w:val="1F3864"/>
          <w:sz w:val="38"/>
          <w:szCs w:val="38"/>
        </w:rPr>
        <w:t xml:space="preserve">Data Setup and Semantic Model Guide</w:t>
      </w:r>
    </w:p>
    <w:p>
      <w:pPr>
        <w:spacing w:after="120"/>
      </w:pPr>
      <w:r>
        <w:rPr>
          <w:rFonts w:ascii="Times New Roman" w:cs="Times New Roman" w:eastAsia="Times New Roman" w:hAnsi="Times New Roman"/>
          <w:color w:val="2E5496"/>
          <w:sz w:val="26"/>
          <w:szCs w:val="26"/>
        </w:rPr>
        <w:t xml:space="preserve">From Source, to Ingestion, to a Published Semantic Model</w:t>
      </w:r>
    </w:p>
    <w:p>
      <w:pPr>
        <w:spacing w:after="120" w:line="276"/>
      </w:pPr>
      <w:r>
        <w:rPr>
          <w:rFonts w:ascii="Times New Roman" w:cs="Times New Roman" w:eastAsia="Times New Roman" w:hAnsi="Times New Roman"/>
          <w:b/>
          <w:bCs/>
          <w:sz w:val="22"/>
          <w:szCs w:val="22"/>
        </w:rPr>
        <w:t xml:space="preserve">U.S. Retail Sector Health — Macro Indicators to Item-Level Movement</w:t>
      </w:r>
    </w:p>
    <w:p>
      <w:pPr>
        <w:spacing w:after="120" w:line="276"/>
      </w:pPr>
      <w:r>
        <w:rPr>
          <w:rFonts w:ascii="Times New Roman" w:cs="Times New Roman" w:eastAsia="Times New Roman" w:hAnsi="Times New Roman"/>
          <w:b/>
          <w:bCs/>
          <w:sz w:val="21"/>
          <w:szCs w:val="21"/>
        </w:rPr>
        <w:t xml:space="preserve">Audience: </w:t>
      </w:r>
      <w:r>
        <w:rPr>
          <w:rFonts w:ascii="Times New Roman" w:cs="Times New Roman" w:eastAsia="Times New Roman" w:hAnsi="Times New Roman"/>
          <w:sz w:val="21"/>
          <w:szCs w:val="21"/>
        </w:rPr>
        <w:t xml:space="preserve">the person building the model. Assumes Power BI Desktop and SSMS 22 familiarity; assumes nothing about these four sources.</w:t>
      </w:r>
    </w:p>
    <w:p>
      <w:pPr>
        <w:spacing w:after="160" w:line="276"/>
      </w:pPr>
      <w:r>
        <w:rPr>
          <w:rFonts w:ascii="Times New Roman" w:cs="Times New Roman" w:eastAsia="Times New Roman" w:hAnsi="Times New Roman"/>
          <w:i/>
          <w:iCs/>
          <w:color w:val="595959"/>
          <w:sz w:val="21"/>
          <w:szCs w:val="21"/>
        </w:rPr>
        <w:t xml:space="preserve">Version 1.0 · September 2026 · Portfolio Project · Companion to PBI-MACRO-001</w:t>
      </w:r>
    </w:p>
    <w:p>
      <w:pPr>
        <w:spacing w:after="240" w:line="276"/>
      </w:pPr>
      <w:r>
        <w:rPr>
          <w:rFonts w:ascii="Times New Roman" w:cs="Times New Roman" w:eastAsia="Times New Roman" w:hAnsi="Times New Roman"/>
          <w:i/>
          <w:iCs/>
          <w:sz w:val="20"/>
          <w:szCs w:val="20"/>
        </w:rPr>
        <w:t xml:space="preserve">Scope boundary: this guide builds the DATA and the MODEL. It stops at a published semantic model with a passing validation run. Report construction is documents 12, 13 and 14; the measure definitions themselves live in document 20, which is the single source of truth for DAX — this guide gives build order and dependency, not seventy-nine listings repeated in a second place.</w:t>
      </w:r>
    </w:p>
    <w:p>
      <w:pPr>
        <w:spacing w:after="120"/>
      </w:pPr>
      <w:r>
        <w:rPr>
          <w:rFonts w:ascii="Times New Roman" w:cs="Times New Roman" w:eastAsia="Times New Roman" w:hAnsi="Times New Roman"/>
          <w:b/>
          <w:bCs/>
          <w:color w:val="1F3864"/>
          <w:sz w:val="30"/>
          <w:szCs w:val="30"/>
        </w:rPr>
        <w:t xml:space="preserve">Contents</w:t>
      </w:r>
    </w:p>
    <w:p>
      <w:pPr>
        <w:spacing w:after="160"/>
      </w:pPr>
      <w:r>
        <w:rPr>
          <w:rFonts w:ascii="Times New Roman" w:cs="Times New Roman" w:eastAsia="Times New Roman" w:hAnsi="Times New Roman"/>
          <w:i/>
          <w:iCs/>
          <w:color w:val="595959"/>
          <w:sz w:val="19"/>
          <w:szCs w:val="19"/>
        </w:rPr>
        <w:t xml:space="preserve">In Word: right-click the table and choose 'Update Field' (or press Ctrl+A then F9) to populate page numbers.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rPr>
          <w:rFonts w:ascii="Times New Roman" w:cs="Times New Roman" w:eastAsia="Times New Roman" w:hAnsi="Times New Roman"/>
          <w:b/>
          <w:bCs/>
          <w:color w:val="1F3864"/>
          <w:sz w:val="30"/>
          <w:szCs w:val="30"/>
        </w:rPr>
        <w:t xml:space="preserve">1. Purpose and Scope</w:t>
      </w:r>
    </w:p>
    <w:p>
      <w:pPr>
        <w:spacing w:after="120" w:line="276"/>
      </w:pPr>
      <w:r>
        <w:rPr>
          <w:rFonts w:ascii="Times New Roman" w:cs="Times New Roman" w:eastAsia="Times New Roman" w:hAnsi="Times New Roman"/>
          <w:sz w:val="22"/>
          <w:szCs w:val="22"/>
        </w:rPr>
        <w:t xml:space="preserve">This guide takes four public sources and turns them into one Power BI semantic model that three reports connect to. It is written to be executed end to end on a single Windows workstation, in the order the sections appear.</w:t>
      </w:r>
    </w:p>
    <w:p>
      <w:pPr>
        <w:spacing w:after="120" w:line="276"/>
      </w:pPr>
      <w:r>
        <w:rPr>
          <w:rFonts w:ascii="Times New Roman" w:cs="Times New Roman" w:eastAsia="Times New Roman" w:hAnsi="Times New Roman"/>
          <w:sz w:val="22"/>
          <w:szCs w:val="22"/>
        </w:rPr>
        <w:t xml:space="preserve">The project exists partly to demonstrate three distinct ingestion patterns in one coherent model rather than three unrelated exercises. That intent shapes the build: each source is brought in the way it would be brought in on a real project, and where a shortcut exists it is named and rejected rather than quietly taken.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2434"/>
        <w:gridCol w:w="2808"/>
        <w:gridCol w:w="2434"/>
      </w:tblGrid>
      <w:tr>
        <w:trPr>
          <w:tblHeader/>
        </w:trPr>
        <w:tc>
          <w:tcPr>
            <w:tcW w:type="dxa" w:w="1685"/>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Source</w:t>
            </w:r>
          </w:p>
        </w:tc>
        <w:tc>
          <w:tcPr>
            <w:tcW w:type="dxa" w:w="243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Pattern</w:t>
            </w:r>
          </w:p>
        </w:tc>
        <w:tc>
          <w:tcPr>
            <w:tcW w:type="dxa" w:w="2808"/>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Lands in</w:t>
            </w:r>
          </w:p>
        </w:tc>
        <w:tc>
          <w:tcPr>
            <w:tcW w:type="dxa" w:w="243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Section</w:t>
            </w:r>
          </w:p>
        </w:tc>
      </w:tr>
      <w:tr>
        <w:trPr>
          <w:cantSplit/>
        </w:trPr>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Census MARTS</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REST API, JSON, API key</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FactSectorSales</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3</w:t>
            </w:r>
          </w:p>
        </w:tc>
      </w:tr>
      <w:tr>
        <w:trPr>
          <w:cantSplit/>
        </w:trPr>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FRED</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URL over HTTPS, CSV, no key</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FactMacro, DimIndicator</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w:t>
            </w:r>
          </w:p>
        </w:tc>
      </w:tr>
      <w:tr>
        <w:trPr>
          <w:cantSplit/>
        </w:trPr>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Montgomery County MD</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On-premises SQL Server warehouse</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FactItemMovement, DimSupplier, DimItem, DimDate</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5</w:t>
            </w:r>
          </w:p>
        </w:tc>
      </w:tr>
      <w:tr>
        <w:trPr>
          <w:cantSplit/>
        </w:trPr>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RefMappings.xlsx</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Excel file connector</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DimCategory, and a merge into DimItem</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6</w:t>
            </w:r>
          </w:p>
        </w:tc>
      </w:tr>
    </w:tbl>
    <w:p>
      <w:pPr>
        <w:spacing w:after="200" w:before="40"/>
      </w:pPr>
      <w:r>
        <w:rPr>
          <w:rFonts w:ascii="Times New Roman" w:cs="Times New Roman" w:eastAsia="Times New Roman" w:hAnsi="Times New Roman"/>
          <w:i/>
          <w:iCs/>
          <w:color w:val="595959"/>
          <w:sz w:val="19"/>
          <w:szCs w:val="19"/>
        </w:rPr>
        <w:t xml:space="preserve">Table 1.1 — What this guide builds.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EAF1F8" w:color="auto" w:val="clear"/>
            <w:tcMar>
              <w:top w:type="dxa" w:w="140"/>
              <w:left w:type="dxa" w:w="180"/>
              <w:bottom w:type="dxa" w:w="140"/>
              <w:right w:type="dxa" w:w="180"/>
            </w:tcMar>
          </w:tcPr>
          <w:p>
            <w:pPr>
              <w:spacing w:after="80"/>
            </w:pPr>
            <w:r>
              <w:rPr>
                <w:rFonts w:ascii="Times New Roman" w:cs="Times New Roman" w:eastAsia="Times New Roman" w:hAnsi="Times New Roman"/>
                <w:b/>
                <w:bCs/>
                <w:color w:val="1F3864"/>
                <w:sz w:val="22"/>
                <w:szCs w:val="22"/>
              </w:rPr>
              <w:t xml:space="preserve">The one thing to understand before starting</w:t>
            </w:r>
          </w:p>
          <w:p>
            <w:pPr>
              <w:spacing w:after="100" w:line="276"/>
            </w:pPr>
            <w:r>
              <w:rPr>
                <w:rFonts w:ascii="Times New Roman" w:cs="Times New Roman" w:eastAsia="Times New Roman" w:hAnsi="Times New Roman"/>
                <w:sz w:val="21"/>
                <w:szCs w:val="21"/>
              </w:rPr>
              <w:t xml:space="preserve">Tier 3 measures CASES. Tiers 1 and 2 measure DOLLARS. The county source records cases of product moved; Census and FRED record currency.</w:t>
            </w:r>
          </w:p>
          <w:p>
            <w:pPr>
              <w:spacing w:after="100" w:line="276"/>
            </w:pPr>
            <w:r>
              <w:rPr>
                <w:rFonts w:ascii="Times New Roman" w:cs="Times New Roman" w:eastAsia="Times New Roman" w:hAnsi="Times New Roman"/>
                <w:sz w:val="21"/>
                <w:szCs w:val="21"/>
              </w:rPr>
              <w:t xml:space="preserve">This is not an obstacle to work around — it is the reason the project has an argument. Census publishes nominal dollars, FRED supplies the deflator, and the county supplies an independently observed quantity. Holding all three lets price and volume be separated using an observed quantity rather than an assumed one.</w:t>
            </w:r>
          </w:p>
          <w:p>
            <w:pPr>
              <w:spacing w:after="0" w:line="276"/>
            </w:pPr>
            <w:r>
              <w:rPr>
                <w:rFonts w:ascii="Times New Roman" w:cs="Times New Roman" w:eastAsia="Times New Roman" w:hAnsi="Times New Roman"/>
                <w:sz w:val="21"/>
                <w:szCs w:val="21"/>
              </w:rPr>
              <w:t xml:space="preserve">It does mean one rule is absolute: a case measure may meet a national dollar measure only after that dollar measure has been deflated. Section 9 makes this a validation check, because once a visual is built the error is invisible.</w:t>
            </w:r>
          </w:p>
        </w:tc>
      </w:tr>
    </w:tbl>
    <w:p>
      <w:r>
        <w:br w:type="page"/>
      </w:r>
    </w:p>
    <w:p>
      <w:pPr>
        <w:pStyle w:val="Heading2"/>
        <w:spacing w:after="120" w:before="280"/>
      </w:pPr>
      <w:r>
        <w:rPr>
          <w:rFonts w:ascii="Times New Roman" w:cs="Times New Roman" w:eastAsia="Times New Roman" w:hAnsi="Times New Roman"/>
          <w:b/>
          <w:bCs/>
          <w:color w:val="2E5496"/>
          <w:sz w:val="25"/>
          <w:szCs w:val="25"/>
        </w:rPr>
        <w:t xml:space="preserve">1.1 The Four Power BI Files — the Roadmap</w:t>
      </w:r>
    </w:p>
    <w:p>
      <w:pPr>
        <w:spacing w:after="120" w:line="276"/>
      </w:pPr>
      <w:r>
        <w:rPr>
          <w:rFonts w:ascii="Times New Roman" w:cs="Times New Roman" w:eastAsia="Times New Roman" w:hAnsi="Times New Roman"/>
          <w:sz w:val="22"/>
          <w:szCs w:val="22"/>
        </w:rPr>
        <w:t xml:space="preserve">Read this before anything else. It is the division the whole project rests on, the map for every section that follows, and the most common thing to get wrong. There are four Power BI files. One of them holds everything built in this document; the other three hold no data, no tables and no measures at all. Getting the order wrong — building report pages inside the model file and splitting them afterwards — means rebuilding every visual by hand, because pages cannot be moved between files.</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                          ONE MODEL FILE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pbip/RetailEconomics_Model/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queries . . . . . . . . .  sections 3-6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tables and relationships . section 7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79 measures . . . . . . .  section 8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one blank page, no visuals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published once, section 10</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v</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PUBLISHED SEMANTIC MODEL, Pro workspace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refreshed on a schedule, gateway for SQL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live connection    live connection    live connection</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v                  v                  v</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R1     |    |      R2     |    |      R3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Retail   |    |   Consumer  |    |  Assortment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Sector   |    |    Stress   |    |   Supplier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Health   |    |             |    |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THREE REPORT FILES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pages, visuals, bookmarks, its own theme .json</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NO queries  .  NO tables  .  NO measures  .  no data</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never refreshed - they show what the model last loaded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THIS DOCUMENT builds the model file and publishes it: sections 3-10.</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DOCUMENT 15 builds the three report files, one at a time, afterwards.</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434"/>
        <w:gridCol w:w="2621"/>
        <w:gridCol w:w="2434"/>
      </w:tblGrid>
      <w:tr>
        <w:trPr>
          <w:tblHeader/>
        </w:trPr>
        <w:tc>
          <w:tcPr>
            <w:tcW w:type="dxa" w:w="187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
            </w:r>
          </w:p>
        </w:tc>
        <w:tc>
          <w:tcPr>
            <w:tcW w:type="dxa" w:w="243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RetailEconomics_Model</w:t>
            </w:r>
          </w:p>
        </w:tc>
        <w:tc>
          <w:tcPr>
            <w:tcW w:type="dxa" w:w="2621"/>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R1 / R2 / R3</w:t>
            </w:r>
          </w:p>
        </w:tc>
        <w:tc>
          <w:tcPr>
            <w:tcW w:type="dxa" w:w="243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Why</w:t>
            </w:r>
          </w:p>
        </w:tc>
      </w:tr>
      <w:tr>
        <w:trPr>
          <w:cantSplit/>
        </w:trPr>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Built in</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This document, §3 to §9</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Document 15</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Data and model first; the reports cannot be started until the model is published</w:t>
            </w:r>
          </w:p>
        </w:tc>
      </w:tr>
      <w:tr>
        <w:trPr>
          <w:cantSplit/>
        </w:trPr>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Contains</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Queries, tables, relationships, all 79 measures, format strings, display folders</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Report pages, visuals, bookmarks, page-level filters, its own theme</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thin report is a view over the model. It carries presentation and nothing else</w:t>
            </w:r>
          </w:p>
        </w:tc>
      </w:tr>
      <w:tr>
        <w:trPr>
          <w:cantSplit/>
        </w:trPr>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Does not contain</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Report pages. One blank page, no visuals</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Any query, table, relationship or measure</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If a report file grows a table, the live connection has been broken</w:t>
            </w:r>
          </w:p>
        </w:tc>
      </w:tr>
      <w:tr>
        <w:trPr>
          <w:cantSplit/>
        </w:trPr>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Connection</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Import — the data physically lives here</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Live connection to the published model</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One copy of the data, one refresh, one set of numbers</w:t>
            </w:r>
          </w:p>
        </w:tc>
      </w:tr>
      <w:tr>
        <w:trPr>
          <w:cantSplit/>
        </w:trPr>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Refresh</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Scheduled, twice weekly, through the gateway for SQL Server</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Never — there is no data in the file to refresh</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Reports show whatever the model last refreshed</w:t>
            </w:r>
          </w:p>
        </w:tc>
      </w:tr>
      <w:tr>
        <w:trPr>
          <w:cantSplit/>
        </w:trPr>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Saved as</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pbip/RetailEconomics_Model/</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pbip/R1_… / R2_… / R3_…</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Document 00 §9.2 and §9.3</w:t>
            </w:r>
          </w:p>
        </w:tc>
      </w:tr>
      <w:tr>
        <w:trPr>
          <w:cantSplit/>
        </w:trPr>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Published</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Once, before any report is started</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Each report published separately after it is built</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Publishing the model is what makes it available to connect to</w:t>
            </w:r>
          </w:p>
        </w:tc>
      </w:tr>
    </w:tbl>
    <w:p>
      <w:pPr>
        <w:spacing w:after="200" w:before="40"/>
      </w:pPr>
      <w:r>
        <w:rPr>
          <w:rFonts w:ascii="Times New Roman" w:cs="Times New Roman" w:eastAsia="Times New Roman" w:hAnsi="Times New Roman"/>
          <w:i/>
          <w:iCs/>
          <w:color w:val="595959"/>
          <w:sz w:val="19"/>
          <w:szCs w:val="19"/>
        </w:rPr>
        <w:t xml:space="preserve">Table 1.1 — The model file against the three report files.</w:t>
      </w:r>
    </w:p>
    <w:p>
      <w:pPr>
        <w:pStyle w:val="Heading3"/>
        <w:spacing w:after="100" w:before="220"/>
      </w:pPr>
      <w:r>
        <w:rPr>
          <w:rFonts w:ascii="Times New Roman" w:cs="Times New Roman" w:eastAsia="Times New Roman" w:hAnsi="Times New Roman"/>
          <w:b/>
          <w:bCs/>
          <w:color w:val="404040"/>
          <w:sz w:val="23"/>
          <w:szCs w:val="23"/>
        </w:rPr>
        <w:t xml:space="preserve">The sequence, in order</w:t>
      </w:r>
    </w:p>
    <w:p>
      <w:pPr>
        <w:pStyle w:val="ListParagraph"/>
        <w:numPr>
          <w:ilvl w:val="0"/>
          <w:numId w:val="2"/>
        </w:numPr>
        <w:spacing w:after="60" w:line="276"/>
      </w:pPr>
      <w:r>
        <w:rPr>
          <w:rFonts w:ascii="Times New Roman" w:cs="Times New Roman" w:eastAsia="Times New Roman" w:hAnsi="Times New Roman"/>
          <w:sz w:val="22"/>
          <w:szCs w:val="22"/>
        </w:rPr>
        <w:t xml:space="preserve">Build the model file completely: queries, tables, relationships, model configuration, all seventy-nine measures, and a passing validation run. That is §3 through §9 of this document.</w:t>
      </w:r>
    </w:p>
    <w:p>
      <w:pPr>
        <w:pStyle w:val="ListParagraph"/>
        <w:numPr>
          <w:ilvl w:val="0"/>
          <w:numId w:val="2"/>
        </w:numPr>
        <w:spacing w:after="60" w:line="276"/>
      </w:pPr>
      <w:r>
        <w:rPr>
          <w:rFonts w:ascii="Times New Roman" w:cs="Times New Roman" w:eastAsia="Times New Roman" w:hAnsi="Times New Roman"/>
          <w:sz w:val="22"/>
          <w:szCs w:val="22"/>
        </w:rPr>
        <w:t xml:space="preserve">Publish the model to the Pro workspace and bind its credentials. §10.</w:t>
      </w:r>
    </w:p>
    <w:p>
      <w:pPr>
        <w:pStyle w:val="ListParagraph"/>
        <w:numPr>
          <w:ilvl w:val="0"/>
          <w:numId w:val="2"/>
        </w:numPr>
        <w:spacing w:after="60" w:line="276"/>
      </w:pPr>
      <w:r>
        <w:rPr>
          <w:rFonts w:ascii="Times New Roman" w:cs="Times New Roman" w:eastAsia="Times New Roman" w:hAnsi="Times New Roman"/>
          <w:sz w:val="22"/>
          <w:szCs w:val="22"/>
        </w:rPr>
        <w:t xml:space="preserve">Only then open a new Power BI Desktop file, connect to the published model with Get data → Power BI semantic models, and build R1. Document 15 §5.</w:t>
      </w:r>
    </w:p>
    <w:p>
      <w:pPr>
        <w:pStyle w:val="ListParagraph"/>
        <w:numPr>
          <w:ilvl w:val="0"/>
          <w:numId w:val="2"/>
        </w:numPr>
        <w:spacing w:after="60" w:line="276"/>
      </w:pPr>
      <w:r>
        <w:rPr>
          <w:rFonts w:ascii="Times New Roman" w:cs="Times New Roman" w:eastAsia="Times New Roman" w:hAnsi="Times New Roman"/>
          <w:sz w:val="22"/>
          <w:szCs w:val="22"/>
        </w:rPr>
        <w:t xml:space="preserve">Repeat for R2 and R3. Each is its own file, its own .pbip folder and its own theme.</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A measure change never touches a report file.  </w:t>
      </w:r>
      <w:r>
        <w:rPr>
          <w:rFonts w:ascii="Times New Roman" w:cs="Times New Roman" w:eastAsia="Times New Roman" w:hAnsi="Times New Roman"/>
          <w:sz w:val="21"/>
          <w:szCs w:val="21"/>
        </w:rPr>
        <w:t xml:space="preserve">Edit the measure in the model file, commit the TMDL diff, republish the model — and all three reports show the change without being opened. That is the entire reason for this architecture. The moment the same measure exists in two files, the numbers can differ between two reports built from “the same” model, and nothing in the interface will tell you.</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What you cannot do in a live-connected report.  </w:t>
      </w:r>
      <w:r>
        <w:rPr>
          <w:rFonts w:ascii="Times New Roman" w:cs="Times New Roman" w:eastAsia="Times New Roman" w:hAnsi="Times New Roman"/>
          <w:sz w:val="21"/>
          <w:szCs w:val="21"/>
        </w:rPr>
        <w:t xml:space="preserve">No Power Query. No new tables. No calculated columns. Report-level measures are technically possible and are not used here, because a measure that exists in one report and not the others is exactly the divergence this pattern prevents. If something is missing, it is added to the model and republished — never worked around locally.</w:t>
      </w:r>
    </w:p>
    <w:p>
      <w:pPr>
        <w:pStyle w:val="Heading1"/>
        <w:spacing w:after="160" w:before="360"/>
      </w:pPr>
      <w:r>
        <w:rPr>
          <w:rFonts w:ascii="Times New Roman" w:cs="Times New Roman" w:eastAsia="Times New Roman" w:hAnsi="Times New Roman"/>
          <w:b/>
          <w:bCs/>
          <w:color w:val="1F3864"/>
          <w:sz w:val="30"/>
          <w:szCs w:val="30"/>
        </w:rPr>
        <w:t xml:space="preserve">2. Prerequisites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2059"/>
        <w:gridCol w:w="4867"/>
      </w:tblGrid>
      <w:tr>
        <w:trPr>
          <w:tblHeader/>
        </w:trPr>
        <w:tc>
          <w:tcPr>
            <w:tcW w:type="dxa" w:w="243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Component</w:t>
            </w:r>
          </w:p>
        </w:tc>
        <w:tc>
          <w:tcPr>
            <w:tcW w:type="dxa" w:w="2059"/>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Where from</w:t>
            </w:r>
          </w:p>
        </w:tc>
        <w:tc>
          <w:tcPr>
            <w:tcW w:type="dxa" w:w="4867"/>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Notes</w:t>
            </w:r>
          </w:p>
        </w:tc>
      </w:tr>
      <w:tr>
        <w:trPr>
          <w:cantSplit/>
        </w:trPr>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SQL Server 2025 Developer Edition</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microsoft.com/sql-server</w:t>
            </w:r>
          </w:p>
        </w:tc>
        <w:tc>
          <w:tcPr>
            <w:tcW w:type="dxa" w:w="486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Built and verified on 17.0.1135.8 (RTM-GDR), Standard Developer, 64-bit. Free, full Standard feature set, licensed for development and test only — never production. Named instance BRUNO\MSSQLSERVER01 throughout this guide; substitute your own server name if it differs.</w:t>
            </w:r>
          </w:p>
        </w:tc>
      </w:tr>
      <w:tr>
        <w:trPr>
          <w:cantSplit/>
        </w:trPr>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SQL Server Management Studio 22</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microsoft.com/ssms</w:t>
            </w:r>
          </w:p>
        </w:tc>
        <w:tc>
          <w:tcPr>
            <w:tcW w:type="dxa" w:w="486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DDL, bulk import, profiling. Free. Built on the Visual Studio 18 shell; the Modern Connection dialog is the default, so the server name goes in the Server name box exactly as given below.</w:t>
            </w:r>
          </w:p>
        </w:tc>
      </w:tr>
      <w:tr>
        <w:trPr>
          <w:cantSplit/>
        </w:trPr>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Power BI Desktop</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Microsoft Store or direct download</w:t>
            </w:r>
          </w:p>
        </w:tc>
        <w:tc>
          <w:tcPr>
            <w:tcW w:type="dxa" w:w="486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64-bit, current release.</w:t>
            </w:r>
          </w:p>
        </w:tc>
      </w:tr>
      <w:tr>
        <w:trPr>
          <w:cantSplit/>
        </w:trPr>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Power BI Pro licence</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t>
            </w:r>
          </w:p>
        </w:tc>
        <w:tc>
          <w:tcPr>
            <w:tcW w:type="dxa" w:w="486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Needed to publish and to create the live connections in Section 10. Not needed to build locally.</w:t>
            </w:r>
          </w:p>
        </w:tc>
      </w:tr>
      <w:tr>
        <w:trPr>
          <w:cantSplit/>
        </w:trPr>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Census API key</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api.census.gov/data/key_signup.html</w:t>
            </w:r>
          </w:p>
        </w:tc>
        <w:tc>
          <w:tcPr>
            <w:tcW w:type="dxa" w:w="486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Free, arrives by email in minutes. Every Census Data API query now requires one.</w:t>
            </w:r>
          </w:p>
        </w:tc>
      </w:tr>
      <w:tr>
        <w:trPr>
          <w:cantSplit/>
        </w:trPr>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On-premises data gateway (personal mode)</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powerbi.microsoft.com/gateway</w:t>
            </w:r>
          </w:p>
        </w:tc>
        <w:tc>
          <w:tcPr>
            <w:tcW w:type="dxa" w:w="486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Install AFTER publishing, not before. Section 10.</w:t>
            </w:r>
          </w:p>
        </w:tc>
      </w:tr>
      <w:tr>
        <w:trPr>
          <w:cantSplit/>
        </w:trPr>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Microsoft Excel</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t>
            </w:r>
          </w:p>
        </w:tc>
        <w:tc>
          <w:tcPr>
            <w:tcW w:type="dxa" w:w="486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Maintains RefMappings.xlsx.</w:t>
            </w:r>
          </w:p>
        </w:tc>
      </w:tr>
    </w:tbl>
    <w:p>
      <w:pPr>
        <w:pStyle w:val="Heading2"/>
        <w:spacing w:after="120" w:before="280"/>
      </w:pPr>
      <w:r>
        <w:rPr>
          <w:rFonts w:ascii="Times New Roman" w:cs="Times New Roman" w:eastAsia="Times New Roman" w:hAnsi="Times New Roman"/>
          <w:b/>
          <w:bCs/>
          <w:color w:val="2E5496"/>
          <w:sz w:val="25"/>
          <w:szCs w:val="25"/>
        </w:rPr>
        <w:t xml:space="preserve">2.1 The Verified Build Environment</w:t>
      </w:r>
    </w:p>
    <w:p>
      <w:pPr>
        <w:spacing w:after="120" w:line="276"/>
      </w:pPr>
      <w:r>
        <w:rPr>
          <w:rFonts w:ascii="Times New Roman" w:cs="Times New Roman" w:eastAsia="Times New Roman" w:hAnsi="Times New Roman"/>
          <w:sz w:val="22"/>
          <w:szCs w:val="22"/>
        </w:rPr>
        <w:t xml:space="preserve">Everything in this document was written against the stack below. Where a version matters — a menu path, a wizard name, a connection dialog — it is this one. Nothing in the project depends on a feature newer than SQL Server 2016, so older versions work, but the click paths will differ.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3744"/>
        <w:gridCol w:w="2995"/>
      </w:tblGrid>
      <w:tr>
        <w:trPr>
          <w:tblHeader/>
        </w:trPr>
        <w:tc>
          <w:tcPr>
            <w:tcW w:type="dxa" w:w="2621"/>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Component</w:t>
            </w:r>
          </w:p>
        </w:tc>
        <w:tc>
          <w:tcPr>
            <w:tcW w:type="dxa" w:w="374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Version built and verified on</w:t>
            </w:r>
          </w:p>
        </w:tc>
        <w:tc>
          <w:tcPr>
            <w:tcW w:type="dxa" w:w="2995"/>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Matters because</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Database engine</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Microsoft SQL Server 2025 (RTM-GDR) (KB5122770) — 17.0.1135.8 (X64), Standard Developer Edition (64-bit)</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Developer Edition is free and carries the full Standard feature set, with none of the Express limits. It is licensed for development and test only, never production</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Instance</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BRUNO\MSSQLSERVER01 — a named instance</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Every connection step and the Power Query M in §7.1 uses this exact string. A named instance is server\instance; a default instance would be just the machine name</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Management tool</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SQL Server Management Studio 22, Visual Studio 18 shell</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Modern Connection dialog is the default in 22. Import Flat File and Import and Export Data are both still present, which matters for the §5.2 fallback</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Operating system</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Windows 10 Pro 10.0, build 26200, x64</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Only relevant to the gateway install in §10 and to the BULK INSERT path permissions in §5.4</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Database compatibility level</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170, the SQL Server 2025 default</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Left at the default. Every script here is standard T-SQL and runs at any level from 130 upward</w:t>
            </w:r>
          </w:p>
        </w:tc>
      </w:tr>
    </w:tbl>
    <w:p>
      <w:pPr>
        <w:spacing w:after="200" w:before="40"/>
      </w:pPr>
      <w:r>
        <w:rPr>
          <w:rFonts w:ascii="Times New Roman" w:cs="Times New Roman" w:eastAsia="Times New Roman" w:hAnsi="Times New Roman"/>
          <w:i/>
          <w:iCs/>
          <w:color w:val="595959"/>
          <w:sz w:val="19"/>
          <w:szCs w:val="19"/>
        </w:rPr>
        <w:t xml:space="preserve">Table 2.1 — The build environment. Substitute your own server name if it differs; nothing else here is environment-specific.</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Find your server name before running anything.  </w:t>
      </w:r>
      <w:r>
        <w:rPr>
          <w:rFonts w:ascii="Times New Roman" w:cs="Times New Roman" w:eastAsia="Times New Roman" w:hAnsi="Times New Roman"/>
          <w:sz w:val="21"/>
          <w:szCs w:val="21"/>
        </w:rPr>
        <w:t xml:space="preserve">In SSMS 22, Connect → Database Engine shows the Server name box pre-filled with the last instance used. Or run SELECT @@SERVERNAME, @@VERSION; in any query window against the instance you intend to build on. If it does not read BRUNO\MSSQLSERVER01, replace that string everywhere it appears in this document — §5.11, §7.1 and the Power BI connection step — before starting.</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If you are reproducing this on Express.  </w:t>
      </w:r>
      <w:r>
        <w:rPr>
          <w:rFonts w:ascii="Times New Roman" w:cs="Times New Roman" w:eastAsia="Times New Roman" w:hAnsi="Times New Roman"/>
          <w:sz w:val="21"/>
          <w:szCs w:val="21"/>
        </w:rPr>
        <w:t xml:space="preserve">SQL Server 2025 Express runs the whole project unchanged. Its limits are a 50 GB maximum database size and a 1,410 MB buffer pool, against a fact table of 330,080 rows and a database well under a gigabyte — neither binds here. Express also has no SQL Server Agent, which this project never uses: the load is run by hand from the scripts in sql/, and the only scheduled thing in the project is the semantic model refresh, which the Power BI Service runs. The instance name will differ, commonly ending \SQLEXPRESS.</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The repository must exist and be cloned before you start.  </w:t>
      </w:r>
      <w:r>
        <w:rPr>
          <w:rFonts w:ascii="Times New Roman" w:cs="Times New Roman" w:eastAsia="Times New Roman" w:hAnsi="Times New Roman"/>
          <w:sz w:val="21"/>
          <w:szCs w:val="21"/>
        </w:rPr>
        <w:t xml:space="preserve">Document 00 §4 creates the GitHub repository and §5 clones it to X:\retail-sector-health. Do that first. Every file this guide produces — SQL scripts, the .pbip, the reference workbook — is saved inside that clone, and work done outside it is not version-controlled. Relocating files afterwards collapses the commit history into one bulk commit and throws away the record of how the model was built.</w:t>
      </w:r>
    </w:p>
    <w:p>
      <w:pPr>
        <w:pStyle w:val="Heading1"/>
        <w:spacing w:after="160" w:before="360"/>
      </w:pPr>
      <w:r>
        <w:rPr>
          <w:rFonts w:ascii="Times New Roman" w:cs="Times New Roman" w:eastAsia="Times New Roman" w:hAnsi="Times New Roman"/>
          <w:b/>
          <w:bCs/>
          <w:color w:val="1F3864"/>
          <w:sz w:val="30"/>
          <w:szCs w:val="30"/>
        </w:rPr>
        <w:t xml:space="preserve">3. Source A — Census MARTS REST API</w:t>
      </w:r>
    </w:p>
    <w:p>
      <w:pPr>
        <w:spacing w:after="120" w:line="276"/>
      </w:pPr>
      <w:r>
        <w:rPr>
          <w:rFonts w:ascii="Times New Roman" w:cs="Times New Roman" w:eastAsia="Times New Roman" w:hAnsi="Times New Roman"/>
          <w:sz w:val="22"/>
          <w:szCs w:val="22"/>
        </w:rPr>
        <w:t xml:space="preserve">The Advance Monthly Retail Trade Survey is the authoritative monthly measure of U.S. retail sales by kind of business, published as JSON through the Census Economic Indicators Time Series API. This is the project’s primary REST source and the one that carries the most transferable technique.</w:t>
      </w:r>
    </w:p>
    <w:p>
      <w:pPr>
        <w:pStyle w:val="Heading2"/>
        <w:spacing w:after="120" w:before="280"/>
      </w:pPr>
      <w:r>
        <w:rPr>
          <w:rFonts w:ascii="Times New Roman" w:cs="Times New Roman" w:eastAsia="Times New Roman" w:hAnsi="Times New Roman"/>
          <w:b/>
          <w:bCs/>
          <w:color w:val="2E5496"/>
          <w:sz w:val="25"/>
          <w:szCs w:val="25"/>
        </w:rPr>
        <w:t xml:space="preserve">3.1 Obtain and store the key</w:t>
      </w:r>
    </w:p>
    <w:p>
      <w:pPr>
        <w:pStyle w:val="ListParagraph"/>
        <w:numPr>
          <w:ilvl w:val="0"/>
          <w:numId w:val="3"/>
        </w:numPr>
        <w:spacing w:after="60" w:line="276"/>
      </w:pPr>
      <w:r>
        <w:rPr>
          <w:rFonts w:ascii="Times New Roman" w:cs="Times New Roman" w:eastAsia="Times New Roman" w:hAnsi="Times New Roman"/>
          <w:sz w:val="22"/>
          <w:szCs w:val="22"/>
        </w:rPr>
        <w:t xml:space="preserve">Request a key at https://api.census.gov/data/key_signup.html.</w:t>
      </w:r>
    </w:p>
    <w:p>
      <w:pPr>
        <w:pStyle w:val="ListParagraph"/>
        <w:numPr>
          <w:ilvl w:val="0"/>
          <w:numId w:val="3"/>
        </w:numPr>
        <w:spacing w:after="60" w:line="276"/>
      </w:pPr>
      <w:r>
        <w:rPr>
          <w:rFonts w:ascii="Times New Roman" w:cs="Times New Roman" w:eastAsia="Times New Roman" w:hAnsi="Times New Roman"/>
          <w:sz w:val="22"/>
          <w:szCs w:val="22"/>
        </w:rPr>
        <w:t xml:space="preserve">In Power BI Desktop: Transform data → Manage Parameters → New.</w:t>
      </w:r>
    </w:p>
    <w:p>
      <w:pPr>
        <w:pStyle w:val="ListParagraph"/>
        <w:numPr>
          <w:ilvl w:val="0"/>
          <w:numId w:val="3"/>
        </w:numPr>
        <w:spacing w:after="60" w:line="276"/>
      </w:pPr>
      <w:r>
        <w:rPr>
          <w:rFonts w:ascii="Times New Roman" w:cs="Times New Roman" w:eastAsia="Times New Roman" w:hAnsi="Times New Roman"/>
          <w:sz w:val="22"/>
          <w:szCs w:val="22"/>
        </w:rPr>
        <w:t xml:space="preserve">Create a Text parameter pCensusKey and paste the key as its Current Value.</w:t>
      </w:r>
    </w:p>
    <w:p>
      <w:pPr>
        <w:pStyle w:val="ListParagraph"/>
        <w:numPr>
          <w:ilvl w:val="0"/>
          <w:numId w:val="3"/>
        </w:numPr>
        <w:spacing w:after="60" w:line="276"/>
      </w:pPr>
      <w:r>
        <w:rPr>
          <w:rFonts w:ascii="Times New Roman" w:cs="Times New Roman" w:eastAsia="Times New Roman" w:hAnsi="Times New Roman"/>
          <w:sz w:val="22"/>
          <w:szCs w:val="22"/>
        </w:rPr>
        <w:t xml:space="preserve">Create Text parameters pStartPeriod and pEndPeriod, for example 2015-01 and 2026-07.</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Never inline the key into M code.  </w:t>
      </w:r>
      <w:r>
        <w:rPr>
          <w:rFonts w:ascii="Times New Roman" w:cs="Times New Roman" w:eastAsia="Times New Roman" w:hAnsi="Times New Roman"/>
          <w:sz w:val="21"/>
          <w:szCs w:val="21"/>
        </w:rPr>
        <w:t xml:space="preserve">A parameter keeps the key out of query text, and it is also the mechanism that stops Power BI classifying the source as a dynamic data source. Both reasons matter; §3.6 explains the second. Document 00 §12 covers checking that the key did not leak into the PBIP text before the first push.</w:t>
      </w:r>
    </w:p>
    <w:p>
      <w:pPr>
        <w:pStyle w:val="Heading2"/>
        <w:spacing w:after="120" w:before="280"/>
      </w:pPr>
      <w:r>
        <w:rPr>
          <w:rFonts w:ascii="Times New Roman" w:cs="Times New Roman" w:eastAsia="Times New Roman" w:hAnsi="Times New Roman"/>
          <w:b/>
          <w:bCs/>
          <w:color w:val="2E5496"/>
          <w:sz w:val="25"/>
          <w:szCs w:val="25"/>
        </w:rPr>
        <w:t xml:space="preserve">3.2 Endpoint anatomy</w:t>
      </w:r>
    </w:p>
    <w:p>
      <w:pPr>
        <w:pBdr>
          <w:left w:val="single" w:color="A6A6A6" w:sz="12" w:space="6"/>
        </w:pBdr>
        <w:shd w:fill="F2F2F2" w:color="auto" w:val="clear"/>
        <w:spacing w:after="160" w:before="120" w:line="240"/>
        <w:ind w:left="180"/>
      </w:pPr>
      <w:r>
        <w:rPr>
          <w:rFonts w:ascii="Consolas" w:cs="Consolas" w:eastAsia="Consolas" w:hAnsi="Consolas"/>
          <w:sz w:val="16"/>
          <w:szCs w:val="16"/>
        </w:rPr>
        <w:t xml:space="preserve">https://api.census.gov/data/timeseries/eits/marts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4118"/>
        <w:gridCol w:w="3370"/>
      </w:tblGrid>
      <w:tr>
        <w:trPr>
          <w:tblHeader/>
        </w:trPr>
        <w:tc>
          <w:tcPr>
            <w:tcW w:type="dxa" w:w="187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Parameter</w:t>
            </w:r>
          </w:p>
        </w:tc>
        <w:tc>
          <w:tcPr>
            <w:tcW w:type="dxa" w:w="4118"/>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Meaning</w:t>
            </w:r>
          </w:p>
        </w:tc>
        <w:tc>
          <w:tcPr>
            <w:tcW w:type="dxa" w:w="3370"/>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Value used here</w:t>
            </w:r>
          </w:p>
        </w:tc>
      </w:tr>
      <w:tr>
        <w:trPr>
          <w:cantSplit/>
        </w:trPr>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get</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Comma-separated fields to return</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cell_value, category_code, data_type_code, seasonally_adj, time_slot_name</w:t>
            </w:r>
          </w:p>
        </w:tc>
      </w:tr>
      <w:tr>
        <w:trPr>
          <w:cantSplit/>
        </w:trPr>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for</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Geography predicate</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us:*</w:t>
            </w:r>
          </w:p>
        </w:tc>
      </w:tr>
      <w:tr>
        <w:trPr>
          <w:cantSplit/>
        </w:trPr>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time</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Reference period or range</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from 2015-01 to 2026-07</w:t>
            </w:r>
          </w:p>
        </w:tc>
      </w:tr>
      <w:tr>
        <w:trPr>
          <w:cantSplit/>
        </w:trPr>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category_code</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NAICS kind-of-business list (required)</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nineteen codes in Table 3.1</w:t>
            </w:r>
          </w:p>
        </w:tc>
      </w:tr>
      <w:tr>
        <w:trPr>
          <w:cantSplit/>
        </w:trPr>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data_type_code</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Item type (required)</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SM — monthly sales, millions of dollars</w:t>
            </w:r>
          </w:p>
        </w:tc>
      </w:tr>
      <w:tr>
        <w:trPr>
          <w:cantSplit/>
        </w:trPr>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seasonally_adj</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Seasonal adjustment flag (required)</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yes</w:t>
            </w:r>
          </w:p>
        </w:tc>
      </w:tr>
      <w:tr>
        <w:trPr>
          <w:cantSplit/>
        </w:trPr>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key</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API key (required on every request)</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pCensusKey</w:t>
            </w:r>
          </w:p>
        </w:tc>
      </w:tr>
    </w:tbl>
    <w:p>
      <w:pPr>
        <w:pStyle w:val="Heading2"/>
        <w:spacing w:after="120" w:before="280"/>
      </w:pPr>
      <w:r>
        <w:rPr>
          <w:rFonts w:ascii="Times New Roman" w:cs="Times New Roman" w:eastAsia="Times New Roman" w:hAnsi="Times New Roman"/>
          <w:b/>
          <w:bCs/>
          <w:color w:val="2E5496"/>
          <w:sz w:val="25"/>
          <w:szCs w:val="25"/>
        </w:rPr>
        <w:t xml:space="preserve">3.3 Kind-of-business category codes</w:t>
      </w:r>
    </w:p>
    <w:p>
      <w:pPr>
        <w:spacing w:after="120" w:line="276"/>
      </w:pPr>
      <w:r>
        <w:rPr>
          <w:rFonts w:ascii="Times New Roman" w:cs="Times New Roman" w:eastAsia="Times New Roman" w:hAnsi="Times New Roman"/>
          <w:sz w:val="22"/>
          <w:szCs w:val="22"/>
        </w:rPr>
        <w:t xml:space="preserve">These are the categories published in the current MARTS release. Aggregates first, then NAICS kinds of business.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4118"/>
        <w:gridCol w:w="3931"/>
      </w:tblGrid>
      <w:tr>
        <w:trPr>
          <w:tblHeader/>
        </w:trPr>
        <w:tc>
          <w:tcPr>
            <w:tcW w:type="dxa" w:w="1310"/>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Code</w:t>
            </w:r>
          </w:p>
        </w:tc>
        <w:tc>
          <w:tcPr>
            <w:tcW w:type="dxa" w:w="4118"/>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Kind of business</w:t>
            </w:r>
          </w:p>
        </w:tc>
        <w:tc>
          <w:tcPr>
            <w:tcW w:type="dxa" w:w="3931"/>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Role in this model</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44X72</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Retail trade and food services, total</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Headline; denominator for every share measure</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44000</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Retail trade excluding food services</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Secondary headline; numerator of the goods-to-services ratio</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441</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Motor vehicle and parts dealers</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Rate-sensitive, high ticket</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442</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Furniture and home furnishings stores</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Housing-linked discretionary</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443</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Electronics and appliance stores</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Discretionary</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444</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Building material and garden equipment dealers</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Housing-linked</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445</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Food and beverage stores</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Staples</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4453</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Beer, wine and liquor stores</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national comparator for Tier 3 — the single most important code in this model</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446</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Health and personal care stores</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Staples</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447</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Gasoline stations</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Price-driven; the cleanest illustration of nominal versus real</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448</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Clothing and clothing accessories stores</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Discretionary</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451</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Sporting goods, hobby, musical instrument and book stores</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Discretionary</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452</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General merchandise stores</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Mass-market bellwether</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4522</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Department stores</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Structural decline</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452311</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Warehouse clubs and supercenters</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Share gainer against 4522</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453</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Miscellaneous store retailers</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Residual</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454</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Nonstore retailers</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E-commerce proxy</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4541</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Electronic shopping and mail-order houses</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Cleanest e-commerce series</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722</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Food services and drinking places</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Goods-versus-services rotation, and the national check on the channel story</w:t>
            </w:r>
          </w:p>
        </w:tc>
      </w:tr>
    </w:tbl>
    <w:p>
      <w:pPr>
        <w:spacing w:after="200" w:before="40"/>
      </w:pPr>
      <w:r>
        <w:rPr>
          <w:rFonts w:ascii="Times New Roman" w:cs="Times New Roman" w:eastAsia="Times New Roman" w:hAnsi="Times New Roman"/>
          <w:i/>
          <w:iCs/>
          <w:color w:val="595959"/>
          <w:sz w:val="19"/>
          <w:szCs w:val="19"/>
        </w:rPr>
        <w:t xml:space="preserve">Table 3.1 — MARTS categories used in this model.</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Verify the codes against the live API before building on them.  </w:t>
      </w:r>
      <w:r>
        <w:rPr>
          <w:rFonts w:ascii="Times New Roman" w:cs="Times New Roman" w:eastAsia="Times New Roman" w:hAnsi="Times New Roman"/>
          <w:sz w:val="21"/>
          <w:szCs w:val="21"/>
        </w:rPr>
        <w:t xml:space="preserve">Census revises the published category set periodically, and NAICS vintage changes alter what a code means. Run §3.4 once after obtaining your key and reconcile what comes back against this table.</w:t>
      </w:r>
    </w:p>
    <w:p>
      <w:pPr>
        <w:pStyle w:val="Heading2"/>
        <w:spacing w:after="120" w:before="280"/>
      </w:pPr>
      <w:r>
        <w:rPr>
          <w:rFonts w:ascii="Times New Roman" w:cs="Times New Roman" w:eastAsia="Times New Roman" w:hAnsi="Times New Roman"/>
          <w:b/>
          <w:bCs/>
          <w:color w:val="2E5496"/>
          <w:sz w:val="25"/>
          <w:szCs w:val="25"/>
        </w:rPr>
        <w:t xml:space="preserve">3.4 Discovery query — run once, then disable its load</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let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Fields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"cell_value,category_code,data_type_code,seasonally_adj,time_slot_name",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Source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Json.Document(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Web.Contents(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"https://api.census.gov",</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RelativePath = "data/timeseries/eits/marts",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Query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get    = Fields,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#"for" = "us:*",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time   = "2026-07",</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key    = pCensusKey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EITS returns an array of arrays; row 0 is the header row.</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AsTable  = Table.FromRows(List.Skip(Source, 1), List.First(Source)),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Distinct = Table.Distinct(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Table.SelectColumns(AsTable, {"category_code", "data_type_code"})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Sorted   = Table.Sort(Distinct, {{"category_code", Order.Ascending}})</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in</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    Sorted</w:t>
      </w:r>
    </w:p>
    <w:p>
      <w:pPr>
        <w:pStyle w:val="Heading2"/>
        <w:spacing w:after="120" w:before="280"/>
      </w:pPr>
      <w:r>
        <w:rPr>
          <w:rFonts w:ascii="Times New Roman" w:cs="Times New Roman" w:eastAsia="Times New Roman" w:hAnsi="Times New Roman"/>
          <w:b/>
          <w:bCs/>
          <w:color w:val="2E5496"/>
          <w:sz w:val="25"/>
          <w:szCs w:val="25"/>
        </w:rPr>
        <w:t xml:space="preserve">3.5 Production query — FactSectorSales</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let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Parameters: pCensusKey, pStartPeriod, pEndPeriod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Fields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"cell_value,category_code,data_type_code,seasonally_adj,time_slot_name",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CategoryList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"44X72,44000,441,442,443,444,445,4453,446,447,448,"</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&amp; "451,452,4522,452311,453,454,4541,722",</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Source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Json.Document(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Web.Contents(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"https://api.census.gov",</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RelativePath = "data/timeseries/eits/marts",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Query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get            = Fields,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#"for"         = "us:*",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time           = "from " &amp; pStartPeriod &amp; " to " &amp; pEndPeriod,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category_code  = CategoryList,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data_type_code = "SM",</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seasonally_adj = "yes",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key            = pCensusKey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AsTable = Table.FromRows(List.Skip(Source, 1), List.First(Source)),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time_slot_name arrives as "July 2026"; normalise to a month start.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AddDate = Table.AddColumn(</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AsTable, "ReportDate",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each Date.StartOfMonth(Date.From([time_slot_name])),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type date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AddKey  = Table.AddColumn(</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AddDate, "DateKey",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each Date.Year([ReportDate]) * 10000</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Date.Month([ReportDate]) * 100 + 1,</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Int64.Type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Typed   = Table.TransformColumnTypes(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AddKey,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{"cell_value",    Int64.Type},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{"category_code", type text}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cell_value under data_type_code "SM" is MILLIONS OF DOLLARS.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Renamed = Table.RenameColumns(Typed, {{"cell_value", "SalesMillionsUSD"}}),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Cleaned = Table.SelectColumns(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Renamed,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{"DateKey", "ReportDate", "category_code", "SalesMillionsUSD"}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NoNulls = Table.SelectRows(Cleaned, each [SalesMillionsUSD] &lt;&gt;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in</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    NoNulls</w:t>
      </w:r>
    </w:p>
    <w:p>
      <w:pPr>
        <w:pStyle w:val="Heading2"/>
        <w:spacing w:after="120" w:before="280"/>
      </w:pPr>
      <w:r>
        <w:rPr>
          <w:rFonts w:ascii="Times New Roman" w:cs="Times New Roman" w:eastAsia="Times New Roman" w:hAnsi="Times New Roman"/>
          <w:b/>
          <w:bCs/>
          <w:color w:val="2E5496"/>
          <w:sz w:val="25"/>
          <w:szCs w:val="25"/>
        </w:rPr>
        <w:t xml:space="preserve">3.6 Why RelativePath and Query are mandatory</w:t>
      </w:r>
    </w:p>
    <w:p>
      <w:pPr>
        <w:spacing w:after="120" w:line="276"/>
      </w:pPr>
      <w:r>
        <w:rPr>
          <w:rFonts w:ascii="Times New Roman" w:cs="Times New Roman" w:eastAsia="Times New Roman" w:hAnsi="Times New Roman"/>
          <w:sz w:val="22"/>
          <w:szCs w:val="22"/>
        </w:rPr>
        <w:t xml:space="preserve">Power BI classifies a web source as dynamic when the connection URL cannot be determined until the query runs. Semantic models using dynamic data sources cannot, in most cases, be refreshed in the Power BI Service. Building the URL by concatenation produces exactly that failure — and it passes in Desktop, failing only after publication, which is the worst possible time to find out.</w:t>
      </w:r>
    </w:p>
    <w:p>
      <w:pPr>
        <w:spacing w:after="120" w:line="276"/>
      </w:pPr>
      <w:r>
        <w:rPr>
          <w:rFonts w:ascii="Times New Roman" w:cs="Times New Roman" w:eastAsia="Times New Roman" w:hAnsi="Times New Roman"/>
          <w:sz w:val="22"/>
          <w:szCs w:val="22"/>
        </w:rPr>
        <w:t xml:space="preserve">Microsoft documents two exceptions that do refresh, and both are used above: Web.Contents called with the RelativePath and Query options, and queries that reference Power Query parameters. Keeping the base URL a static literal and pushing everything variable into the Query record satisfies both.</w:t>
      </w:r>
    </w:p>
    <w:p>
      <w:pPr>
        <w:spacing w:after="120" w:line="276"/>
      </w:pPr>
      <w:r>
        <w:rPr>
          <w:rFonts w:ascii="Times New Roman" w:cs="Times New Roman" w:eastAsia="Times New Roman" w:hAnsi="Times New Roman"/>
          <w:sz w:val="22"/>
          <w:szCs w:val="22"/>
        </w:rPr>
        <w:t xml:space="preserve">To confirm: Transform data → Data source settings → Data sources in current file. No dynamic-data-source warning should appear against api.census.gov.</w:t>
      </w:r>
    </w:p>
    <w:p>
      <w:pPr>
        <w:pStyle w:val="Heading1"/>
        <w:spacing w:after="160" w:before="360"/>
      </w:pPr>
      <w:r>
        <w:rPr>
          <w:rFonts w:ascii="Times New Roman" w:cs="Times New Roman" w:eastAsia="Times New Roman" w:hAnsi="Times New Roman"/>
          <w:b/>
          <w:bCs/>
          <w:color w:val="1F3864"/>
          <w:sz w:val="30"/>
          <w:szCs w:val="30"/>
        </w:rPr>
        <w:t xml:space="preserve">4. Source B — FRED Macroeconomic Series</w:t>
      </w:r>
    </w:p>
    <w:p>
      <w:pPr>
        <w:spacing w:after="120" w:line="276"/>
      </w:pPr>
      <w:r>
        <w:rPr>
          <w:rFonts w:ascii="Times New Roman" w:cs="Times New Roman" w:eastAsia="Times New Roman" w:hAnsi="Times New Roman"/>
          <w:sz w:val="22"/>
          <w:szCs w:val="22"/>
        </w:rPr>
        <w:t xml:space="preserve">FRED publishes each series as a CSV at a stable URL and needs no key. Nine series form the macro tier. Rather than nine near-identical queries, the model defines one function and invokes it over a list — the pattern a reviewer expects to see, and the reason adding a tenth series later is a one-line change.</w:t>
      </w:r>
    </w:p>
    <w:p>
      <w:pPr>
        <w:pStyle w:val="Heading2"/>
        <w:spacing w:after="120" w:before="280"/>
      </w:pPr>
      <w:r>
        <w:rPr>
          <w:rFonts w:ascii="Times New Roman" w:cs="Times New Roman" w:eastAsia="Times New Roman" w:hAnsi="Times New Roman"/>
          <w:b/>
          <w:bCs/>
          <w:color w:val="2E5496"/>
          <w:sz w:val="25"/>
          <w:szCs w:val="25"/>
        </w:rPr>
        <w:t xml:space="preserve">4.1 Series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91"/>
        <w:gridCol w:w="3463"/>
        <w:gridCol w:w="2434"/>
        <w:gridCol w:w="1872"/>
      </w:tblGrid>
      <w:tr>
        <w:trPr>
          <w:tblHeader/>
        </w:trPr>
        <w:tc>
          <w:tcPr>
            <w:tcW w:type="dxa" w:w="1591"/>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Series ID</w:t>
            </w:r>
          </w:p>
        </w:tc>
        <w:tc>
          <w:tcPr>
            <w:tcW w:type="dxa" w:w="3463"/>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Title</w:t>
            </w:r>
          </w:p>
        </w:tc>
        <w:tc>
          <w:tcPr>
            <w:tcW w:type="dxa" w:w="243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Units</w:t>
            </w:r>
          </w:p>
        </w:tc>
        <w:tc>
          <w:tcPr>
            <w:tcW w:type="dxa" w:w="187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Role</w:t>
            </w:r>
          </w:p>
        </w:tc>
      </w:tr>
      <w:tr>
        <w:trPr>
          <w:cantSplit/>
        </w:trPr>
        <w:tc>
          <w:tcPr>
            <w:tcW w:type="dxa" w:w="159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CPIAUCSL</w:t>
            </w:r>
          </w:p>
        </w:tc>
        <w:tc>
          <w:tcPr>
            <w:tcW w:type="dxa" w:w="346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CPI for All Urban Consumers: All Items</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Index 1982-84=100, SA</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Inflation; the deflator</w:t>
            </w:r>
          </w:p>
        </w:tc>
      </w:tr>
      <w:tr>
        <w:trPr>
          <w:cantSplit/>
        </w:trPr>
        <w:tc>
          <w:tcPr>
            <w:tcW w:type="dxa" w:w="159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RSAFS</w:t>
            </w:r>
          </w:p>
        </w:tc>
        <w:tc>
          <w:tcPr>
            <w:tcW w:type="dxa" w:w="346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Advance Retail Sales: Retail and Food Services</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Millions of dollars, SA</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Nominal headline</w:t>
            </w:r>
          </w:p>
        </w:tc>
      </w:tr>
      <w:tr>
        <w:trPr>
          <w:cantSplit/>
        </w:trPr>
        <w:tc>
          <w:tcPr>
            <w:tcW w:type="dxa" w:w="159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RRSFS</w:t>
            </w:r>
          </w:p>
        </w:tc>
        <w:tc>
          <w:tcPr>
            <w:tcW w:type="dxa" w:w="346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Advance Real Retail and Food Services Sales</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Millions of 1982-84 dollars, SA</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Real headline; cross-check on the deflation</w:t>
            </w:r>
          </w:p>
        </w:tc>
      </w:tr>
      <w:tr>
        <w:trPr>
          <w:cantSplit/>
        </w:trPr>
        <w:tc>
          <w:tcPr>
            <w:tcW w:type="dxa" w:w="159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MRTSSM452USS</w:t>
            </w:r>
          </w:p>
        </w:tc>
        <w:tc>
          <w:tcPr>
            <w:tcW w:type="dxa" w:w="346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Retail Sales: General Merchandise Stores</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Millions of dollars, SA</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Sector cross-check against the API</w:t>
            </w:r>
          </w:p>
        </w:tc>
      </w:tr>
      <w:tr>
        <w:trPr>
          <w:cantSplit/>
        </w:trPr>
        <w:tc>
          <w:tcPr>
            <w:tcW w:type="dxa" w:w="159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FEDFUNDS</w:t>
            </w:r>
          </w:p>
        </w:tc>
        <w:tc>
          <w:tcPr>
            <w:tcW w:type="dxa" w:w="346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Federal Funds Effective Rate</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Percent</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Policy rate; X variable of Rate Sensitivity Beta</w:t>
            </w:r>
          </w:p>
        </w:tc>
      </w:tr>
      <w:tr>
        <w:trPr>
          <w:cantSplit/>
        </w:trPr>
        <w:tc>
          <w:tcPr>
            <w:tcW w:type="dxa" w:w="159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UMCSENT</w:t>
            </w:r>
          </w:p>
        </w:tc>
        <w:tc>
          <w:tcPr>
            <w:tcW w:type="dxa" w:w="346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University of Michigan: Consumer Sentiment</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Index 1966:Q1=100</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Demand expectation</w:t>
            </w:r>
          </w:p>
        </w:tc>
      </w:tr>
      <w:tr>
        <w:trPr>
          <w:cantSplit/>
        </w:trPr>
        <w:tc>
          <w:tcPr>
            <w:tcW w:type="dxa" w:w="159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UNRATE</w:t>
            </w:r>
          </w:p>
        </w:tc>
        <w:tc>
          <w:tcPr>
            <w:tcW w:type="dxa" w:w="346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Unemployment Rate</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Percent, SA</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Labour slack</w:t>
            </w:r>
          </w:p>
        </w:tc>
      </w:tr>
      <w:tr>
        <w:trPr>
          <w:cantSplit/>
        </w:trPr>
        <w:tc>
          <w:tcPr>
            <w:tcW w:type="dxa" w:w="159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PSAVERT</w:t>
            </w:r>
          </w:p>
        </w:tc>
        <w:tc>
          <w:tcPr>
            <w:tcW w:type="dxa" w:w="346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Personal Saving Rate</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Percent, SA</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Precautionary saving</w:t>
            </w:r>
          </w:p>
        </w:tc>
      </w:tr>
      <w:tr>
        <w:trPr>
          <w:cantSplit/>
        </w:trPr>
        <w:tc>
          <w:tcPr>
            <w:tcW w:type="dxa" w:w="159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DSPIC96</w:t>
            </w:r>
          </w:p>
        </w:tc>
        <w:tc>
          <w:tcPr>
            <w:tcW w:type="dxa" w:w="346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Real Disposable Personal Income</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Billions of chained dollars, SA</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Purchasing power</w:t>
            </w:r>
          </w:p>
        </w:tc>
      </w:tr>
    </w:tbl>
    <w:p>
      <w:pPr>
        <w:spacing w:after="200" w:before="40"/>
      </w:pPr>
      <w:r>
        <w:rPr>
          <w:rFonts w:ascii="Times New Roman" w:cs="Times New Roman" w:eastAsia="Times New Roman" w:hAnsi="Times New Roman"/>
          <w:i/>
          <w:iCs/>
          <w:color w:val="595959"/>
          <w:sz w:val="19"/>
          <w:szCs w:val="19"/>
        </w:rPr>
        <w:t xml:space="preserve">Table 4.1 — FRED series. All monthly.</w:t>
      </w:r>
    </w:p>
    <w:p>
      <w:pPr>
        <w:pStyle w:val="Heading2"/>
        <w:spacing w:after="120" w:before="280"/>
      </w:pPr>
      <w:r>
        <w:rPr>
          <w:rFonts w:ascii="Times New Roman" w:cs="Times New Roman" w:eastAsia="Times New Roman" w:hAnsi="Times New Roman"/>
          <w:b/>
          <w:bCs/>
          <w:color w:val="2E5496"/>
          <w:sz w:val="25"/>
          <w:szCs w:val="25"/>
        </w:rPr>
        <w:t xml:space="preserve">4.2 fnGetFredSeries</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let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fnGetFredSeries = (SeriesId as text) as table =&gt;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let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Source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Csv.Document(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Web.Contents(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"https://fred.stlouisfed.org",</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RelativePath = "graph/fredgraph.csv",</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Query        = [ id = SeriesId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Delimiter = ",", Encoding = 65001, QuoteStyle = QuoteStyle.Csv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Promoted = Table.PromoteHeaders(Source, [PromoteAllScalars = true]),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Rename POSITIONALLY, not by name. FRED has changed the date column</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header historically; position has been stable. This keeps the query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from breaking on an upstream header change.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Renamed  = Table.RenameColumns(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Promoted,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List.Zip({</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List.FirstN(Table.ColumnNames(Promoted), 2),</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{"ReportDate", "Value"}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Typed    = Table.TransformColumnTypes(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Renamed,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{{"ReportDate", type date}, {"Value", type number}}</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FRED writes "." for missing observations; these become nulls above.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NoNulls  = Table.SelectRows(Typed, each [Value] &lt;&gt;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Tagged   = Table.AddColumn(NoNulls, "SeriesId", each SeriesId, type text),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AddKey   = Table.AddColumn(</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Tagged, "DateKey",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each Date.Year([ReportDate]) * 10000</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Date.Month([ReportDate]) * 100 + 1,</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Int64.Type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Final    = Table.SelectColumns(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AddKey,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{"DateKey", "ReportDate", "SeriesId", "Value"}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in</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Final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in</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    fnGetFredSeries</w:t>
      </w:r>
    </w:p>
    <w:p>
      <w:pPr>
        <w:pStyle w:val="Heading2"/>
        <w:spacing w:after="120" w:before="280"/>
      </w:pPr>
      <w:r>
        <w:rPr>
          <w:rFonts w:ascii="Times New Roman" w:cs="Times New Roman" w:eastAsia="Times New Roman" w:hAnsi="Times New Roman"/>
          <w:b/>
          <w:bCs/>
          <w:color w:val="2E5496"/>
          <w:sz w:val="25"/>
          <w:szCs w:val="25"/>
        </w:rPr>
        <w:t xml:space="preserve">4.3 FactMacro</w:t>
      </w:r>
    </w:p>
    <w:p>
      <w:pPr>
        <w:spacing w:after="120" w:line="276"/>
      </w:pPr>
      <w:r>
        <w:rPr>
          <w:rFonts w:ascii="Times New Roman" w:cs="Times New Roman" w:eastAsia="Times New Roman" w:hAnsi="Times New Roman"/>
          <w:sz w:val="22"/>
          <w:szCs w:val="22"/>
        </w:rPr>
        <w:t xml:space="preserve">This produces a narrow, unpivoted fact — one row per series per month — which is the correct shape for a star schema and avoids a wide table that must be re-edited every time a series is added.</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let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SeriesList =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"CPIAUCSL", "RSAFS", "RRSFS", "MRTSSM452USS",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"FEDFUNDS", "UMCSENT", "UNRATE", "PSAVERT", "DSPIC96"</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AsTable  = Table.FromList(SeriesList, Splitter.SplitByNothing(), {"SeriesId"}),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Invoked  = Table.AddColumn(AsTable, "Data", each fnGetFredSeries([SeriesId])),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Expanded = Table.ExpandTableColumn(</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Invoked, "Data",</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{"DateKey", "ReportDate", "Value"},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{"DateKey", "ReportDate", "Value"}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Typed    = Table.TransformColumnTypes(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Expanded,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{"DateKey",    Int64.Type},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{"ReportDate", type date},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{"Value",      type number}</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Restrict to the analysis window so the macro tier aligns with Tier 3.</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Windowed = Table.SelectRows(Typed, each [ReportDate] &gt;= #date(2017, 1, 1))</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in</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    Windowed</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Never aggregate FactMacro[Value] across SeriesId.  </w:t>
      </w:r>
      <w:r>
        <w:rPr>
          <w:rFonts w:ascii="Times New Roman" w:cs="Times New Roman" w:eastAsia="Times New Roman" w:hAnsi="Times New Roman"/>
          <w:sz w:val="21"/>
          <w:szCs w:val="21"/>
        </w:rPr>
        <w:t xml:space="preserve">Nine series with nine different units share one column. SUM across them is arithmetic on incompatible quantities. Every macro measure in document 20 filters to exactly one SeriesId before aggregating, and that is not a stylistic choice.</w:t>
      </w:r>
    </w:p>
    <w:p>
      <w:pPr>
        <w:pStyle w:val="Heading2"/>
        <w:spacing w:after="120" w:before="280"/>
      </w:pPr>
      <w:r>
        <w:rPr>
          <w:rFonts w:ascii="Times New Roman" w:cs="Times New Roman" w:eastAsia="Times New Roman" w:hAnsi="Times New Roman"/>
          <w:b/>
          <w:bCs/>
          <w:color w:val="2E5496"/>
          <w:sz w:val="25"/>
          <w:szCs w:val="25"/>
        </w:rPr>
        <w:t xml:space="preserve">4.4 DimIndicator</w:t>
      </w:r>
    </w:p>
    <w:p>
      <w:pPr>
        <w:spacing w:after="120" w:line="276"/>
      </w:pPr>
      <w:r>
        <w:rPr>
          <w:rFonts w:ascii="Times New Roman" w:cs="Times New Roman" w:eastAsia="Times New Roman" w:hAnsi="Times New Roman"/>
          <w:sz w:val="22"/>
          <w:szCs w:val="22"/>
        </w:rPr>
        <w:t xml:space="preserve">Build this with Enter Data, from Table 4.1. Columns: SeriesId, IndicatorName, Units, Tier, DisplayOrder, HigherIsBetter. Entering it rather than deriving it means units are governed in the model and cannot drift when a source header changes.</w:t>
      </w:r>
    </w:p>
    <w:p>
      <w:pPr>
        <w:pStyle w:val="Heading1"/>
        <w:spacing w:after="160" w:before="360"/>
      </w:pPr>
      <w:r>
        <w:rPr>
          <w:rFonts w:ascii="Times New Roman" w:cs="Times New Roman" w:eastAsia="Times New Roman" w:hAnsi="Times New Roman"/>
          <w:b/>
          <w:bCs/>
          <w:color w:val="1F3864"/>
          <w:sz w:val="30"/>
          <w:szCs w:val="30"/>
        </w:rPr>
        <w:t xml:space="preserve">5. Source C — Montgomery County into SQL Server</w:t>
      </w:r>
    </w:p>
    <w:p>
      <w:pPr>
        <w:spacing w:after="120" w:line="276"/>
      </w:pPr>
      <w:r>
        <w:rPr>
          <w:rFonts w:ascii="Times New Roman" w:cs="Times New Roman" w:eastAsia="Times New Roman" w:hAnsi="Times New Roman"/>
          <w:sz w:val="22"/>
          <w:szCs w:val="22"/>
        </w:rPr>
        <w:t xml:space="preserve">This is the only source with item-level grain and enough volume to warrant a relational database: 330,080 rows over 2017–2026, nine columns, with genuine data quality defects. It justifies a staging-to-warehouse pattern rather than a direct load, and that pattern is a large part of what the project demonstrates.</w:t>
      </w:r>
    </w:p>
    <w:p>
      <w:pPr>
        <w:pStyle w:val="Heading2"/>
        <w:spacing w:after="120" w:before="280"/>
      </w:pPr>
      <w:r>
        <w:rPr>
          <w:rFonts w:ascii="Times New Roman" w:cs="Times New Roman" w:eastAsia="Times New Roman" w:hAnsi="Times New Roman"/>
          <w:b/>
          <w:bCs/>
          <w:color w:val="2E5496"/>
          <w:sz w:val="25"/>
          <w:szCs w:val="25"/>
        </w:rPr>
        <w:t xml:space="preserve">5.1 Source profile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6739"/>
      </w:tblGrid>
      <w:tr>
        <w:trPr>
          <w:tblHeader/>
        </w:trPr>
        <w:tc>
          <w:tcPr>
            <w:tcW w:type="dxa" w:w="2621"/>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Attribute</w:t>
            </w:r>
          </w:p>
        </w:tc>
        <w:tc>
          <w:tcPr>
            <w:tcW w:type="dxa" w:w="6739"/>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Value</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Publisher</w:t>
            </w:r>
          </w:p>
        </w:tc>
        <w:tc>
          <w:tcPr>
            <w:tcW w:type="dxa" w:w="673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Montgomery County, Maryland (Alcohol Beverage Services)</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Portal / dataset</w:t>
            </w:r>
          </w:p>
        </w:tc>
        <w:tc>
          <w:tcPr>
            <w:tcW w:type="dxa" w:w="673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data.montgomerycountymd.gov, Socrata identifier v76h-r7br</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Rows / period</w:t>
            </w:r>
          </w:p>
        </w:tc>
        <w:tc>
          <w:tcPr>
            <w:tcW w:type="dxa" w:w="673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330,080 · 2017 through 2026 · updated monthly</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Columns</w:t>
            </w:r>
          </w:p>
        </w:tc>
        <w:tc>
          <w:tcPr>
            <w:tcW w:type="dxa" w:w="673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YEAR, MONTH, SUPPLIER, ITEM CODE, ITEM DESCRIPTION, ITEM TYPE, RETAIL SALES, RETAIL TRANSFERS, WAREHOUSE SALES</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Item types</w:t>
            </w:r>
          </w:p>
        </w:tc>
        <w:tc>
          <w:tcPr>
            <w:tcW w:type="dxa" w:w="673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Wine, Liquor, Beer, Kegs, Non-Alcohol</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Unit of measure</w:t>
            </w:r>
          </w:p>
        </w:tc>
        <w:tc>
          <w:tcPr>
            <w:tcW w:type="dxa" w:w="673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CASES. All three measure columns are counts of cases — not currency, not individual containers.</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Channel meaning</w:t>
            </w:r>
          </w:p>
        </w:tc>
        <w:tc>
          <w:tcPr>
            <w:tcW w:type="dxa" w:w="673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RETAIL SALES = cases to consumers (off-premise). WAREHOUSE SALES = cases to licensees (on-premise). RETAIL TRANSFERS = cases moved into dispensaries.</w:t>
            </w:r>
          </w:p>
        </w:tc>
      </w:tr>
    </w:tbl>
    <w:p>
      <w:pPr>
        <w:pStyle w:val="Heading2"/>
        <w:spacing w:after="120" w:before="280"/>
      </w:pPr>
      <w:r>
        <w:rPr>
          <w:rFonts w:ascii="Times New Roman" w:cs="Times New Roman" w:eastAsia="Times New Roman" w:hAnsi="Times New Roman"/>
          <w:b/>
          <w:bCs/>
          <w:color w:val="2E5496"/>
          <w:sz w:val="25"/>
          <w:szCs w:val="25"/>
        </w:rPr>
        <w:t xml:space="preserve">5.2 Extract</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REM  Full CSV export - the simplest route for a one-time load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https://data.montgomerycountymd.gov/api/views/v76h-r7br/rows.csv?accessType=DOWNLOAD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REM  SODA JSON endpoint, paged - use if you later automate incremental pulls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https://data.montgomerycountymd.gov/resource/v76h-r7br.json?$limit=50000&amp;$offset=0</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REM  Row count check</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https://data.montgomerycountymd.gov/resource/v76h-r7br.json?$select=count(*)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REM  Column metadata - where the "cases" definition comes from</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https://data.montgomerycountymd.gov/api/views/v76h-r7br/columns.json</w:t>
      </w:r>
    </w:p>
    <w:p>
      <w:pPr>
        <w:spacing w:after="120" w:line="276"/>
      </w:pPr>
      <w:r>
        <w:rPr>
          <w:rFonts w:ascii="Times New Roman" w:cs="Times New Roman" w:eastAsia="Times New Roman" w:hAnsi="Times New Roman"/>
          <w:sz w:val="22"/>
          <w:szCs w:val="22"/>
        </w:rPr>
        <w:t xml:space="preserve">Save to C:\Data\RetailEconomics\warehouse_and_retail_sales.csv — outside the repository. Document 00 §4.3 blocks CSV files from being committed.</w:t>
      </w:r>
    </w:p>
    <w:p>
      <w:pPr>
        <w:pStyle w:val="Heading2"/>
        <w:spacing w:after="120" w:before="280"/>
      </w:pPr>
      <w:r>
        <w:rPr>
          <w:rFonts w:ascii="Times New Roman" w:cs="Times New Roman" w:eastAsia="Times New Roman" w:hAnsi="Times New Roman"/>
          <w:b/>
          <w:bCs/>
          <w:color w:val="2E5496"/>
          <w:sz w:val="25"/>
          <w:szCs w:val="25"/>
        </w:rPr>
        <w:t xml:space="preserve">5.3 Database and schemas</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CREATE DATABASE RetailEconomics;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GO</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USE RetailEconomics;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GO</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CREATE SCHEMA stg AUTHORIZATION dbo;   -- landing, untyped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GO</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CREATE SCHEMA dw  AUTHORIZATION dbo;   -- conformed, typed</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GO</w:t>
      </w:r>
    </w:p>
    <w:p>
      <w:pPr>
        <w:pStyle w:val="Heading2"/>
        <w:spacing w:after="120" w:before="280"/>
      </w:pPr>
      <w:r>
        <w:rPr>
          <w:rFonts w:ascii="Times New Roman" w:cs="Times New Roman" w:eastAsia="Times New Roman" w:hAnsi="Times New Roman"/>
          <w:b/>
          <w:bCs/>
          <w:color w:val="2E5496"/>
          <w:sz w:val="25"/>
          <w:szCs w:val="25"/>
        </w:rPr>
        <w:t xml:space="preserve">5.4 Staging table</w:t>
      </w:r>
    </w:p>
    <w:p>
      <w:pPr>
        <w:spacing w:after="120" w:line="276"/>
      </w:pPr>
      <w:r>
        <w:rPr>
          <w:rFonts w:ascii="Times New Roman" w:cs="Times New Roman" w:eastAsia="Times New Roman" w:hAnsi="Times New Roman"/>
          <w:sz w:val="22"/>
          <w:szCs w:val="22"/>
        </w:rPr>
        <w:t xml:space="preserve">Every staging column is NVARCHAR. A flat-file import that types columns on the way in fails on the first malformed value and gives no useful diagnostic. Landing everything as text and converting deliberately is the pattern that survives a dirty source, and it is what lets §5.5 measure the damage before any of it reaches the model.</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CREATE TABLE stg.WarehouseRetailSales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[YEAR]              NVARCHAR(50)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[MONTH]             NVARCHAR(50)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[SUPPLIER]          NVARCHAR(255)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[ITEM CODE]         NVARCHAR(100)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[ITEM DESCRIPTION]  NVARCHAR(500)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[ITEM TYPE]         NVARCHAR(100)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[RETAIL SALES]      NVARCHAR(50)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[RETAIL TRANSFERS]  NVARCHAR(50)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[WAREHOUSE SALES]   NVARCHAR(50)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GO</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BULK INSERT stg.WarehouseRetailSales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FROM 'C:\Data\RetailEconomics\warehouse_and_retail_sales.csv'</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WITH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FORMAT          = 'CSV',</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FIRSTROW        = 2,</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FIELDTERMINATOR =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ROWTERMINATOR   = '0x0a',</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CODEPAGE        = '65001',</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TABLOCK</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GO</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SELECT COUNT(*) AS StagedRows FROM stg.WarehouseRetailSales;</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 Expect approximately 330,080</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If BULK INSERT is blocked.  </w:t>
      </w:r>
      <w:r>
        <w:rPr>
          <w:rFonts w:ascii="Times New Roman" w:cs="Times New Roman" w:eastAsia="Times New Roman" w:hAnsi="Times New Roman"/>
          <w:sz w:val="21"/>
          <w:szCs w:val="21"/>
        </w:rPr>
        <w:t xml:space="preserve">It requires the SQL Server service account to read the path. If the instance cannot reach C:\Data, use the SSMS 22 Import Flat File wizard (right-click the database → Tasks → Import Flat File) and set every column to NVARCHAR on the preview screen.</w:t>
      </w:r>
    </w:p>
    <w:p>
      <w:pPr>
        <w:pStyle w:val="Heading2"/>
        <w:spacing w:after="120" w:before="280"/>
      </w:pPr>
      <w:r>
        <w:rPr>
          <w:rFonts w:ascii="Times New Roman" w:cs="Times New Roman" w:eastAsia="Times New Roman" w:hAnsi="Times New Roman"/>
          <w:b/>
          <w:bCs/>
          <w:color w:val="2E5496"/>
          <w:sz w:val="25"/>
          <w:szCs w:val="25"/>
        </w:rPr>
        <w:t xml:space="preserve">5.5 Profile before you model</w:t>
      </w:r>
    </w:p>
    <w:p>
      <w:pPr>
        <w:spacing w:after="120" w:line="276"/>
      </w:pPr>
      <w:r>
        <w:rPr>
          <w:rFonts w:ascii="Times New Roman" w:cs="Times New Roman" w:eastAsia="Times New Roman" w:hAnsi="Times New Roman"/>
          <w:sz w:val="22"/>
          <w:szCs w:val="22"/>
        </w:rPr>
        <w:t xml:space="preserve">Run these before building anything. They are also the evidence base for the data-quality section of the published reports — a reviewer who sees the defects named is more inclined to trust the numbers than one who sees a clean result with no working.</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-- 1. Non-numeric values hiding in the measure columns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SELECT  SUM(CASE WHEN TRY_CONVERT(decimal(18,4), [RETAIL SALES])    IS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AND NULLIF(LTRIM(RTRIM([RETAIL SALES])), '')      IS NOT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THEN 1 ELSE 0 END) AS BadRetailSales,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SUM(CASE WHEN TRY_CONVERT(decimal(18,4), [WAREHOUSE SALES]) IS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AND NULLIF(LTRIM(RTRIM([WAREHOUSE SALES])), '')   IS NOT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THEN 1 ELSE 0 END) AS BadWarehouseSales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FROM    stg.WarehouseRetailSales;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-- 2. Negative values: legitimate returns and transfers, NOT errors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SELECT  COUNT(*) AS NegativeRetailRows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FROM    stg.WarehouseRetailSales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WHERE   TRY_CONVERT(decimal(18,4), [RETAIL SALES]) &lt; 0;</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-- 3. Blank or missing ITEM TYPE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SELECT  COUNT(*) AS BlankItemType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FROM    stg.WarehouseRetailSales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WHERE   NULLIF(LTRIM(RTRIM([ITEM TYPE])), '') IS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-- 4. Supplier name hygiene: whitespace and casing variants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SELECT  COUNT(DISTINCT [SUPPLIER])                      AS RawSuppliers,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COUNT(DISTINCT UPPER(LTRIM(RTRIM([SUPPLIER])))) AS NormalisedSuppliers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FROM    stg.WarehouseRetailSales;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-- 5. Period coverage and completeness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SELECT  [YEAR], COUNT(DISTINCT [MONTH]) AS MonthsPresent, COUNT(*) AS Rows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FROM    stg.WarehouseRetailSales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GROUP BY [YEAR]</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ORDER BY [YEAR];</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What you will find.  </w:t>
      </w:r>
      <w:r>
        <w:rPr>
          <w:rFonts w:ascii="Times New Roman" w:cs="Times New Roman" w:eastAsia="Times New Roman" w:hAnsi="Times New Roman"/>
          <w:sz w:val="21"/>
          <w:szCs w:val="21"/>
        </w:rPr>
        <w:t xml:space="preserve">Supplier names carry inconsistent casing and trailing whitespace. ITEM TYPE contains blanks. RETAIL SALES and RETAIL TRANSFERS contain legitimate negatives. The first and last years are partial. Handle each explicitly — the handling is the portfolio evidence, and silently filtering any of it away throws that away.</w:t>
      </w:r>
    </w:p>
    <w:p>
      <w:pPr>
        <w:pStyle w:val="Heading2"/>
        <w:spacing w:after="120" w:before="280"/>
      </w:pPr>
      <w:r>
        <w:rPr>
          <w:rFonts w:ascii="Times New Roman" w:cs="Times New Roman" w:eastAsia="Times New Roman" w:hAnsi="Times New Roman"/>
          <w:b/>
          <w:bCs/>
          <w:color w:val="2E5496"/>
          <w:sz w:val="25"/>
          <w:szCs w:val="25"/>
        </w:rPr>
        <w:t xml:space="preserve">5.6 Dimensions</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 ---------- Supplier ----------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CREATE TABLE dw.DimSupplier</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SupplierKey  INT IDENTITY(1,1) NOT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SupplierName NVARCHAR(255)     NOT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CONSTRAINT PK_DimSupplier PRIMARY KEY CLUSTERED (SupplierKey),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CONSTRAINT UQ_DimSupplier_Name UNIQUE (SupplierName)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GO</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INSERT INTO dw.DimSupplier (SupplierName)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SELECT DISTINCT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COALESCE(NULLIF(LTRIM(RTRIM([SUPPLIER])), ''), 'Unknown Supplier')</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FROM   stg.WarehouseRetailSales;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GO</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Item ----------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CREATE TABLE dw.DimItem</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ItemKey         INT IDENTITY(1,1) NOT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ItemCode        NVARCHAR(100)     NOT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ItemDescription NVARCHAR(500)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ItemType        NVARCHAR(100)     NOT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CONSTRAINT PK_DimItem PRIMARY KEY CLUSTERED (ItemKey),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CONSTRAINT UQ_DimItem_Code UNIQUE (ItemCode)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GO</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INSERT INTO dw.DimItem (ItemCode, ItemDescription, ItemType)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SELECT  LTRIM(RTRIM([ITEM CODE])),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MAX(LTRIM(RTRIM([ITEM DESCRIPTION]))),</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COALESCE(NULLIF(LTRIM(RTRIM(MAX([ITEM TYPE]))), ''), 'Unclassified')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FROM    stg.WarehouseRetailSales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WHERE   NULLIF(LTRIM(RTRIM([ITEM CODE])), '') IS NOT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GROUP BY LTRIM(RTRIM([ITEM CODE]));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GO</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Date: MONTHLY, shared by all three tiers ----------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CREATE TABLE dw.DimDate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DateKey     INT         NOT NULL,   -- YYYYMM01</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[Date]      DATE        NOT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[Year]      SMALLINT    NOT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[Quarter]   TINYINT     NOT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QuarterName CHAR(7)     NOT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MonthNumber TINYINT     NOT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MonthName   VARCHAR(12) NOT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MonthYear   CHAR(8)     NOT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CONSTRAINT PK_DimDate PRIMARY KEY CLUSTERED (DateKey)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GO</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;WITH Months AS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SELECT CAST('2015-01-01' AS DATE) AS 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UNION ALL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SELECT DATEADD(MONTH, 1, d) FROM Months WHERE d &lt; '2030-12-01'</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INSERT INTO dw.DimDate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(DateKey, [Date], [Year], [Quarter], QuarterName,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MonthNumber, MonthName, MonthYear)</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SELECT  YEAR(d) * 10000 + MONTH(d) * 100 + 1,</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 YEAR(d), DATEPART(QUARTER, 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CAST(YEAR(d) AS CHAR(4)) + ' Q' + CAST(DATEPART(QUARTER, d) AS CHAR(1)),</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MONTH(d), DATENAME(MONTH, 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LEFT(DATENAME(MONTH, d), 3) + ' ' + CAST(YEAR(d) AS CHAR(4))</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FROM    Months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OPTION (MAXRECURSION 0);</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GO</w:t>
      </w:r>
    </w:p>
    <w:p>
      <w:pPr>
        <w:pStyle w:val="Heading2"/>
        <w:spacing w:after="120" w:before="280"/>
      </w:pPr>
      <w:r>
        <w:rPr>
          <w:rFonts w:ascii="Times New Roman" w:cs="Times New Roman" w:eastAsia="Times New Roman" w:hAnsi="Times New Roman"/>
          <w:b/>
          <w:bCs/>
          <w:color w:val="2E5496"/>
          <w:sz w:val="25"/>
          <w:szCs w:val="25"/>
        </w:rPr>
        <w:t xml:space="preserve">5.7 Fact table and load procedure</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CREATE TABLE dw.FactItemMovement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ItemMovementKey BIGINT IDENTITY(1,1) NOT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DateKey         INT           NOT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SupplierKey     INT           NOT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ItemKey         INT           NOT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RetailSales     DECIMAL(18,4) NULL,   -- CASES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RetailTransfers DECIMAL(18,4) NULL,   -- CASES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WarehouseSales  DECIMAL(18,4) NULL,   -- CASES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CONSTRAINT PK_FactItemMovement PRIMARY KEY CLUSTERED (ItemMovementKey),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CONSTRAINT FK_FIM_Date     FOREIGN KEY (DateKey)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REFERENCES dw.DimDate (DateKey),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CONSTRAINT FK_FIM_Supplier FOREIGN KEY (SupplierKey)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REFERENCES dw.DimSupplier (SupplierKey),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CONSTRAINT FK_FIM_Item     FOREIGN KEY (ItemKey)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REFERENCES dw.DimItem (ItemKey)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GO</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CREATE OR ALTER PROCEDURE dw.usp_LoadFactItemMovement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AS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BEGIN</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SET NOCOUNT ON;</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SET XACT_ABORT ON;</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BEGIN TRAN;</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TRUNCATE TABLE dw.FactItemMovement;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INSERT INTO dw.FactItemMovement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(DateKey, SupplierKey, ItemKey,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RetailSales, RetailTransfers, WarehouseSales)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SELECT  d.DateKey,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s.SupplierKey,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i.ItemKey,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TRY_CONVERT(decimal(18,4), src.[RETAIL SALES]),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TRY_CONVERT(decimal(18,4), src.[RETAIL TRANSFERS]),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TRY_CONVERT(decimal(18,4), src.[WAREHOUSE SALES])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FROM    stg.WarehouseRetailSales AS src</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INNER JOIN dw.DimDate AS 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ON d.DateKey = TRY_CONVERT(int, src.[YEAR])  * 10000</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TRY_CONVERT(int, src.[MONTH]) * 100 + 1</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INNER JOIN dw.DimSupplier AS 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ON s.SupplierName = COALESCE(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NULLIF(LTRIM(RTRIM(src.[SUPPLIER])),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'Unknown Supplier')</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INNER JOIN dw.DimItem AS i</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ON i.ItemCode = LTRIM(RTRIM(src.[ITEM CODE]))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WHERE   TRY_CONVERT(int, src.[YEAR])  IS NOT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AND   TRY_CONVERT(int, src.[MONTH]) BETWEEN 1 AND 12;</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COMMIT TRAN;</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Reconciliation: this is not optional output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SELECT (SELECT COUNT(*) FROM stg.WarehouseRetailSales) AS StagedRows,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(SELECT COUNT(*) FROM dw.FactItemMovement)      AS LoadedRows;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END;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GO</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EXEC dw.usp_LoadFactItemMovement;</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GO</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Reconcile every load.  </w:t>
      </w:r>
      <w:r>
        <w:rPr>
          <w:rFonts w:ascii="Times New Roman" w:cs="Times New Roman" w:eastAsia="Times New Roman" w:hAnsi="Times New Roman"/>
          <w:sz w:val="21"/>
          <w:szCs w:val="21"/>
        </w:rPr>
        <w:t xml:space="preserve">The procedure returns staged and loaded counts deliberately. Any gap is rows rejected by the date predicate or by a failed dimension join. Investigate it — an unexplained row loss between staging and fact is the single most common defect in a portfolio ETL, and it is the first thing a reviewer with warehouse experience will check.</w:t>
      </w:r>
    </w:p>
    <w:p>
      <w:pPr>
        <w:pStyle w:val="Heading2"/>
        <w:spacing w:after="120" w:before="280"/>
      </w:pPr>
      <w:r>
        <w:rPr>
          <w:rFonts w:ascii="Times New Roman" w:cs="Times New Roman" w:eastAsia="Times New Roman" w:hAnsi="Times New Roman"/>
          <w:b/>
          <w:bCs/>
          <w:color w:val="2E5496"/>
          <w:sz w:val="25"/>
          <w:szCs w:val="25"/>
        </w:rPr>
        <w:t xml:space="preserve">5.8 Item lifecycle columns</w:t>
      </w:r>
    </w:p>
    <w:p>
      <w:pPr>
        <w:spacing w:after="120" w:line="276"/>
      </w:pPr>
      <w:r>
        <w:rPr>
          <w:rFonts w:ascii="Times New Roman" w:cs="Times New Roman" w:eastAsia="Times New Roman" w:hAnsi="Times New Roman"/>
          <w:sz w:val="22"/>
          <w:szCs w:val="22"/>
        </w:rPr>
        <w:t xml:space="preserve">Report 3 analyses when items entered the assortment and how long they survived. These are properties of the item, not of a movement row, so they belong on the dimension — computed once in SQL rather than recomputed in DAX on every visual. Putting them here rather than in a report-local calculated column also means all three reports inherit one definition.</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ALTER TABLE dw.DimItem ADD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FirstSeenDateKey INT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LastSeenDateKey  INT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CohortYear       SMALLINT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MonthsActive     SMALLINT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GO</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;WITH Span AS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SELECT  ItemKey,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MIN(DateKey)            AS FirstKey,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MAX(DateKey)            AS LastKey,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COUNT(DISTINCT DateKey) AS ActiveMonths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FROM    dw.FactItemMovement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GROUP BY ItemKey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UPDATE  i</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SET     i.FirstSeenDateKey = s.FirstKey,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i.LastSeenDateKey  = s.LastKey,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i.CohortYear       = s.FirstKey / 10000,</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i.MonthsActive     = s.ActiveMonths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FROM    dw.DimItem AS i</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INNER JOIN Span AS s ON s.ItemKey = i.ItemKey;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GO</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UPDATE dw.DimItem SET MonthsActive = 0 WHERE MonthsActive IS NULL;</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GO</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Re-run this after every fact reload.  </w:t>
      </w:r>
      <w:r>
        <w:rPr>
          <w:rFonts w:ascii="Times New Roman" w:cs="Times New Roman" w:eastAsia="Times New Roman" w:hAnsi="Times New Roman"/>
          <w:sz w:val="21"/>
          <w:szCs w:val="21"/>
        </w:rPr>
        <w:t xml:space="preserve">The lifecycle columns are derived from the fact table and go stale the moment it changes. Validation check 12 in §9 compares MAX(LastSeenDateKey) against MAX(DateKey) in the fact precisely to catch a forgotten re-run.</w:t>
      </w:r>
    </w:p>
    <w:p>
      <w:pPr>
        <w:spacing w:after="120" w:line="276"/>
      </w:pPr>
      <w:r>
        <w:rPr>
          <w:rFonts w:ascii="Times New Roman" w:cs="Times New Roman" w:eastAsia="Times New Roman" w:hAnsi="Times New Roman"/>
          <w:sz w:val="22"/>
          <w:szCs w:val="22"/>
        </w:rPr>
        <w:t xml:space="preserve">Two definitional points that affect how Report 3 is read. MonthsActive counts months WITH MOVEMENT, not calendar span — an item selling in 2018 and again in 2024 has two active months, not seventy-two, and survival analysis uses this because an item that stopped and reappeared did not survive continuously. And every item still selling in the last loaded month shares that month as LastSeenDateKey, so a naive discontinuation count spikes in the final period; the Discontinued Items measure excludes it.</w:t>
      </w:r>
    </w:p>
    <w:p>
      <w:pPr>
        <w:pStyle w:val="Heading2"/>
        <w:spacing w:after="120" w:before="280"/>
      </w:pPr>
      <w:r>
        <w:rPr>
          <w:rFonts w:ascii="Times New Roman" w:cs="Times New Roman" w:eastAsia="Times New Roman" w:hAnsi="Times New Roman"/>
          <w:b/>
          <w:bCs/>
          <w:color w:val="2E5496"/>
          <w:sz w:val="25"/>
          <w:szCs w:val="25"/>
        </w:rPr>
        <w:t xml:space="preserve">5.9 Indexing</w:t>
      </w:r>
    </w:p>
    <w:p>
      <w:pPr>
        <w:spacing w:after="120" w:line="276"/>
      </w:pPr>
      <w:r>
        <w:rPr>
          <w:rFonts w:ascii="Times New Roman" w:cs="Times New Roman" w:eastAsia="Times New Roman" w:hAnsi="Times New Roman"/>
          <w:sz w:val="22"/>
          <w:szCs w:val="22"/>
        </w:rPr>
        <w:t xml:space="preserve">A clustered rowstore primary key alone is the wrong shape for an analytic scan workload. At this row count the columnstore compression and batch-mode execution are measurable, and the decision is defensible in interview — which is the second reason to make it.</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CREATE NONCLUSTERED COLUMNSTORE INDEX NCCX_FactItemMovement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ON dw.FactItemMovement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(DateKey, SupplierKey, ItemKey,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RetailSales, RetailTransfers, WarehouseSales);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GO</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CREATE NONCLUSTERED INDEX IX_FactItemMovement_DateKey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ON dw.FactItemMovement (DateKey)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INCLUDE (RetailSales, WarehouseSales);</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GO</w:t>
      </w:r>
    </w:p>
    <w:p>
      <w:pPr>
        <w:pStyle w:val="Heading2"/>
        <w:spacing w:after="120" w:before="280"/>
      </w:pPr>
      <w:r>
        <w:rPr>
          <w:rFonts w:ascii="Times New Roman" w:cs="Times New Roman" w:eastAsia="Times New Roman" w:hAnsi="Times New Roman"/>
          <w:b/>
          <w:bCs/>
          <w:color w:val="2E5496"/>
          <w:sz w:val="25"/>
          <w:szCs w:val="25"/>
        </w:rPr>
        <w:t xml:space="preserve">5.10 Presentation views</w:t>
      </w:r>
    </w:p>
    <w:p>
      <w:pPr>
        <w:spacing w:after="120" w:line="276"/>
      </w:pPr>
      <w:r>
        <w:rPr>
          <w:rFonts w:ascii="Times New Roman" w:cs="Times New Roman" w:eastAsia="Times New Roman" w:hAnsi="Times New Roman"/>
          <w:sz w:val="22"/>
          <w:szCs w:val="22"/>
        </w:rPr>
        <w:t xml:space="preserve">Power BI connects to views, never to base tables. The view is the contract: it can be reshaped without touching the semantic model, and it keeps staging artifacts out of the Navigator where someone might select one by accident.</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CREATE OR ALTER VIEW dw.vw_ItemMovement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AS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SELECT  f.DateKey,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f.SupplierKey,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f.ItemKey,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f.RetailSales,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f.RetailTransfers,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f.WarehouseSales,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f.RetailSales + f.WarehouseSales AS TotalMovement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FROM    dw.FactItemMovement AS f;</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GO</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CREATE OR ALTER VIEW dw.vw_Item</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AS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SELECT  ItemKey, ItemCode, ItemDescription, ItemType,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FirstSeenDateKey, LastSeenDateKey, CohortYear, MonthsActive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FROM    dw.DimItem;</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GO</w:t>
      </w:r>
    </w:p>
    <w:p>
      <w:pPr>
        <w:spacing w:after="120" w:line="276"/>
      </w:pPr>
      <w:r>
        <w:rPr>
          <w:rFonts w:ascii="Times New Roman" w:cs="Times New Roman" w:eastAsia="Times New Roman" w:hAnsi="Times New Roman"/>
          <w:sz w:val="22"/>
          <w:szCs w:val="22"/>
        </w:rPr>
        <w:t xml:space="preserve">TotalMovement is computed in the view rather than in DAX so that all three reports inherit one definition of what "total cases" means.</w:t>
      </w:r>
    </w:p>
    <w:p>
      <w:pPr>
        <w:pStyle w:val="Heading2"/>
        <w:spacing w:after="120" w:before="280"/>
      </w:pPr>
      <w:r>
        <w:rPr>
          <w:rFonts w:ascii="Times New Roman" w:cs="Times New Roman" w:eastAsia="Times New Roman" w:hAnsi="Times New Roman"/>
          <w:b/>
          <w:bCs/>
          <w:color w:val="2E5496"/>
          <w:sz w:val="25"/>
          <w:szCs w:val="25"/>
        </w:rPr>
        <w:t xml:space="preserve">5.11 Connect Power BI</w:t>
      </w:r>
    </w:p>
    <w:p>
      <w:pPr>
        <w:pStyle w:val="ListParagraph"/>
        <w:numPr>
          <w:ilvl w:val="0"/>
          <w:numId w:val="4"/>
        </w:numPr>
        <w:spacing w:after="60" w:line="276"/>
      </w:pPr>
      <w:r>
        <w:rPr>
          <w:rFonts w:ascii="Times New Roman" w:cs="Times New Roman" w:eastAsia="Times New Roman" w:hAnsi="Times New Roman"/>
          <w:sz w:val="22"/>
          <w:szCs w:val="22"/>
        </w:rPr>
        <w:t xml:space="preserve">Get data → SQL Server database.</w:t>
      </w:r>
    </w:p>
    <w:p>
      <w:pPr>
        <w:pStyle w:val="ListParagraph"/>
        <w:numPr>
          <w:ilvl w:val="0"/>
          <w:numId w:val="4"/>
        </w:numPr>
        <w:spacing w:after="60" w:line="276"/>
      </w:pPr>
      <w:r>
        <w:rPr>
          <w:rFonts w:ascii="Times New Roman" w:cs="Times New Roman" w:eastAsia="Times New Roman" w:hAnsi="Times New Roman"/>
          <w:sz w:val="22"/>
          <w:szCs w:val="22"/>
        </w:rPr>
        <w:t xml:space="preserve">Server: BRUNO\MSSQLSERVER01. Database: RetailEconomics.</w:t>
      </w:r>
    </w:p>
    <w:p>
      <w:pPr>
        <w:pStyle w:val="ListParagraph"/>
        <w:numPr>
          <w:ilvl w:val="0"/>
          <w:numId w:val="4"/>
        </w:numPr>
        <w:spacing w:after="60" w:line="276"/>
      </w:pPr>
      <w:r>
        <w:rPr>
          <w:rFonts w:ascii="Times New Roman" w:cs="Times New Roman" w:eastAsia="Times New Roman" w:hAnsi="Times New Roman"/>
          <w:sz w:val="22"/>
          <w:szCs w:val="22"/>
        </w:rPr>
        <w:t xml:space="preserve">Data Connectivity mode: Import.</w:t>
      </w:r>
    </w:p>
    <w:p>
      <w:pPr>
        <w:pStyle w:val="ListParagraph"/>
        <w:numPr>
          <w:ilvl w:val="0"/>
          <w:numId w:val="4"/>
        </w:numPr>
        <w:spacing w:after="60" w:line="276"/>
      </w:pPr>
      <w:r>
        <w:rPr>
          <w:rFonts w:ascii="Times New Roman" w:cs="Times New Roman" w:eastAsia="Times New Roman" w:hAnsi="Times New Roman"/>
          <w:sz w:val="22"/>
          <w:szCs w:val="22"/>
        </w:rPr>
        <w:t xml:space="preserve">Select dw.vw_ItemMovement, dw.vw_Item, dw.DimSupplier and dw.DimDate. Do not select anything in the stg schema, and do not select dw.DimItem directly — dw.vw_Item is the contract.</w:t>
      </w:r>
    </w:p>
    <w:p>
      <w:pPr>
        <w:pStyle w:val="ListParagraph"/>
        <w:numPr>
          <w:ilvl w:val="0"/>
          <w:numId w:val="4"/>
        </w:numPr>
        <w:spacing w:after="60" w:line="276"/>
      </w:pPr>
      <w:r>
        <w:rPr>
          <w:rFonts w:ascii="Times New Roman" w:cs="Times New Roman" w:eastAsia="Times New Roman" w:hAnsi="Times New Roman"/>
          <w:sz w:val="22"/>
          <w:szCs w:val="22"/>
        </w:rPr>
        <w:t xml:space="preserve">Rename vw_ItemMovement to FactItemMovement and vw_Item to DimItem in the model.</w:t>
      </w:r>
    </w:p>
    <w:p>
      <w:pPr>
        <w:pStyle w:val="Heading1"/>
        <w:spacing w:after="160" w:before="360"/>
      </w:pPr>
      <w:r>
        <w:rPr>
          <w:rFonts w:ascii="Times New Roman" w:cs="Times New Roman" w:eastAsia="Times New Roman" w:hAnsi="Times New Roman"/>
          <w:b/>
          <w:bCs/>
          <w:color w:val="1F3864"/>
          <w:sz w:val="30"/>
          <w:szCs w:val="30"/>
        </w:rPr>
        <w:t xml:space="preserve">6. Source D — Excel Reference Workbook</w:t>
      </w:r>
    </w:p>
    <w:p>
      <w:pPr>
        <w:spacing w:after="120" w:line="276"/>
      </w:pPr>
      <w:r>
        <w:rPr>
          <w:rFonts w:ascii="Times New Roman" w:cs="Times New Roman" w:eastAsia="Times New Roman" w:hAnsi="Times New Roman"/>
          <w:sz w:val="22"/>
          <w:szCs w:val="22"/>
        </w:rPr>
        <w:t xml:space="preserve">Some mappings do not belong in a source system: they are analyst judgement, they change on a business cadence, and no upstream owner maintains them. A governed workbook is the correct home, and connecting to one is the third ingestion pattern.</w:t>
      </w:r>
    </w:p>
    <w:p>
      <w:pPr>
        <w:pStyle w:val="Heading2"/>
        <w:spacing w:after="120" w:before="280"/>
      </w:pPr>
      <w:r>
        <w:rPr>
          <w:rFonts w:ascii="Times New Roman" w:cs="Times New Roman" w:eastAsia="Times New Roman" w:hAnsi="Times New Roman"/>
          <w:b/>
          <w:bCs/>
          <w:color w:val="2E5496"/>
          <w:sz w:val="25"/>
          <w:szCs w:val="25"/>
        </w:rPr>
        <w:t xml:space="preserve">6.1 Workbook specification</w:t>
      </w:r>
    </w:p>
    <w:p>
      <w:pPr>
        <w:spacing w:after="120" w:line="276"/>
      </w:pPr>
      <w:r>
        <w:rPr>
          <w:rFonts w:ascii="Times New Roman" w:cs="Times New Roman" w:eastAsia="Times New Roman" w:hAnsi="Times New Roman"/>
          <w:sz w:val="22"/>
          <w:szCs w:val="22"/>
        </w:rPr>
        <w:t xml:space="preserve">Create C:\Data\RetailEconomics\RefMappings.xlsx with two worksheets, each formatted as an Excel Table (Ctrl+T) so the connector binds to a named range rather than a sheet extent that grows unpredictably.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434"/>
        <w:gridCol w:w="4867"/>
      </w:tblGrid>
      <w:tr>
        <w:trPr>
          <w:tblHeader/>
        </w:trPr>
        <w:tc>
          <w:tcPr>
            <w:tcW w:type="dxa" w:w="2059"/>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Worksheet / Table</w:t>
            </w:r>
          </w:p>
        </w:tc>
        <w:tc>
          <w:tcPr>
            <w:tcW w:type="dxa" w:w="243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Columns</w:t>
            </w:r>
          </w:p>
        </w:tc>
        <w:tc>
          <w:tcPr>
            <w:tcW w:type="dxa" w:w="4867"/>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Purpose</w:t>
            </w:r>
          </w:p>
        </w:tc>
      </w:tr>
      <w:tr>
        <w:trPr>
          <w:cantSplit/>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CategoryMap</w:t>
            </w:r>
          </w:p>
          <w:p>
            <w:pPr>
              <w:spacing w:after="0" w:line="240"/>
            </w:pPr>
            <w:r>
              <w:rPr>
                <w:rFonts w:ascii="Times New Roman" w:cs="Times New Roman" w:eastAsia="Times New Roman" w:hAnsi="Times New Roman"/>
                <w:b w:val="false"/>
                <w:bCs w:val="false"/>
                <w:sz w:val="19"/>
                <w:szCs w:val="19"/>
              </w:rPr>
              <w:t xml:space="preserve">(tbl_CategoryMap)</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CategoryCode, CategoryName, CategoryGroup, DisplayOrder, IsAggregate</w:t>
            </w:r>
          </w:p>
        </w:tc>
        <w:tc>
          <w:tcPr>
            <w:tcW w:type="dxa" w:w="486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Maps Census codes to display names and to a Discretionary / Staples / Services grouping. IsAggregate flags 44X72 and 44000 so aggregates are excluded from share denominators. Seed from Table 3.1 — all nineteen codes.</w:t>
            </w:r>
          </w:p>
        </w:tc>
      </w:tr>
      <w:tr>
        <w:trPr>
          <w:cantSplit/>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ItemTypeMap</w:t>
            </w:r>
          </w:p>
          <w:p>
            <w:pPr>
              <w:spacing w:after="0" w:line="240"/>
            </w:pPr>
            <w:r>
              <w:rPr>
                <w:rFonts w:ascii="Times New Roman" w:cs="Times New Roman" w:eastAsia="Times New Roman" w:hAnsi="Times New Roman"/>
                <w:b w:val="false"/>
                <w:bCs w:val="false"/>
                <w:sz w:val="19"/>
                <w:szCs w:val="19"/>
              </w:rPr>
              <w:t xml:space="preserve">(tbl_ItemTypeMap)</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ItemType, BeverageClass</w:t>
            </w:r>
          </w:p>
        </w:tc>
        <w:tc>
          <w:tcPr>
            <w:tcW w:type="dxa" w:w="486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Groups the five raw ITEM TYPE values into analyst classes. ItemType is transcribed from the §5.5 profiling query, not typed from memory — it must match the source values exactly or the merge in §6.3 silently produces blanks.</w:t>
            </w:r>
          </w:p>
        </w:tc>
      </w:tr>
    </w:tbl>
    <w:p>
      <w:pPr>
        <w:pStyle w:val="Heading2"/>
        <w:spacing w:after="120" w:before="280"/>
      </w:pPr>
      <w:r>
        <w:rPr>
          <w:rFonts w:ascii="Times New Roman" w:cs="Times New Roman" w:eastAsia="Times New Roman" w:hAnsi="Times New Roman"/>
          <w:b/>
          <w:bCs/>
          <w:color w:val="2E5496"/>
          <w:sz w:val="25"/>
          <w:szCs w:val="25"/>
        </w:rPr>
        <w:t xml:space="preserve">6.2 DimCategory</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let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Source   = Excel.Workbook(</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File.Contents("C:\Data\RetailEconomics\RefMappings.xlsx"),</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null, true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Tbl      = Source{[Item = "tbl_CategoryMap", Kind = "Table"]}[Data],</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Typed    = Table.TransformColumnTypes(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Tbl,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{"CategoryCode",  type text},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{"CategoryName",  type text},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{"CategoryGroup", type text},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{"DisplayOrder",  Int64.Type},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{"IsAggregate",   type logical}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Trimmed  = Table.TransformColumns(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Typed,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{{"CategoryCode", Text.Trim, type text},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{"CategoryName", Text.Trim, type text}}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NoBlanks = Table.SelectRows(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Trimmed,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each [CategoryCode] &lt;&gt; null and [CategoryCode] &lt;&gt;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in</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    NoBlanks</w:t>
      </w:r>
    </w:p>
    <w:p>
      <w:pPr>
        <w:pStyle w:val="Heading2"/>
        <w:spacing w:after="120" w:before="280"/>
      </w:pPr>
      <w:r>
        <w:rPr>
          <w:rFonts w:ascii="Times New Roman" w:cs="Times New Roman" w:eastAsia="Times New Roman" w:hAnsi="Times New Roman"/>
          <w:b/>
          <w:bCs/>
          <w:color w:val="2E5496"/>
          <w:sz w:val="25"/>
          <w:szCs w:val="25"/>
        </w:rPr>
        <w:t xml:space="preserve">6.3 Merge the item mappings into DimItem</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let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Source   = Sql.Database("BRUNO\MSSQLSERVER01", "RetailEconomics"),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ItemView = Source{[Schema = "dw", Item = "vw_Item"]}[Data],</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Wb       = Excel.Workbook(</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File.Contents("C:\Data\RetailEconomics\RefMappings.xlsx"),</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null, true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TypeMap  = Wb{[Item = "tbl_ItemTypeMap", Kind = "Table"]}[Data],</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Joined   = Table.NestedJoin(</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ItemView, {"ItemType"},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TypeMap,  {"ItemType"},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"map", JoinKind.LeftOuter</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Expanded = Table.ExpandTableColumn(</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Joined, "map",</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{"BeverageClass"},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{"BeverageClass"}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Unmatched types become "Unmapped" rather than blank, so they are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visible on a slicer instead of silently disappearing from it.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Filled   = Table.ReplaceValue(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Expanded, null, "Unmapped",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Replacer.ReplaceValue,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{"BeverageClass"}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in</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    Filled</w:t>
      </w:r>
    </w:p>
    <w:p>
      <w:pPr>
        <w:pStyle w:val="Heading2"/>
        <w:spacing w:after="120" w:before="280"/>
      </w:pPr>
      <w:r>
        <w:rPr>
          <w:rFonts w:ascii="Times New Roman" w:cs="Times New Roman" w:eastAsia="Times New Roman" w:hAnsi="Times New Roman"/>
          <w:b/>
          <w:bCs/>
          <w:color w:val="2E5496"/>
          <w:sz w:val="25"/>
          <w:szCs w:val="25"/>
        </w:rPr>
        <w:t xml:space="preserve">6.4 Where Each Column Comes From</w:t>
      </w:r>
    </w:p>
    <w:p>
      <w:pPr>
        <w:spacing w:after="120" w:line="276"/>
      </w:pPr>
      <w:r>
        <w:rPr>
          <w:rFonts w:ascii="Times New Roman" w:cs="Times New Roman" w:eastAsia="Times New Roman" w:hAnsi="Times New Roman"/>
          <w:sz w:val="22"/>
          <w:szCs w:val="22"/>
        </w:rPr>
        <w:t xml:space="preserve">A reference workbook is the one place in this project where a human types values into the model, so its provenance has to be stated rather than assumed. Each column below is either DERIVED from a source, in which case the source is named and the value can be regenerated, or it is ANALYST JUDGEMENT, in which case it is a presentation or grouping choice that changes how results are displayed but never what they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498"/>
        <w:gridCol w:w="5429"/>
      </w:tblGrid>
      <w:tr>
        <w:trPr>
          <w:tblHeader/>
        </w:trPr>
        <w:tc>
          <w:tcPr>
            <w:tcW w:type="dxa" w:w="243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Column</w:t>
            </w:r>
          </w:p>
        </w:tc>
        <w:tc>
          <w:tcPr>
            <w:tcW w:type="dxa" w:w="1498"/>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Basis</w:t>
            </w:r>
          </w:p>
        </w:tc>
        <w:tc>
          <w:tcPr>
            <w:tcW w:type="dxa" w:w="5429"/>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Where it comes from</w:t>
            </w:r>
          </w:p>
        </w:tc>
      </w:tr>
      <w:tr>
        <w:trPr>
          <w:cantSplit/>
        </w:trPr>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CategoryCode</w:t>
            </w:r>
          </w:p>
        </w:tc>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Derived</w:t>
            </w:r>
          </w:p>
        </w:tc>
        <w:tc>
          <w:tcPr>
            <w:tcW w:type="dxa" w:w="542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published MARTS kind-of-business list — Table 3.1 of this document, transcribed from the current Census release. Re-verify with the §3.4 discovery query after any Census revision.</w:t>
            </w:r>
          </w:p>
        </w:tc>
      </w:tr>
      <w:tr>
        <w:trPr>
          <w:cantSplit/>
        </w:trPr>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CategoryName</w:t>
            </w:r>
          </w:p>
        </w:tc>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Derived</w:t>
            </w:r>
          </w:p>
        </w:tc>
        <w:tc>
          <w:tcPr>
            <w:tcW w:type="dxa" w:w="542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Census’s own labels for each code, lightly shortened for display.</w:t>
            </w:r>
          </w:p>
        </w:tc>
      </w:tr>
      <w:tr>
        <w:trPr>
          <w:cantSplit/>
        </w:trPr>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IsAggregate</w:t>
            </w:r>
          </w:p>
        </w:tc>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Derived</w:t>
            </w:r>
          </w:p>
        </w:tc>
        <w:tc>
          <w:tcPr>
            <w:tcW w:type="dxa" w:w="542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Factual: 44X72 and 44000 are aggregates by Census definition. Every other code is a component.</w:t>
            </w:r>
          </w:p>
        </w:tc>
      </w:tr>
      <w:tr>
        <w:trPr>
          <w:cantSplit/>
        </w:trPr>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CategoryGroup</w:t>
            </w:r>
          </w:p>
        </w:tc>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Judgement</w:t>
            </w:r>
          </w:p>
        </w:tc>
        <w:tc>
          <w:tcPr>
            <w:tcW w:type="dxa" w:w="542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Discretionary / Staples / Services. An analyst classification for slicing Report 1 Page 2. It changes grouping only — no measure value depends on it.</w:t>
            </w:r>
          </w:p>
        </w:tc>
      </w:tr>
      <w:tr>
        <w:trPr>
          <w:cantSplit/>
        </w:trPr>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DisplayOrder</w:t>
            </w:r>
          </w:p>
        </w:tc>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Judgement</w:t>
            </w:r>
          </w:p>
        </w:tc>
        <w:tc>
          <w:tcPr>
            <w:tcW w:type="dxa" w:w="542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Presentation order for CategoryName. Arbitrary by design.</w:t>
            </w:r>
          </w:p>
        </w:tc>
      </w:tr>
      <w:tr>
        <w:trPr>
          <w:cantSplit/>
        </w:trPr>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ItemType</w:t>
            </w:r>
          </w:p>
        </w:tc>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Derived</w:t>
            </w:r>
          </w:p>
        </w:tc>
        <w:tc>
          <w:tcPr>
            <w:tcW w:type="dxa" w:w="542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distinct ITEM TYPE values the source publishes, taken from profiling query 3 in §5.5: Wine, Liquor, Beer, Kegs, Non-Alcohol, plus Unclassified for blanks.</w:t>
            </w:r>
          </w:p>
        </w:tc>
      </w:tr>
      <w:tr>
        <w:trPr>
          <w:cantSplit/>
        </w:trPr>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BeverageClass</w:t>
            </w:r>
          </w:p>
        </w:tc>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Judgement</w:t>
            </w:r>
          </w:p>
        </w:tc>
        <w:tc>
          <w:tcPr>
            <w:tcW w:type="dxa" w:w="542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An analyst grouping over ItemType for display on R1 Page 3 and R3. Grouping only.</w:t>
            </w:r>
          </w:p>
        </w:tc>
      </w:tr>
    </w:tbl>
    <w:p>
      <w:pPr>
        <w:spacing w:after="200" w:before="40"/>
      </w:pPr>
      <w:r>
        <w:rPr>
          <w:rFonts w:ascii="Times New Roman" w:cs="Times New Roman" w:eastAsia="Times New Roman" w:hAnsi="Times New Roman"/>
          <w:i/>
          <w:iCs/>
          <w:color w:val="595959"/>
          <w:sz w:val="19"/>
          <w:szCs w:val="19"/>
        </w:rPr>
        <w:t xml:space="preserve">Table 6.1 — Provenance of every column in RefMappings.xlsx.</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No column in this workbook invents a fact.  </w:t>
      </w:r>
      <w:r>
        <w:rPr>
          <w:rFonts w:ascii="Times New Roman" w:cs="Times New Roman" w:eastAsia="Times New Roman" w:hAnsi="Times New Roman"/>
          <w:sz w:val="21"/>
          <w:szCs w:val="21"/>
        </w:rPr>
        <w:t xml:space="preserve">Two columns were removed from an earlier draft for exactly that reason. ABVBand assigned an alcohol-by-volume band to each item type, but ABV appears nowhere in the source and no measure consumed it. PriceTier assigned Premium / Mid / Value, and there is no price data anywhere in this project — the county file records CASES, and Census reports dollars only at category level with no item detail. A tier column would have been a number typed from outside the evidence, carrying a whole report page on top of it. Report 2 Page 2 now measures mix shift between item types instead, which the data supports directly.</w:t>
      </w:r>
    </w:p>
    <w:p>
      <w:pPr>
        <w:pStyle w:val="Heading2"/>
        <w:spacing w:after="120" w:before="280"/>
      </w:pPr>
      <w:r>
        <w:rPr>
          <w:rFonts w:ascii="Times New Roman" w:cs="Times New Roman" w:eastAsia="Times New Roman" w:hAnsi="Times New Roman"/>
          <w:b/>
          <w:bCs/>
          <w:color w:val="2E5496"/>
          <w:sz w:val="25"/>
          <w:szCs w:val="25"/>
        </w:rPr>
        <w:t xml:space="preserve">6.5 Referential coverage check</w:t>
      </w:r>
    </w:p>
    <w:p>
      <w:pPr>
        <w:spacing w:after="120" w:line="276"/>
      </w:pPr>
      <w:r>
        <w:rPr>
          <w:rFonts w:ascii="Times New Roman" w:cs="Times New Roman" w:eastAsia="Times New Roman" w:hAnsi="Times New Roman"/>
          <w:sz w:val="22"/>
          <w:szCs w:val="22"/>
        </w:rPr>
        <w:t xml:space="preserve">Before loading, confirm every category_code the API returns exists in the workbook. If this returns any rows, add them to the workbook before proceeding — a missing mapping shows up later as a blank slicer entry that nobody can explain.</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let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Api       = Table.Distinct(Table.SelectColumns(FactSectorSales, {"category_code"})),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Ref       = Table.SelectColumns(DimCategory, {"CategoryCode"}),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Joined    = Table.NestedJoin(Api, {"category_code"}, Ref, {"CategoryCode"},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"m", JoinKind.LeftOuter),</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Unmatched = Table.SelectRows(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Table.AddColumn(Joined, "n", each Table.RowCount([m]), Int64.Type),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each [n] = 0</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in</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    Table.SelectColumns(Unmatched, {"category_code"})</w:t>
      </w:r>
    </w:p>
    <w:p>
      <w:pPr>
        <w:pStyle w:val="Heading1"/>
        <w:spacing w:after="160" w:before="360"/>
      </w:pPr>
      <w:r>
        <w:rPr>
          <w:rFonts w:ascii="Times New Roman" w:cs="Times New Roman" w:eastAsia="Times New Roman" w:hAnsi="Times New Roman"/>
          <w:b/>
          <w:bCs/>
          <w:color w:val="1F3864"/>
          <w:sz w:val="30"/>
          <w:szCs w:val="30"/>
        </w:rPr>
        <w:t xml:space="preserve">7. Building the Semantic Model</w:t>
      </w:r>
    </w:p>
    <w:p>
      <w:pPr>
        <w:spacing w:after="120" w:line="276"/>
      </w:pPr>
      <w:r>
        <w:rPr>
          <w:rFonts w:ascii="Times New Roman" w:cs="Times New Roman" w:eastAsia="Times New Roman" w:hAnsi="Times New Roman"/>
          <w:sz w:val="22"/>
          <w:szCs w:val="22"/>
        </w:rPr>
        <w:t xml:space="preserve">This is what the model looks like when section 7 is finished. Build toward it: every table below, every column, and exactly seven relationship lines. Nothing else should appear, and nothing shown here should be missing.</w:t>
      </w:r>
    </w:p>
    <w:p>
      <w:pPr>
        <w:spacing w:after="40" w:before="120"/>
        <w:jc w:val="center"/>
      </w:pPr>
      <w:r>
        <w:drawing>
          <wp:inline distT="0" distB="0" distL="0" distR="0">
            <wp:extent cx="5943600" cy="622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6229350"/>
                    </a:xfrm>
                    <a:prstGeom prst="rect">
                      <a:avLst/>
                    </a:prstGeom>
                  </pic:spPr>
                </pic:pic>
              </a:graphicData>
            </a:graphic>
          </wp:inline>
        </w:drawing>
      </w:r>
    </w:p>
    <w:p>
      <w:pPr>
        <w:spacing w:after="200" w:before="40"/>
      </w:pPr>
      <w:r>
        <w:rPr>
          <w:rFonts w:ascii="Times New Roman" w:cs="Times New Roman" w:eastAsia="Times New Roman" w:hAnsi="Times New Roman"/>
          <w:i/>
          <w:iCs/>
          <w:color w:val="595959"/>
          <w:sz w:val="19"/>
          <w:szCs w:val="19"/>
        </w:rPr>
        <w:t xml:space="preserve">Figure 7.1 — The completed model as Power BI Model view renders it. Shaded rows with a key symbol are the columns a relationship is built on; every other column is descriptive and joins to nothing.</w:t>
      </w:r>
    </w:p>
    <w:p>
      <w:pPr>
        <w:pStyle w:val="Heading3"/>
        <w:spacing w:after="100" w:before="220"/>
      </w:pPr>
      <w:r>
        <w:rPr>
          <w:rFonts w:ascii="Times New Roman" w:cs="Times New Roman" w:eastAsia="Times New Roman" w:hAnsi="Times New Roman"/>
          <w:b/>
          <w:bCs/>
          <w:color w:val="404040"/>
          <w:sz w:val="23"/>
          <w:szCs w:val="23"/>
        </w:rPr>
        <w:t xml:space="preserve">How to read it</w:t>
      </w:r>
    </w:p>
    <w:p>
      <w:pPr>
        <w:pStyle w:val="ListParagraph"/>
        <w:numPr>
          <w:ilvl w:val="0"/>
          <w:numId w:val="5"/>
        </w:numPr>
        <w:spacing w:after="60" w:line="276"/>
      </w:pPr>
      <w:r>
        <w:rPr>
          <w:rFonts w:ascii="Times New Roman" w:cs="Times New Roman" w:eastAsia="Times New Roman" w:hAnsi="Times New Roman"/>
          <w:sz w:val="22"/>
          <w:szCs w:val="22"/>
        </w:rPr>
        <w:t xml:space="preserve">Teal headers are dimensions, navy headers are facts. Five dimensions, three facts — the star schema stated visually rather than described.</w:t>
      </w:r>
    </w:p>
    <w:p>
      <w:pPr>
        <w:pStyle w:val="ListParagraph"/>
        <w:numPr>
          <w:ilvl w:val="0"/>
          <w:numId w:val="5"/>
        </w:numPr>
        <w:spacing w:after="60" w:line="276"/>
      </w:pPr>
      <w:r>
        <w:rPr>
          <w:rFonts w:ascii="Times New Roman" w:cs="Times New Roman" w:eastAsia="Times New Roman" w:hAnsi="Times New Roman"/>
          <w:sz w:val="22"/>
          <w:szCs w:val="22"/>
        </w:rPr>
        <w:t xml:space="preserve">A shaded row carrying the key symbol is a column a relationship uses. There are twelve such columns across the model: five on the dimension side and seven on the fact side. The count is uneven because DateKey appears on all three facts while DimDate supplies it once.</w:t>
      </w:r>
    </w:p>
    <w:p>
      <w:pPr>
        <w:pStyle w:val="ListParagraph"/>
        <w:numPr>
          <w:ilvl w:val="0"/>
          <w:numId w:val="5"/>
        </w:numPr>
        <w:spacing w:after="60" w:line="276"/>
      </w:pPr>
      <w:r>
        <w:rPr>
          <w:rFonts w:ascii="Times New Roman" w:cs="Times New Roman" w:eastAsia="Times New Roman" w:hAnsi="Times New Roman"/>
          <w:sz w:val="22"/>
          <w:szCs w:val="22"/>
        </w:rPr>
        <w:t xml:space="preserve">Each line is labelled 1 at the dimension end and * at the fact end, and the arrowhead is the filter direction. Filtering runs dimension to fact and never the reverse. §7.2 lists the same seven relationships as a table for checking them off.</w:t>
      </w:r>
    </w:p>
    <w:p>
      <w:pPr>
        <w:pStyle w:val="ListParagraph"/>
        <w:numPr>
          <w:ilvl w:val="0"/>
          <w:numId w:val="5"/>
        </w:numPr>
        <w:spacing w:after="60" w:line="276"/>
      </w:pPr>
      <w:r>
        <w:rPr>
          <w:rFonts w:ascii="Times New Roman" w:cs="Times New Roman" w:eastAsia="Times New Roman" w:hAnsi="Times New Roman"/>
          <w:sz w:val="22"/>
          <w:szCs w:val="22"/>
        </w:rPr>
        <w:t xml:space="preserve">DimDate sits apart from the other dimensions on the right because it is the only one joining all three facts. That is what conforming the grain bought — one date slicer drives the whole model.</w:t>
      </w:r>
    </w:p>
    <w:p>
      <w:pPr>
        <w:pStyle w:val="ListParagraph"/>
        <w:numPr>
          <w:ilvl w:val="0"/>
          <w:numId w:val="5"/>
        </w:numPr>
        <w:spacing w:after="60" w:line="276"/>
      </w:pPr>
      <w:r>
        <w:rPr>
          <w:rFonts w:ascii="Times New Roman" w:cs="Times New Roman" w:eastAsia="Times New Roman" w:hAnsi="Times New Roman"/>
          <w:sz w:val="22"/>
          <w:szCs w:val="22"/>
        </w:rPr>
        <w:t xml:space="preserve">Note the column names either side of the DimCategory line: CategoryCode joins to category_code. The Census API returns lower-case column names and they are deliberately not renamed, so the join reads as source-to-source rather than looking like a typo.</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One table has no relationship lines, and that is correct.  </w:t>
      </w:r>
      <w:r>
        <w:rPr>
          <w:rFonts w:ascii="Times New Roman" w:cs="Times New Roman" w:eastAsia="Times New Roman" w:hAnsi="Times New Roman"/>
          <w:sz w:val="21"/>
          <w:szCs w:val="21"/>
        </w:rPr>
        <w:t xml:space="preserve">_Measures holds all seventy-nine measures and a single hidden placeholder column. It joins to nothing because it holds no data to join on. In Model view a disconnected table is usually the sign of a relationship someone forgot to create — this is the one case in this model where it means the opposite, and it is drawn in amber so it reads as deliberate rather than as an omission. §8.1 creates it.</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Check the model against this picture before building a single measure.  </w:t>
      </w:r>
      <w:r>
        <w:rPr>
          <w:rFonts w:ascii="Times New Roman" w:cs="Times New Roman" w:eastAsia="Times New Roman" w:hAnsi="Times New Roman"/>
          <w:sz w:val="21"/>
          <w:szCs w:val="21"/>
        </w:rPr>
        <w:t xml:space="preserve">Open Model view and compare. An extra relationship line, a missing one, or a line landing on the wrong column will not raise an error — it produces measures that return plausible but wrong numbers, and it is far cheaper to catch here than after seventy-nine definitions are written on top of it. The most common defects are an auto-detected relationship Power BI created on its own, and a second date relationship that Desktop made inactive without saying so.</w:t>
      </w:r>
    </w:p>
    <w:p>
      <w:pPr>
        <w:pStyle w:val="Heading2"/>
        <w:spacing w:after="120" w:before="280"/>
      </w:pPr>
      <w:r>
        <w:rPr>
          <w:rFonts w:ascii="Times New Roman" w:cs="Times New Roman" w:eastAsia="Times New Roman" w:hAnsi="Times New Roman"/>
          <w:b/>
          <w:bCs/>
          <w:color w:val="2E5496"/>
          <w:sz w:val="25"/>
          <w:szCs w:val="25"/>
        </w:rPr>
        <w:t xml:space="preserve">7.1 Query dependency order</w:t>
      </w:r>
    </w:p>
    <w:p>
      <w:pPr>
        <w:spacing w:after="120" w:line="276"/>
      </w:pPr>
      <w:r>
        <w:rPr>
          <w:rFonts w:ascii="Times New Roman" w:cs="Times New Roman" w:eastAsia="Times New Roman" w:hAnsi="Times New Roman"/>
          <w:sz w:val="22"/>
          <w:szCs w:val="22"/>
        </w:rPr>
        <w:t xml:space="preserve">Build the queries in this order. Two of them depend on others existing first, and Power BI will not warn you helpfully if they do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2621"/>
        <w:gridCol w:w="5990"/>
      </w:tblGrid>
      <w:tr>
        <w:trPr>
          <w:tblHeader/>
        </w:trPr>
        <w:tc>
          <w:tcPr>
            <w:tcW w:type="dxa" w:w="749"/>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t>
            </w:r>
          </w:p>
        </w:tc>
        <w:tc>
          <w:tcPr>
            <w:tcW w:type="dxa" w:w="2621"/>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Query</w:t>
            </w:r>
          </w:p>
        </w:tc>
        <w:tc>
          <w:tcPr>
            <w:tcW w:type="dxa" w:w="5990"/>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Depends on</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Parameters (pCensusKey, pStartPeriod, pEndPeriod)</w:t>
            </w:r>
          </w:p>
        </w:tc>
        <w:tc>
          <w:tcPr>
            <w:tcW w:type="dxa" w:w="599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Nothing</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2</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fnGetFredSeries</w:t>
            </w:r>
          </w:p>
        </w:tc>
        <w:tc>
          <w:tcPr>
            <w:tcW w:type="dxa" w:w="599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Nothing. A function, load disabled.</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3</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FactMacro</w:t>
            </w:r>
          </w:p>
        </w:tc>
        <w:tc>
          <w:tcPr>
            <w:tcW w:type="dxa" w:w="599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fnGetFredSeries</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DimIndicator</w:t>
            </w:r>
          </w:p>
        </w:tc>
        <w:tc>
          <w:tcPr>
            <w:tcW w:type="dxa" w:w="599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Nothing. Enter Data.</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5</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FactSectorSales</w:t>
            </w:r>
          </w:p>
        </w:tc>
        <w:tc>
          <w:tcPr>
            <w:tcW w:type="dxa" w:w="599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three parameters</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6</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DimCategory</w:t>
            </w:r>
          </w:p>
        </w:tc>
        <w:tc>
          <w:tcPr>
            <w:tcW w:type="dxa" w:w="599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RefMappings.xlsx</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7</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Coverage check</w:t>
            </w:r>
          </w:p>
        </w:tc>
        <w:tc>
          <w:tcPr>
            <w:tcW w:type="dxa" w:w="599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FactSectorSales and DimCategory. Run it, act on it, then disable its load.</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8</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FactItemMovement, DimSupplier, DimDate</w:t>
            </w:r>
          </w:p>
        </w:tc>
        <w:tc>
          <w:tcPr>
            <w:tcW w:type="dxa" w:w="599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SQL Server views</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9</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DimItem</w:t>
            </w:r>
          </w:p>
        </w:tc>
        <w:tc>
          <w:tcPr>
            <w:tcW w:type="dxa" w:w="599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dw.vw_Item and RefMappings.xlsx</w:t>
            </w:r>
          </w:p>
        </w:tc>
      </w:tr>
    </w:tbl>
    <w:p>
      <w:pPr>
        <w:pStyle w:val="Heading2"/>
        <w:spacing w:after="120" w:before="280"/>
      </w:pPr>
      <w:r>
        <w:rPr>
          <w:rFonts w:ascii="Times New Roman" w:cs="Times New Roman" w:eastAsia="Times New Roman" w:hAnsi="Times New Roman"/>
          <w:b/>
          <w:bCs/>
          <w:color w:val="2E5496"/>
          <w:sz w:val="25"/>
          <w:szCs w:val="25"/>
        </w:rPr>
        <w:t xml:space="preserve">7.2 Relationships</w:t>
      </w:r>
    </w:p>
    <w:p>
      <w:pPr>
        <w:spacing w:after="120" w:line="276"/>
      </w:pPr>
      <w:r>
        <w:rPr>
          <w:rFonts w:ascii="Times New Roman" w:cs="Times New Roman" w:eastAsia="Times New Roman" w:hAnsi="Times New Roman"/>
          <w:sz w:val="22"/>
          <w:szCs w:val="22"/>
        </w:rPr>
        <w:t xml:space="preserve">Create all seven, all single-direction, all one-to-many from dimension to fact. This model needs no bidirectional filter anywhere; if you find yourself reaching for one, the grain is wrong.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995"/>
        <w:gridCol w:w="3557"/>
      </w:tblGrid>
      <w:tr>
        <w:trPr>
          <w:tblHeader/>
        </w:trPr>
        <w:tc>
          <w:tcPr>
            <w:tcW w:type="dxa" w:w="2808"/>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From (one)</w:t>
            </w:r>
          </w:p>
        </w:tc>
        <w:tc>
          <w:tcPr>
            <w:tcW w:type="dxa" w:w="2995"/>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To (many)</w:t>
            </w:r>
          </w:p>
        </w:tc>
        <w:tc>
          <w:tcPr>
            <w:tcW w:type="dxa" w:w="3557"/>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Note</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DimDate[DateKey]</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FactMacro[DateKey]</w:t>
            </w:r>
          </w:p>
        </w:tc>
        <w:tc>
          <w:tcPr>
            <w:tcW w:type="dxa" w:w="355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DimDate[DateKey]</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FactSectorSales[DateKey]</w:t>
            </w:r>
          </w:p>
        </w:tc>
        <w:tc>
          <w:tcPr>
            <w:tcW w:type="dxa" w:w="355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DimDate[DateKey]</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FactItemMovement[DateKey]</w:t>
            </w:r>
          </w:p>
        </w:tc>
        <w:tc>
          <w:tcPr>
            <w:tcW w:type="dxa" w:w="355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DimIndicator[SeriesId]</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FactMacro[SeriesId]</w:t>
            </w:r>
          </w:p>
        </w:tc>
        <w:tc>
          <w:tcPr>
            <w:tcW w:type="dxa" w:w="355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Filtering to one series is what makes Macro Value meaningful</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DimCategory[CategoryCode]</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FactSectorSales[category_code]</w:t>
            </w:r>
          </w:p>
        </w:tc>
        <w:tc>
          <w:tcPr>
            <w:tcW w:type="dxa" w:w="355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Dimension from Excel, fact from the API — §6.4 must pass</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DimSupplier[SupplierKey]</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FactItemMovement[SupplierKey]</w:t>
            </w:r>
          </w:p>
        </w:tc>
        <w:tc>
          <w:tcPr>
            <w:tcW w:type="dxa" w:w="355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DimItem[ItemKey]</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FactItemMovement[ItemKey]</w:t>
            </w:r>
          </w:p>
        </w:tc>
        <w:tc>
          <w:tcPr>
            <w:tcW w:type="dxa" w:w="355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t>
            </w:r>
          </w:p>
        </w:tc>
      </w:tr>
    </w:tbl>
    <w:p>
      <w:pPr>
        <w:pStyle w:val="Heading2"/>
        <w:spacing w:after="120" w:before="280"/>
      </w:pPr>
      <w:r>
        <w:rPr>
          <w:rFonts w:ascii="Times New Roman" w:cs="Times New Roman" w:eastAsia="Times New Roman" w:hAnsi="Times New Roman"/>
          <w:b/>
          <w:bCs/>
          <w:color w:val="2E5496"/>
          <w:sz w:val="25"/>
          <w:szCs w:val="25"/>
        </w:rPr>
        <w:t xml:space="preserve">7.3 Model configuration</w:t>
      </w:r>
    </w:p>
    <w:p>
      <w:pPr>
        <w:pStyle w:val="ListParagraph"/>
        <w:numPr>
          <w:ilvl w:val="0"/>
          <w:numId w:val="6"/>
        </w:numPr>
        <w:spacing w:after="60" w:line="276"/>
      </w:pPr>
      <w:r>
        <w:rPr>
          <w:rFonts w:ascii="Times New Roman" w:cs="Times New Roman" w:eastAsia="Times New Roman" w:hAnsi="Times New Roman"/>
          <w:sz w:val="22"/>
          <w:szCs w:val="22"/>
        </w:rPr>
        <w:t xml:space="preserve">Mark DimDate as a date table on DimDate[Date]. Without this, time intelligence silently produces wrong answers rather than errors.</w:t>
      </w:r>
    </w:p>
    <w:p>
      <w:pPr>
        <w:pStyle w:val="ListParagraph"/>
        <w:numPr>
          <w:ilvl w:val="0"/>
          <w:numId w:val="6"/>
        </w:numPr>
        <w:spacing w:after="60" w:line="276"/>
      </w:pPr>
      <w:r>
        <w:rPr>
          <w:rFonts w:ascii="Times New Roman" w:cs="Times New Roman" w:eastAsia="Times New Roman" w:hAnsi="Times New Roman"/>
          <w:sz w:val="22"/>
          <w:szCs w:val="22"/>
        </w:rPr>
        <w:t xml:space="preserve">Sort by column: MonthYear → DateKey; CategoryName → DisplayOrder; IndicatorName → DisplayOrder. Skipping these leaves every month-ordered visual in alphabetical order, which looks like a data problem and is not.</w:t>
      </w:r>
    </w:p>
    <w:p>
      <w:pPr>
        <w:pStyle w:val="ListParagraph"/>
        <w:numPr>
          <w:ilvl w:val="0"/>
          <w:numId w:val="6"/>
        </w:numPr>
        <w:spacing w:after="60" w:line="276"/>
      </w:pPr>
      <w:r>
        <w:rPr>
          <w:rFonts w:ascii="Times New Roman" w:cs="Times New Roman" w:eastAsia="Times New Roman" w:hAnsi="Times New Roman"/>
          <w:sz w:val="22"/>
          <w:szCs w:val="22"/>
        </w:rPr>
        <w:t xml:space="preserve">Hide from Report view: every DateKey, SeriesId, CategoryCode, SupplierKey, ItemKey, ReportDate, FirstSeenDateKey, LastSeenDateKey, Quarter, DisplayOrder.</w:t>
      </w:r>
    </w:p>
    <w:p>
      <w:pPr>
        <w:pStyle w:val="ListParagraph"/>
        <w:numPr>
          <w:ilvl w:val="0"/>
          <w:numId w:val="6"/>
        </w:numPr>
        <w:spacing w:after="60" w:line="276"/>
      </w:pPr>
      <w:r>
        <w:rPr>
          <w:rFonts w:ascii="Times New Roman" w:cs="Times New Roman" w:eastAsia="Times New Roman" w:hAnsi="Times New Roman"/>
          <w:sz w:val="22"/>
          <w:szCs w:val="22"/>
        </w:rPr>
        <w:t xml:space="preserve">Set format strings at the model level, not on individual visuals — which is how two visuals end up disagreeing about the same measure. The string for every measure is given with its definition in §8.</w:t>
      </w:r>
    </w:p>
    <w:p>
      <w:pPr>
        <w:pStyle w:val="ListParagraph"/>
        <w:numPr>
          <w:ilvl w:val="0"/>
          <w:numId w:val="6"/>
        </w:numPr>
        <w:spacing w:after="60" w:line="276"/>
      </w:pPr>
      <w:r>
        <w:rPr>
          <w:rFonts w:ascii="Times New Roman" w:cs="Times New Roman" w:eastAsia="Times New Roman" w:hAnsi="Times New Roman"/>
          <w:sz w:val="22"/>
          <w:szCs w:val="22"/>
        </w:rPr>
        <w:t xml:space="preserve">Create the _Measures home table and its ten display folders. §8.1 covers both, along with the other three properties every measure needs; do it there rather than here, so the whole measure build happens in one place.</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Set the summarisation on every numeric column to Do Not Summarize.  </w:t>
      </w:r>
      <w:r>
        <w:rPr>
          <w:rFonts w:ascii="Times New Roman" w:cs="Times New Roman" w:eastAsia="Times New Roman" w:hAnsi="Times New Roman"/>
          <w:sz w:val="21"/>
          <w:szCs w:val="21"/>
        </w:rPr>
        <w:t xml:space="preserve">DateKey, CohortYear, MonthsActive and DisplayOrder are integers that Power BI will happily offer to sum. A dragged CohortYear that quietly becomes SUM(CohortYear) is a difficult bug to spot on a finished visual.</w:t>
      </w:r>
    </w:p>
    <w:p>
      <w:pPr>
        <w:spacing w:after="120" w:line="276"/>
      </w:pPr>
      <w:r>
        <w:rPr>
          <w:rFonts w:ascii="Times New Roman" w:cs="Times New Roman" w:eastAsia="Times New Roman" w:hAnsi="Times New Roman"/>
          <w:b/>
          <w:bCs/>
          <w:sz w:val="22"/>
          <w:szCs w:val="22"/>
        </w:rPr>
        <w:t xml:space="preserve">Before section 8: </w:t>
      </w:r>
      <w:r>
        <w:rPr>
          <w:rFonts w:ascii="Times New Roman" w:cs="Times New Roman" w:eastAsia="Times New Roman" w:hAnsi="Times New Roman"/>
          <w:sz w:val="22"/>
          <w:szCs w:val="22"/>
        </w:rPr>
        <w:t xml:space="preserve">the model file is now structurally complete. Everything from here to §9 is still the model file — the three report files are not created until §10 step 8, and they are built in document 15. §1.1 is the map if that has gone hazy.</w:t>
      </w:r>
    </w:p>
    <w:p>
      <w:pPr>
        <w:pStyle w:val="Heading1"/>
        <w:spacing w:after="160" w:before="360"/>
      </w:pPr>
      <w:r>
        <w:rPr>
          <w:rFonts w:ascii="Times New Roman" w:cs="Times New Roman" w:eastAsia="Times New Roman" w:hAnsi="Times New Roman"/>
          <w:b/>
          <w:bCs/>
          <w:color w:val="1F3864"/>
          <w:sz w:val="30"/>
          <w:szCs w:val="30"/>
        </w:rPr>
        <w:t xml:space="preserve">8. Building the Measures</w:t>
      </w:r>
    </w:p>
    <w:p>
      <w:pPr>
        <w:spacing w:after="120" w:line="276"/>
      </w:pPr>
      <w:r>
        <w:rPr>
          <w:rFonts w:ascii="Times New Roman" w:cs="Times New Roman" w:eastAsia="Times New Roman" w:hAnsi="Times New Roman"/>
          <w:sz w:val="22"/>
          <w:szCs w:val="22"/>
        </w:rPr>
        <w:t xml:space="preserve">Seventy-nine measures across ten display folders. This section is the build: the mechanics first, then the conventions the whole library follows, then every definition in dependency order with what it is for and how to know it worked. Nothing here has to be looked up anywhere else.</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This section and document 20 are generated from one list.  </w:t>
      </w:r>
      <w:r>
        <w:rPr>
          <w:rFonts w:ascii="Times New Roman" w:cs="Times New Roman" w:eastAsia="Times New Roman" w:hAnsi="Times New Roman"/>
          <w:sz w:val="21"/>
          <w:szCs w:val="21"/>
        </w:rPr>
        <w:t xml:space="preserve">The Measures tab of document 20 is the same seventy-nine definitions in filterable form — sort by folder, search by name, copy a definition straight out of a cell. Both are produced from a single source file, so they cannot disagree. Use whichever suits what you are doing; do not maintain either by hand.</w:t>
      </w:r>
    </w:p>
    <w:p>
      <w:pPr>
        <w:pStyle w:val="Heading2"/>
        <w:spacing w:after="120" w:before="280"/>
      </w:pPr>
      <w:r>
        <w:rPr>
          <w:rFonts w:ascii="Times New Roman" w:cs="Times New Roman" w:eastAsia="Times New Roman" w:hAnsi="Times New Roman"/>
          <w:b/>
          <w:bCs/>
          <w:color w:val="2E5496"/>
          <w:sz w:val="25"/>
          <w:szCs w:val="25"/>
        </w:rPr>
        <w:t xml:space="preserve">8.1 Creating a Measure — the Mechanics</w:t>
      </w:r>
    </w:p>
    <w:p>
      <w:pPr>
        <w:spacing w:after="120" w:line="276"/>
      </w:pPr>
      <w:r>
        <w:rPr>
          <w:rFonts w:ascii="Times New Roman" w:cs="Times New Roman" w:eastAsia="Times New Roman" w:hAnsi="Times New Roman"/>
          <w:sz w:val="22"/>
          <w:szCs w:val="22"/>
        </w:rPr>
        <w:t xml:space="preserve">Every measure in this project lives in the semantic model file, on a dedicated table, and nowhere else. Get the location right before writing a single definition, because moving measures afterwards breaks every reference to them.</w:t>
      </w:r>
    </w:p>
    <w:p>
      <w:pPr>
        <w:pStyle w:val="ListParagraph"/>
        <w:numPr>
          <w:ilvl w:val="0"/>
          <w:numId w:val="7"/>
        </w:numPr>
        <w:spacing w:after="60" w:line="276"/>
      </w:pPr>
      <w:r>
        <w:rPr>
          <w:rFonts w:ascii="Times New Roman" w:cs="Times New Roman" w:eastAsia="Times New Roman" w:hAnsi="Times New Roman"/>
          <w:sz w:val="22"/>
          <w:szCs w:val="22"/>
        </w:rPr>
        <w:t xml:space="preserve">Open RetailEconomics_Model.pbip in Power BI Desktop. Not a report file — measures added to a live-connected report exist in that report alone.</w:t>
      </w:r>
    </w:p>
    <w:p>
      <w:pPr>
        <w:pStyle w:val="ListParagraph"/>
        <w:numPr>
          <w:ilvl w:val="0"/>
          <w:numId w:val="7"/>
        </w:numPr>
        <w:spacing w:after="60" w:line="276"/>
      </w:pPr>
      <w:r>
        <w:rPr>
          <w:rFonts w:ascii="Times New Roman" w:cs="Times New Roman" w:eastAsia="Times New Roman" w:hAnsi="Times New Roman"/>
          <w:sz w:val="22"/>
          <w:szCs w:val="22"/>
        </w:rPr>
        <w:t xml:space="preserve">Create the home table once: Home ribbon → Enter data → leave a single blank column → name the table _Measures → Load. It holds no rows; it exists to keep the measure library out of the fact tables.</w:t>
      </w:r>
    </w:p>
    <w:p>
      <w:pPr>
        <w:pStyle w:val="ListParagraph"/>
        <w:numPr>
          <w:ilvl w:val="0"/>
          <w:numId w:val="7"/>
        </w:numPr>
        <w:spacing w:after="60" w:line="276"/>
      </w:pPr>
      <w:r>
        <w:rPr>
          <w:rFonts w:ascii="Times New Roman" w:cs="Times New Roman" w:eastAsia="Times New Roman" w:hAnsi="Times New Roman"/>
          <w:sz w:val="22"/>
          <w:szCs w:val="22"/>
        </w:rPr>
        <w:t xml:space="preserve">In the Data pane, right-click _Measures → New measure. The formula bar opens.</w:t>
      </w:r>
    </w:p>
    <w:p>
      <w:pPr>
        <w:pStyle w:val="ListParagraph"/>
        <w:numPr>
          <w:ilvl w:val="0"/>
          <w:numId w:val="7"/>
        </w:numPr>
        <w:spacing w:after="60" w:line="276"/>
      </w:pPr>
      <w:r>
        <w:rPr>
          <w:rFonts w:ascii="Times New Roman" w:cs="Times New Roman" w:eastAsia="Times New Roman" w:hAnsi="Times New Roman"/>
          <w:sz w:val="22"/>
          <w:szCs w:val="22"/>
        </w:rPr>
        <w:t xml:space="preserve">Type the definition. Press Shift+Enter for a line break inside the formula bar; the DAX below is formatted exactly as it should be entered.</w:t>
      </w:r>
    </w:p>
    <w:p>
      <w:pPr>
        <w:pStyle w:val="ListParagraph"/>
        <w:numPr>
          <w:ilvl w:val="0"/>
          <w:numId w:val="7"/>
        </w:numPr>
        <w:spacing w:after="60" w:line="276"/>
      </w:pPr>
      <w:r>
        <w:rPr>
          <w:rFonts w:ascii="Times New Roman" w:cs="Times New Roman" w:eastAsia="Times New Roman" w:hAnsi="Times New Roman"/>
          <w:sz w:val="22"/>
          <w:szCs w:val="22"/>
        </w:rPr>
        <w:t xml:space="preserve">Commit with Enter, then set the three properties that make it usable: Format string, Display folder, Description. All three are on the Measure tools ribbon, and Description is in the Properties pane on the model view.</w:t>
      </w:r>
    </w:p>
    <w:p>
      <w:pPr>
        <w:pStyle w:val="ListParagraph"/>
        <w:numPr>
          <w:ilvl w:val="0"/>
          <w:numId w:val="7"/>
        </w:numPr>
        <w:spacing w:after="60" w:line="276"/>
      </w:pPr>
      <w:r>
        <w:rPr>
          <w:rFonts w:ascii="Times New Roman" w:cs="Times New Roman" w:eastAsia="Times New Roman" w:hAnsi="Times New Roman"/>
          <w:sz w:val="22"/>
          <w:szCs w:val="22"/>
        </w:rPr>
        <w:t xml:space="preserve">Hide the _Measures blank column: right-click it → Hide in report view. Leave the table itself visible.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808"/>
        <w:gridCol w:w="4306"/>
      </w:tblGrid>
      <w:tr>
        <w:trPr>
          <w:tblHeader/>
        </w:trPr>
        <w:tc>
          <w:tcPr>
            <w:tcW w:type="dxa" w:w="2246"/>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Property</w:t>
            </w:r>
          </w:p>
        </w:tc>
        <w:tc>
          <w:tcPr>
            <w:tcW w:type="dxa" w:w="2808"/>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Where to set it</w:t>
            </w:r>
          </w:p>
        </w:tc>
        <w:tc>
          <w:tcPr>
            <w:tcW w:type="dxa" w:w="4306"/>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Why it matters here</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Format string</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Measure tools → Format</w:t>
            </w:r>
          </w:p>
        </w:tc>
        <w:tc>
          <w:tcPr>
            <w:tcW w:type="dxa" w:w="430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Set once on the measure and every visual inherits it. The format strings in this section are not suggestions — a percentage measure formatted as a decimal is the most common reason a card reads 0.04 instead of 4.0%</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Display folder</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Measure tools → Properties → Display folder</w:t>
            </w:r>
          </w:p>
        </w:tc>
        <w:tc>
          <w:tcPr>
            <w:tcW w:type="dxa" w:w="430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Type the folder name exactly as given, including the leading number. The numbering is what keeps the ten folders in build order in the Data pane</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Description</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Model view → select the measure → Properties → Description</w:t>
            </w:r>
          </w:p>
        </w:tc>
        <w:tc>
          <w:tcPr>
            <w:tcW w:type="dxa" w:w="430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Paste the description given with each definition below. It surfaces as a tooltip in the Data pane for anyone building a report, and it is the only documentation a report author will actually see</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Home table</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Right-click the measure → Move to table</w:t>
            </w:r>
          </w:p>
        </w:tc>
        <w:tc>
          <w:tcPr>
            <w:tcW w:type="dxa" w:w="430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_Measures, always. A measure sitting on a fact table still works and still looks wrong</w:t>
            </w:r>
          </w:p>
        </w:tc>
      </w:tr>
    </w:tbl>
    <w:p>
      <w:pPr>
        <w:spacing w:after="200" w:before="40"/>
      </w:pPr>
      <w:r>
        <w:rPr>
          <w:rFonts w:ascii="Times New Roman" w:cs="Times New Roman" w:eastAsia="Times New Roman" w:hAnsi="Times New Roman"/>
          <w:i/>
          <w:iCs/>
          <w:color w:val="595959"/>
          <w:sz w:val="19"/>
          <w:szCs w:val="19"/>
        </w:rPr>
        <w:t xml:space="preserve">Table 8.1 — The four properties to set on every measure.</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Set the description as you go, not at the end.  </w:t>
      </w:r>
      <w:r>
        <w:rPr>
          <w:rFonts w:ascii="Times New Roman" w:cs="Times New Roman" w:eastAsia="Times New Roman" w:hAnsi="Times New Roman"/>
          <w:sz w:val="21"/>
          <w:szCs w:val="21"/>
        </w:rPr>
        <w:t xml:space="preserve">Seventy-nine descriptions written in one sitting at the end of the build is an hour of joyless work that gets skipped. Written one at a time as each measure is created, it costs nothing and it is the difference between a model someone else can use and one only you can.</w:t>
      </w:r>
    </w:p>
    <w:p>
      <w:pPr>
        <w:pStyle w:val="Heading2"/>
        <w:spacing w:after="120" w:before="280"/>
      </w:pPr>
      <w:r>
        <w:rPr>
          <w:rFonts w:ascii="Times New Roman" w:cs="Times New Roman" w:eastAsia="Times New Roman" w:hAnsi="Times New Roman"/>
          <w:b/>
          <w:bCs/>
          <w:color w:val="2E5496"/>
          <w:sz w:val="25"/>
          <w:szCs w:val="25"/>
        </w:rPr>
        <w:t xml:space="preserve">8.2 Conventions the Whole Library Follows</w:t>
      </w:r>
    </w:p>
    <w:p>
      <w:pPr>
        <w:pStyle w:val="ListParagraph"/>
        <w:numPr>
          <w:ilvl w:val="0"/>
          <w:numId w:val="5"/>
        </w:numPr>
        <w:spacing w:after="60" w:line="276"/>
      </w:pPr>
      <w:r>
        <w:rPr>
          <w:rFonts w:ascii="Times New Roman" w:cs="Times New Roman" w:eastAsia="Times New Roman" w:hAnsi="Times New Roman"/>
          <w:sz w:val="22"/>
          <w:szCs w:val="22"/>
        </w:rPr>
        <w:t xml:space="preserve">DIVIDE, never the slash operator. Every ratio in this project uses DIVIDE ( numerator, denominator ), which returns blank on a zero denominator instead of an error. A single divide-by-zero error blanks an entire visual, not one data point.</w:t>
      </w:r>
    </w:p>
    <w:p>
      <w:pPr>
        <w:pStyle w:val="ListParagraph"/>
        <w:numPr>
          <w:ilvl w:val="0"/>
          <w:numId w:val="5"/>
        </w:numPr>
        <w:spacing w:after="60" w:line="276"/>
      </w:pPr>
      <w:r>
        <w:rPr>
          <w:rFonts w:ascii="Times New Roman" w:cs="Times New Roman" w:eastAsia="Times New Roman" w:hAnsi="Times New Roman"/>
          <w:sz w:val="22"/>
          <w:szCs w:val="22"/>
        </w:rPr>
        <w:t xml:space="preserve">Variables for anything referenced twice. VAR … RETURN is used throughout, not for style but because a repeated CALCULATE is evaluated twice. The year-over-year pattern below is the canonical shape and it recurs roughly twenty times.</w:t>
      </w:r>
    </w:p>
    <w:p>
      <w:pPr>
        <w:pStyle w:val="ListParagraph"/>
        <w:numPr>
          <w:ilvl w:val="0"/>
          <w:numId w:val="5"/>
        </w:numPr>
        <w:spacing w:after="60" w:line="276"/>
      </w:pPr>
      <w:r>
        <w:rPr>
          <w:rFonts w:ascii="Times New Roman" w:cs="Times New Roman" w:eastAsia="Times New Roman" w:hAnsi="Times New Roman"/>
          <w:sz w:val="22"/>
          <w:szCs w:val="22"/>
        </w:rPr>
        <w:t xml:space="preserve">Naming carries the unit. A measure ending % returns a decimal formatted as a percentage. One ending (pp) returns a difference between two percentages, expressed in percentage points — those two are not the same thing and mixing them is the defect this convention prevents. A measure ending Real is deflated; without it, nominal.</w:t>
      </w:r>
    </w:p>
    <w:p>
      <w:pPr>
        <w:pStyle w:val="ListParagraph"/>
        <w:numPr>
          <w:ilvl w:val="0"/>
          <w:numId w:val="5"/>
        </w:numPr>
        <w:spacing w:after="60" w:line="276"/>
      </w:pPr>
      <w:r>
        <w:rPr>
          <w:rFonts w:ascii="Times New Roman" w:cs="Times New Roman" w:eastAsia="Times New Roman" w:hAnsi="Times New Roman"/>
          <w:sz w:val="22"/>
          <w:szCs w:val="22"/>
        </w:rPr>
        <w:t xml:space="preserve">No calculated columns in report files, and no measures either. Everything in this section is built once in the model file. If the same measure is being edited in two places, the shared-model architecture has already been broken — document 00 §3.3.</w:t>
      </w:r>
    </w:p>
    <w:p>
      <w:pPr>
        <w:pStyle w:val="ListParagraph"/>
        <w:numPr>
          <w:ilvl w:val="0"/>
          <w:numId w:val="5"/>
        </w:numPr>
        <w:spacing w:after="60" w:line="276"/>
      </w:pPr>
      <w:r>
        <w:rPr>
          <w:rFonts w:ascii="Times New Roman" w:cs="Times New Roman" w:eastAsia="Times New Roman" w:hAnsi="Times New Roman"/>
          <w:sz w:val="22"/>
          <w:szCs w:val="22"/>
        </w:rPr>
        <w:t xml:space="preserve">Filter context is stated, not assumed. Measures that only make sense under a specific filter say so in their description. Macro Value is the clearest case: correct under a single-series filter, meaningless without one.</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Year-over-year, the shape used throughout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VAR Curr  = [Base Measure]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VAR Prior = CALCULATE ( [Base Measure], DATEADD ( DimDate[Date], -12, MONTH )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RETURN DIVIDE ( Curr - Prior, Prior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Three things are deliberate: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VAR      the base measure is evaluated once per branch, not twice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DATEADD  shifts the filter context; it does not subtract from a value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DIVIDE   returns blank in the first twelve months instead of an error</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 </w:t>
      </w:r>
    </w:p>
    <w:p>
      <w:pPr>
        <w:spacing w:after="200" w:before="40"/>
      </w:pPr>
      <w:r>
        <w:rPr>
          <w:rFonts w:ascii="Times New Roman" w:cs="Times New Roman" w:eastAsia="Times New Roman" w:hAnsi="Times New Roman"/>
          <w:i/>
          <w:iCs/>
          <w:color w:val="595959"/>
          <w:sz w:val="19"/>
          <w:szCs w:val="19"/>
        </w:rPr>
        <w:t xml:space="preserve">The year-over-year shape used throughout. Read it once here and the twenty variants below need no further explanation.</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The regression measures are descriptive, not inferential.  </w:t>
      </w:r>
      <w:r>
        <w:rPr>
          <w:rFonts w:ascii="Times New Roman" w:cs="Times New Roman" w:eastAsia="Times New Roman" w:hAnsi="Times New Roman"/>
          <w:sz w:val="21"/>
          <w:szCs w:val="21"/>
        </w:rPr>
        <w:t xml:space="preserve">Folders 06 and 07 fit ordinary least squares slopes over short monthly series with no standard errors, no confidence intervals, no lag structure and no control variables. They indicate direction and rough magnitude. Reporting one as a demand elasticity would misstate what was measured — document 01 §8.2 carries this as a stated limitation, and the wording on the page matters as much as the DAX.</w:t>
      </w:r>
    </w:p>
    <w:p>
      <w:pPr>
        <w:pStyle w:val="Heading2"/>
        <w:spacing w:after="120" w:before="280"/>
      </w:pPr>
      <w:r>
        <w:rPr>
          <w:rFonts w:ascii="Times New Roman" w:cs="Times New Roman" w:eastAsia="Times New Roman" w:hAnsi="Times New Roman"/>
          <w:b/>
          <w:bCs/>
          <w:color w:val="2E5496"/>
          <w:sz w:val="25"/>
          <w:szCs w:val="25"/>
        </w:rPr>
        <w:t xml:space="preserve">8.3 Build Order and Dependencies</w:t>
      </w:r>
    </w:p>
    <w:p>
      <w:pPr>
        <w:spacing w:after="120" w:line="276"/>
      </w:pPr>
      <w:r>
        <w:rPr>
          <w:rFonts w:ascii="Times New Roman" w:cs="Times New Roman" w:eastAsia="Times New Roman" w:hAnsi="Times New Roman"/>
          <w:sz w:val="22"/>
          <w:szCs w:val="22"/>
        </w:rPr>
        <w:t xml:space="preserve">Build the folders in the order below. Later folders reference earlier ones, and a dependency error in DAX surfaces as a blank rather than a message — so a folder built out of order produces measures that are silently empty rather than obviously broken. Close each folder with its check before starting the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1872"/>
        <w:gridCol w:w="936"/>
        <w:gridCol w:w="2434"/>
        <w:gridCol w:w="3370"/>
      </w:tblGrid>
      <w:tr>
        <w:trPr>
          <w:tblHeader/>
        </w:trPr>
        <w:tc>
          <w:tcPr>
            <w:tcW w:type="dxa" w:w="749"/>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Order</w:t>
            </w:r>
          </w:p>
        </w:tc>
        <w:tc>
          <w:tcPr>
            <w:tcW w:type="dxa" w:w="187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Folder</w:t>
            </w:r>
          </w:p>
        </w:tc>
        <w:tc>
          <w:tcPr>
            <w:tcW w:type="dxa" w:w="936"/>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Count</w:t>
            </w:r>
          </w:p>
        </w:tc>
        <w:tc>
          <w:tcPr>
            <w:tcW w:type="dxa" w:w="243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Depends on</w:t>
            </w:r>
          </w:p>
        </w:tc>
        <w:tc>
          <w:tcPr>
            <w:tcW w:type="dxa" w:w="3370"/>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Close the folder when</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01 Macro</w:t>
            </w:r>
          </w:p>
        </w:tc>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8</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FactMacro, DimIndicator</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CPI Index for a known month matches the FRED series page</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2</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02 Sector</w:t>
            </w:r>
          </w:p>
        </w:tc>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10</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FactSectorSales, DimCategory, 01 Macro for the deflator</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Sector Sales for code 452 matches FRED MRTSSM452USS within rounding</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3</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03 Micro</w:t>
            </w:r>
          </w:p>
        </w:tc>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12</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FactItemMovement, DimItem, DimSupplier</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Total Cases unfiltered reconciles to the fact-table sum in SQL</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04 Cross-Tier</w:t>
            </w:r>
          </w:p>
        </w:tc>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6</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02 Sector, 03 Micro</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National Liquor Stores Real Sales moves with, not against, RRSFS</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5</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05 Channel</w:t>
            </w:r>
          </w:p>
        </w:tc>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9</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03 Micro</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On-Premise Share 2019 Baseline returns a value under every R1 Page 3 slicer combination</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6</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06 Elasticity</w:t>
            </w:r>
          </w:p>
        </w:tc>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12</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01 Macro, 03 Micro</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Observation Count is non-zero and plausible before trusting any slope</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7</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07 Rotation</w:t>
            </w:r>
          </w:p>
        </w:tc>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5</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02 Sector, 01 Macro</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Rate Sensitivity Beta lands negative for 441, 442 and 444</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8</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08 Assortment</w:t>
            </w:r>
          </w:p>
        </w:tc>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10</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DimItem lifecycle columns</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Cumulative Cases % reaches exactly 100% at the lowest-ranked item</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9</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09 Supplier</w:t>
            </w:r>
          </w:p>
        </w:tc>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2</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03 Micro</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Supplier HHI falls between 0 and 10,000</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10</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10 Seasonality</w:t>
            </w:r>
          </w:p>
        </w:tc>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5</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03 Micro, DimDate[MonthNumber]</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twelve Month Seasonal Factor values average to approximately 1.00</w:t>
            </w:r>
          </w:p>
        </w:tc>
      </w:tr>
    </w:tbl>
    <w:p>
      <w:pPr>
        <w:spacing w:after="200" w:before="40"/>
      </w:pPr>
      <w:r>
        <w:rPr>
          <w:rFonts w:ascii="Times New Roman" w:cs="Times New Roman" w:eastAsia="Times New Roman" w:hAnsi="Times New Roman"/>
          <w:i/>
          <w:iCs/>
          <w:color w:val="595959"/>
          <w:sz w:val="19"/>
          <w:szCs w:val="19"/>
        </w:rPr>
        <w:t xml:space="preserve">Table 8.2 — Build order, size and the check that closes each folder. The full validation suite is §9.</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Cases and dollars never meet as levels.  </w:t>
      </w:r>
      <w:r>
        <w:rPr>
          <w:rFonts w:ascii="Times New Roman" w:cs="Times New Roman" w:eastAsia="Times New Roman" w:hAnsi="Times New Roman"/>
          <w:sz w:val="21"/>
          <w:szCs w:val="21"/>
        </w:rPr>
        <w:t xml:space="preserve">Folder 03 is denominated in cases; folders 01 and 02 are denominated in dollars. The only sanctioned pairing in the entire project is Total Cases YoY % against National Liquor Stores Real YoY %, both rates of change. Folder 04 exists to make that one comparison correctly, and nothing outside folder 04 should attempt it.</w:t>
      </w:r>
    </w:p>
    <w:p>
      <w:pPr>
        <w:spacing w:after="120" w:line="276"/>
      </w:pPr>
      <w:r>
        <w:rPr>
          <w:rFonts w:ascii="Times New Roman" w:cs="Times New Roman" w:eastAsia="Times New Roman" w:hAnsi="Times New Roman"/>
          <w:sz w:val="22"/>
          <w:szCs w:val="22"/>
        </w:rPr>
        <w:t xml:space="preserve">The catalog follows: one table per display folder, in build order, on the landscape pages after this one. Every row carries what the measure depends on, its definition exactly as it should be entered, its format string, what it is for, and any caveat that governs when it is valid. The pages turn landscape because the definitions do not read at portrait width, and turn back afterwards.</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Read the Depends on column before building a folder.  </w:t>
      </w:r>
      <w:r>
        <w:rPr>
          <w:rFonts w:ascii="Times New Roman" w:cs="Times New Roman" w:eastAsia="Times New Roman" w:hAnsi="Times New Roman"/>
          <w:sz w:val="21"/>
          <w:szCs w:val="21"/>
        </w:rPr>
        <w:t xml:space="preserve">It lists the measures and tables each definition references, derived from the definitions themselves rather than maintained by hand. A measure whose dependencies are not yet built returns blank rather than an error, so working down each table in order is what keeps a silent failure from propagating into everything after it.</w:t>
      </w:r>
    </w:p>
    <w:p>
      <w:pPr>
        <w:sectPr>
          <w:pgSz w:w="12240" w:h="15840" w:orient="portrait"/>
          <w:pgMar w:top="1440" w:right="1440" w:bottom="1440" w:left="1440" w:header="708" w:footer="708" w:gutter="0"/>
          <w:pgNumType/>
          <w:docGrid w:linePitch="360"/>
        </w:sectPr>
      </w:pPr>
    </w:p>
    <w:p>
      <w:pPr>
        <w:pStyle w:val="Heading2"/>
        <w:spacing w:after="120" w:before="280"/>
      </w:pPr>
      <w:r>
        <w:rPr>
          <w:rFonts w:ascii="Times New Roman" w:cs="Times New Roman" w:eastAsia="Times New Roman" w:hAnsi="Times New Roman"/>
          <w:b/>
          <w:bCs/>
          <w:color w:val="2E5496"/>
          <w:sz w:val="25"/>
          <w:szCs w:val="25"/>
        </w:rPr>
        <w:t xml:space="preserve">8.4 01 Macro</w:t>
      </w:r>
    </w:p>
    <w:p>
      <w:pPr>
        <w:spacing w:after="120" w:line="276"/>
      </w:pPr>
      <w:r>
        <w:rPr>
          <w:rFonts w:ascii="Times New Roman" w:cs="Times New Roman" w:eastAsia="Times New Roman" w:hAnsi="Times New Roman"/>
          <w:sz w:val="22"/>
          <w:szCs w:val="22"/>
        </w:rPr>
        <w:t xml:space="preserve">Nine FRED series share one fact table, so every measure here pins a single SeriesId first.</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426"/>
        <w:gridCol w:w="1426"/>
        <w:gridCol w:w="4406"/>
        <w:gridCol w:w="778"/>
        <w:gridCol w:w="2851"/>
        <w:gridCol w:w="2074"/>
      </w:tblGrid>
      <w:tr>
        <w:trPr>
          <w:tblHeader/>
        </w:trPr>
        <w:tc>
          <w:tcPr>
            <w:tcW w:type="dxa" w:w="142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Name</w:t>
            </w:r>
          </w:p>
        </w:tc>
        <w:tc>
          <w:tcPr>
            <w:tcW w:type="dxa" w:w="142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5"/>
                <w:szCs w:val="15"/>
              </w:rPr>
              <w:t xml:space="preserve">Depends on</w:t>
            </w:r>
          </w:p>
        </w:tc>
        <w:tc>
          <w:tcPr>
            <w:tcW w:type="dxa" w:w="440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3"/>
                <w:szCs w:val="13"/>
              </w:rPr>
              <w:t xml:space="preserve">Definition</w:t>
            </w:r>
          </w:p>
        </w:tc>
        <w:tc>
          <w:tcPr>
            <w:tcW w:type="dxa" w:w="778"/>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Format</w:t>
            </w:r>
          </w:p>
        </w:tc>
        <w:tc>
          <w:tcPr>
            <w:tcW w:type="dxa" w:w="2851"/>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Description</w:t>
            </w:r>
          </w:p>
        </w:tc>
        <w:tc>
          <w:tcPr>
            <w:tcW w:type="dxa" w:w="2074"/>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5"/>
                <w:szCs w:val="15"/>
              </w:rPr>
              <w:t xml:space="preserve">Notes</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Macro Value</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FactMacro</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SUM ( FactMacro[Value]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Base aggregation.</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Meaningful ONLY under a single-series filter — the nine series carry different units and summing across them is nonsense.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Macro Value PM</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Macro Value</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CALCULATE ( [Macro Value], DATEADD ( DimDate[Date], -1, MONTH )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Prior month. Feeds the KPI reference labels on R1 Page 1.</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Macro Value PY</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Macro Value</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CALCULATE ( [Macro Value], DATEADD ( DimDate[Date], -12, MONTH )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Prior year, same month.</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CPI Index</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Macro Value</w:t>
            </w:r>
          </w:p>
          <w:p>
            <w:pPr>
              <w:spacing w:after="0" w:line="230"/>
            </w:pPr>
            <w:r>
              <w:rPr>
                <w:rFonts w:ascii="Times New Roman" w:cs="Times New Roman" w:eastAsia="Times New Roman" w:hAnsi="Times New Roman"/>
                <w:b w:val="false"/>
                <w:bCs w:val="false"/>
                <w:sz w:val="15"/>
                <w:szCs w:val="15"/>
              </w:rPr>
              <w:t xml:space="preserve">DimIndicator</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CALCULATE ( [Macro Value], DimIndicator[SeriesId] = "CPIAUCSL"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CPI level, index 1982-84 = 100. A LEVEL, not a rate — this is the deflator, not the inflation measure.</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CPI YoY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CPI Index</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Curr = [CPI Index]</w:t>
            </w:r>
          </w:p>
          <w:p>
            <w:pPr>
              <w:spacing w:after="0" w:line="230"/>
            </w:pPr>
            <w:r>
              <w:rPr>
                <w:rFonts w:ascii="Consolas" w:cs="Consolas" w:eastAsia="Consolas" w:hAnsi="Consolas"/>
                <w:b w:val="false"/>
                <w:bCs w:val="false"/>
                <w:sz w:val="13"/>
                <w:szCs w:val="13"/>
              </w:rPr>
              <w:t xml:space="preserve">VAR Prior = CALCULATE ( [CPI Index], DATEADD ( DimDate[Date], -12,</w:t>
            </w:r>
          </w:p>
          <w:p>
            <w:pPr>
              <w:spacing w:after="0" w:line="230"/>
            </w:pPr>
            <w:r>
              <w:rPr>
                <w:rFonts w:ascii="Consolas" w:cs="Consolas" w:eastAsia="Consolas" w:hAnsi="Consolas"/>
                <w:b w:val="false"/>
                <w:bCs w:val="false"/>
                <w:sz w:val="13"/>
                <w:szCs w:val="13"/>
              </w:rPr>
              <w:t xml:space="preserve">    MONTH ) )</w:t>
            </w:r>
          </w:p>
          <w:p>
            <w:pPr>
              <w:spacing w:after="0" w:line="230"/>
            </w:pPr>
            <w:r>
              <w:rPr>
                <w:rFonts w:ascii="Consolas" w:cs="Consolas" w:eastAsia="Consolas" w:hAnsi="Consolas"/>
                <w:b w:val="false"/>
                <w:bCs w:val="false"/>
                <w:sz w:val="13"/>
                <w:szCs w:val="13"/>
              </w:rPr>
              <w:t xml:space="preserve">RETURN DIVIDE ( Curr - Prior, Prior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Inflation rate. Spec 1.1 and the secondary axis of spec 1.6.</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Fed Funds Rate</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Macro Value</w:t>
            </w:r>
          </w:p>
          <w:p>
            <w:pPr>
              <w:spacing w:after="0" w:line="230"/>
            </w:pPr>
            <w:r>
              <w:rPr>
                <w:rFonts w:ascii="Times New Roman" w:cs="Times New Roman" w:eastAsia="Times New Roman" w:hAnsi="Times New Roman"/>
                <w:b w:val="false"/>
                <w:bCs w:val="false"/>
                <w:sz w:val="15"/>
                <w:szCs w:val="15"/>
              </w:rPr>
              <w:t xml:space="preserve">DimIndicator</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CALCULATE ( [Macro Value], DimIndicator[SeriesId] = "FEDFUNDS"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Policy rate, already a percentage in the source. X variable of Rate Sensitivity Beta.</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Consumer Sentiment</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Macro Value</w:t>
            </w:r>
          </w:p>
          <w:p>
            <w:pPr>
              <w:spacing w:after="0" w:line="230"/>
            </w:pPr>
            <w:r>
              <w:rPr>
                <w:rFonts w:ascii="Times New Roman" w:cs="Times New Roman" w:eastAsia="Times New Roman" w:hAnsi="Times New Roman"/>
                <w:b w:val="false"/>
                <w:bCs w:val="false"/>
                <w:sz w:val="15"/>
                <w:szCs w:val="15"/>
              </w:rPr>
              <w:t xml:space="preserve">DimIndicator</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CALCULATE ( [Macro Value], DimIndicator[SeriesId] = "UMCSENT"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University of Michigan index, 1966:Q1 = 100. Enters the stress composite with its sign REVERSED.</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Macro Indexed to 100</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Macro Value</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BaseDate = CALCULATE ( MIN ( DimDate[Date] ),</w:t>
            </w:r>
          </w:p>
          <w:p>
            <w:pPr>
              <w:spacing w:after="0" w:line="230"/>
            </w:pPr>
            <w:r>
              <w:rPr>
                <w:rFonts w:ascii="Consolas" w:cs="Consolas" w:eastAsia="Consolas" w:hAnsi="Consolas"/>
                <w:b w:val="false"/>
                <w:bCs w:val="false"/>
                <w:sz w:val="13"/>
                <w:szCs w:val="13"/>
              </w:rPr>
              <w:t xml:space="preserve">    ALLSELECTED ( DimDate ) )</w:t>
            </w:r>
          </w:p>
          <w:p>
            <w:pPr>
              <w:spacing w:after="0" w:line="230"/>
            </w:pPr>
            <w:r>
              <w:rPr>
                <w:rFonts w:ascii="Consolas" w:cs="Consolas" w:eastAsia="Consolas" w:hAnsi="Consolas"/>
                <w:b w:val="false"/>
                <w:bCs w:val="false"/>
                <w:sz w:val="13"/>
                <w:szCs w:val="13"/>
              </w:rPr>
              <w:t xml:space="preserve">VAR BaseValue = CALCULATE ( [Macro Value],</w:t>
            </w:r>
          </w:p>
          <w:p>
            <w:pPr>
              <w:spacing w:after="0" w:line="230"/>
            </w:pPr>
            <w:r>
              <w:rPr>
                <w:rFonts w:ascii="Consolas" w:cs="Consolas" w:eastAsia="Consolas" w:hAnsi="Consolas"/>
                <w:b w:val="false"/>
                <w:bCs w:val="false"/>
                <w:sz w:val="13"/>
                <w:szCs w:val="13"/>
              </w:rPr>
              <w:t xml:space="preserve">    DimDate[Date] = BaseDate )</w:t>
            </w:r>
          </w:p>
          <w:p>
            <w:pPr>
              <w:spacing w:after="0" w:line="230"/>
            </w:pPr>
            <w:r>
              <w:rPr>
                <w:rFonts w:ascii="Consolas" w:cs="Consolas" w:eastAsia="Consolas" w:hAnsi="Consolas"/>
                <w:b w:val="false"/>
                <w:bCs w:val="false"/>
                <w:sz w:val="13"/>
                <w:szCs w:val="13"/>
              </w:rPr>
              <w:t xml:space="preserve">RETURN DIVIDE ( [Macro Value], BaseValue ) * 100</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Rebases any series to 100 at the first VISIBLE month. This is what lets a percentage, an index and a dollar series share one axis on spec 1.5.</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bl>
    <w:p>
      <w:pPr>
        <w:spacing w:after="200" w:before="40"/>
      </w:pPr>
      <w:r>
        <w:rPr>
          <w:rFonts w:ascii="Times New Roman" w:cs="Times New Roman" w:eastAsia="Times New Roman" w:hAnsi="Times New Roman"/>
          <w:i/>
          <w:iCs/>
          <w:color w:val="595959"/>
          <w:sz w:val="19"/>
          <w:szCs w:val="19"/>
        </w:rPr>
        <w:t xml:space="preserve">Table 8.3 — 01 Macro. 8 measures. Close the folder when: CPI Index for a known month matches the FRED series page.</w:t>
      </w:r>
    </w:p>
    <w:p>
      <w:pPr>
        <w:pStyle w:val="Heading2"/>
        <w:spacing w:after="120" w:before="280"/>
      </w:pPr>
      <w:r>
        <w:rPr>
          <w:rFonts w:ascii="Times New Roman" w:cs="Times New Roman" w:eastAsia="Times New Roman" w:hAnsi="Times New Roman"/>
          <w:b/>
          <w:bCs/>
          <w:color w:val="2E5496"/>
          <w:sz w:val="25"/>
          <w:szCs w:val="25"/>
        </w:rPr>
        <w:t xml:space="preserve">8.5 02 Sector</w:t>
      </w:r>
    </w:p>
    <w:p>
      <w:pPr>
        <w:spacing w:after="120" w:line="276"/>
      </w:pPr>
      <w:r>
        <w:rPr>
          <w:rFonts w:ascii="Times New Roman" w:cs="Times New Roman" w:eastAsia="Times New Roman" w:hAnsi="Times New Roman"/>
          <w:sz w:val="22"/>
          <w:szCs w:val="22"/>
        </w:rPr>
        <w:t xml:space="preserve">Where nominal dollars become real dollars. The deflation is why 01 Macro has to exist first.</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426"/>
        <w:gridCol w:w="1426"/>
        <w:gridCol w:w="4406"/>
        <w:gridCol w:w="778"/>
        <w:gridCol w:w="2851"/>
        <w:gridCol w:w="2074"/>
      </w:tblGrid>
      <w:tr>
        <w:trPr>
          <w:tblHeader/>
        </w:trPr>
        <w:tc>
          <w:tcPr>
            <w:tcW w:type="dxa" w:w="142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Name</w:t>
            </w:r>
          </w:p>
        </w:tc>
        <w:tc>
          <w:tcPr>
            <w:tcW w:type="dxa" w:w="142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5"/>
                <w:szCs w:val="15"/>
              </w:rPr>
              <w:t xml:space="preserve">Depends on</w:t>
            </w:r>
          </w:p>
        </w:tc>
        <w:tc>
          <w:tcPr>
            <w:tcW w:type="dxa" w:w="440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3"/>
                <w:szCs w:val="13"/>
              </w:rPr>
              <w:t xml:space="preserve">Definition</w:t>
            </w:r>
          </w:p>
        </w:tc>
        <w:tc>
          <w:tcPr>
            <w:tcW w:type="dxa" w:w="778"/>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Format</w:t>
            </w:r>
          </w:p>
        </w:tc>
        <w:tc>
          <w:tcPr>
            <w:tcW w:type="dxa" w:w="2851"/>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Description</w:t>
            </w:r>
          </w:p>
        </w:tc>
        <w:tc>
          <w:tcPr>
            <w:tcW w:type="dxa" w:w="2074"/>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5"/>
                <w:szCs w:val="15"/>
              </w:rPr>
              <w:t xml:space="preserve">Notes</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Sector Sales</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FactSectorSales</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SUM ( FactSectorSales[SalesMillionsUSD]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Nominal sales in millions of DOLLARS.</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Never place beside a Tier 3 case measure.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Sector Sales PY</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Sector Sales</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CALCULATE ( [Sector Sales], DATEADD ( DimDate[Date], -12, MONTH )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Prior year, same month.</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Sector Sales YoY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Sector Sales PY</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DIVIDE ( [Sector Sales] - [Sector Sales PY], [Sector Sales PY]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Nominal growth. Contains price AND volume — spec 2.6 separates them.</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Sector Sales 3M Avg</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Sector Sales</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AVERAGEX ( DATESINPERIOD ( DimDate[Date], MAX ( DimDate[Date] ),</w:t>
            </w:r>
          </w:p>
          <w:p>
            <w:pPr>
              <w:spacing w:after="0" w:line="230"/>
            </w:pPr>
            <w:r>
              <w:rPr>
                <w:rFonts w:ascii="Consolas" w:cs="Consolas" w:eastAsia="Consolas" w:hAnsi="Consolas"/>
                <w:b w:val="false"/>
                <w:bCs w:val="false"/>
                <w:sz w:val="13"/>
                <w:szCs w:val="13"/>
              </w:rPr>
              <w:t xml:space="preserve">    -3, MONTH ), [Sector Sales]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Short smoothing.</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Sector Sales 12M Avg</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Sector Sales</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AVERAGEX ( DATESINPERIOD ( DimDate[Date], MAX ( DimDate[Date] ),</w:t>
            </w:r>
          </w:p>
          <w:p>
            <w:pPr>
              <w:spacing w:after="0" w:line="230"/>
            </w:pPr>
            <w:r>
              <w:rPr>
                <w:rFonts w:ascii="Consolas" w:cs="Consolas" w:eastAsia="Consolas" w:hAnsi="Consolas"/>
                <w:b w:val="false"/>
                <w:bCs w:val="false"/>
                <w:sz w:val="13"/>
                <w:szCs w:val="13"/>
              </w:rPr>
              <w:t xml:space="preserve">    -12, MONTH ), [Sector Sales]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Trend line for the monthly series.</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Total Retail and Food Services</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Sector Sales</w:t>
            </w:r>
          </w:p>
          <w:p>
            <w:pPr>
              <w:spacing w:after="0" w:line="230"/>
            </w:pPr>
            <w:r>
              <w:rPr>
                <w:rFonts w:ascii="Times New Roman" w:cs="Times New Roman" w:eastAsia="Times New Roman" w:hAnsi="Times New Roman"/>
                <w:b w:val="false"/>
                <w:bCs w:val="false"/>
                <w:sz w:val="15"/>
                <w:szCs w:val="15"/>
              </w:rPr>
              <w:t xml:space="preserve">DimCategory</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CALCULATE ( [Sector Sales], ALL ( DimCategory ),</w:t>
            </w:r>
          </w:p>
          <w:p>
            <w:pPr>
              <w:spacing w:after="0" w:line="230"/>
            </w:pPr>
            <w:r>
              <w:rPr>
                <w:rFonts w:ascii="Consolas" w:cs="Consolas" w:eastAsia="Consolas" w:hAnsi="Consolas"/>
                <w:b w:val="false"/>
                <w:bCs w:val="false"/>
                <w:sz w:val="13"/>
                <w:szCs w:val="13"/>
              </w:rPr>
              <w:t xml:space="preserve">    DimCategory[CategoryCode] = "44X72"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Headline denominator. ALL(DimCategory) escapes the current category filter so it stays the whole-market total.</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Share of Total Retail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Sector Sales · Total Retail and Food Services</w:t>
            </w:r>
          </w:p>
          <w:p>
            <w:pPr>
              <w:spacing w:after="0" w:line="230"/>
            </w:pPr>
            <w:r>
              <w:rPr>
                <w:rFonts w:ascii="Times New Roman" w:cs="Times New Roman" w:eastAsia="Times New Roman" w:hAnsi="Times New Roman"/>
                <w:b w:val="false"/>
                <w:bCs w:val="false"/>
                <w:sz w:val="15"/>
                <w:szCs w:val="15"/>
              </w:rPr>
              <w:t xml:space="preserve">DimCategory</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IF ( SELECTEDVALUE ( DimCategory[IsAggregate] ) = FALSE (),</w:t>
            </w:r>
          </w:p>
          <w:p>
            <w:pPr>
              <w:spacing w:after="0" w:line="230"/>
            </w:pPr>
            <w:r>
              <w:rPr>
                <w:rFonts w:ascii="Consolas" w:cs="Consolas" w:eastAsia="Consolas" w:hAnsi="Consolas"/>
                <w:b w:val="false"/>
                <w:bCs w:val="false"/>
                <w:sz w:val="13"/>
                <w:szCs w:val="13"/>
              </w:rPr>
              <w:t xml:space="preserve">     DIVIDE ( [Sector Sales], [Total Retail and Food Services] )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Blank for aggregates by design — 44X72 as a share of itself is 100% and would corrupt spec 2.3.</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Real Sector Sales</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Macro Value · Sector Sales</w:t>
            </w:r>
          </w:p>
          <w:p>
            <w:pPr>
              <w:spacing w:after="0" w:line="230"/>
            </w:pPr>
            <w:r>
              <w:rPr>
                <w:rFonts w:ascii="Times New Roman" w:cs="Times New Roman" w:eastAsia="Times New Roman" w:hAnsi="Times New Roman"/>
                <w:b w:val="false"/>
                <w:bCs w:val="false"/>
                <w:sz w:val="15"/>
                <w:szCs w:val="15"/>
              </w:rPr>
              <w:t xml:space="preserve">DimIndicator</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Cpi = CALCULATE ( [Macro Value], ALL ( DimIndicator ),</w:t>
            </w:r>
          </w:p>
          <w:p>
            <w:pPr>
              <w:spacing w:after="0" w:line="230"/>
            </w:pPr>
            <w:r>
              <w:rPr>
                <w:rFonts w:ascii="Consolas" w:cs="Consolas" w:eastAsia="Consolas" w:hAnsi="Consolas"/>
                <w:b w:val="false"/>
                <w:bCs w:val="false"/>
                <w:sz w:val="13"/>
                <w:szCs w:val="13"/>
              </w:rPr>
              <w:t xml:space="preserve">    DimIndicator[SeriesId] = "CPIAUCSL" )</w:t>
            </w:r>
          </w:p>
          <w:p>
            <w:pPr>
              <w:spacing w:after="0" w:line="230"/>
            </w:pPr>
            <w:r>
              <w:rPr>
                <w:rFonts w:ascii="Consolas" w:cs="Consolas" w:eastAsia="Consolas" w:hAnsi="Consolas"/>
                <w:b w:val="false"/>
                <w:bCs w:val="false"/>
                <w:sz w:val="13"/>
                <w:szCs w:val="13"/>
              </w:rPr>
              <w:t xml:space="preserve">RETURN DIVIDE ( [Sector Sales], Cpi ) * 100</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Deflated to 1982-84 dollars. The volume-comparable series and the only national figure that may meet Tier 3.</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Real Sector Sales YoY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Real Sector Sales</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Curr = [Real Sector Sales]</w:t>
            </w:r>
          </w:p>
          <w:p>
            <w:pPr>
              <w:spacing w:after="0" w:line="230"/>
            </w:pPr>
            <w:r>
              <w:rPr>
                <w:rFonts w:ascii="Consolas" w:cs="Consolas" w:eastAsia="Consolas" w:hAnsi="Consolas"/>
                <w:b w:val="false"/>
                <w:bCs w:val="false"/>
                <w:sz w:val="13"/>
                <w:szCs w:val="13"/>
              </w:rPr>
              <w:t xml:space="preserve">VAR Prior = CALCULATE ( [Real Sector Sales],</w:t>
            </w:r>
          </w:p>
          <w:p>
            <w:pPr>
              <w:spacing w:after="0" w:line="230"/>
            </w:pPr>
            <w:r>
              <w:rPr>
                <w:rFonts w:ascii="Consolas" w:cs="Consolas" w:eastAsia="Consolas" w:hAnsi="Consolas"/>
                <w:b w:val="false"/>
                <w:bCs w:val="false"/>
                <w:sz w:val="13"/>
                <w:szCs w:val="13"/>
              </w:rPr>
              <w:t xml:space="preserve">    DATEADD ( DimDate[Date], -12, MONTH ) )</w:t>
            </w:r>
          </w:p>
          <w:p>
            <w:pPr>
              <w:spacing w:after="0" w:line="230"/>
            </w:pPr>
            <w:r>
              <w:rPr>
                <w:rFonts w:ascii="Consolas" w:cs="Consolas" w:eastAsia="Consolas" w:hAnsi="Consolas"/>
                <w:b w:val="false"/>
                <w:bCs w:val="false"/>
                <w:sz w:val="13"/>
                <w:szCs w:val="13"/>
              </w:rPr>
              <w:t xml:space="preserve">RETURN DIVIDE ( Curr - Prior, Prior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Volume growth with price removed.</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Nominal less Real YoY (pp)</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Real Sector Sales YoY %</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 [Sector Sales YoY %] - [Real Sector Sales YoY %] ) * 100</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The inflation wedge in percentage points: how much of headline growth was price, not quantity. Spec 2.6.</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bl>
    <w:p>
      <w:pPr>
        <w:spacing w:after="200" w:before="40"/>
      </w:pPr>
      <w:r>
        <w:rPr>
          <w:rFonts w:ascii="Times New Roman" w:cs="Times New Roman" w:eastAsia="Times New Roman" w:hAnsi="Times New Roman"/>
          <w:i/>
          <w:iCs/>
          <w:color w:val="595959"/>
          <w:sz w:val="19"/>
          <w:szCs w:val="19"/>
        </w:rPr>
        <w:t xml:space="preserve">Table 8.4 — 02 Sector. 10 measures. Close the folder when: Sector Sales for code 452 matches FRED MRTSSM452USS within rounding.</w:t>
      </w:r>
    </w:p>
    <w:p>
      <w:pPr>
        <w:pStyle w:val="Heading2"/>
        <w:spacing w:after="120" w:before="280"/>
      </w:pPr>
      <w:r>
        <w:rPr>
          <w:rFonts w:ascii="Times New Roman" w:cs="Times New Roman" w:eastAsia="Times New Roman" w:hAnsi="Times New Roman"/>
          <w:b/>
          <w:bCs/>
          <w:color w:val="2E5496"/>
          <w:sz w:val="25"/>
          <w:szCs w:val="25"/>
        </w:rPr>
        <w:t xml:space="preserve">8.6 03 Micro</w:t>
      </w:r>
    </w:p>
    <w:p>
      <w:pPr>
        <w:spacing w:after="120" w:line="276"/>
      </w:pPr>
      <w:r>
        <w:rPr>
          <w:rFonts w:ascii="Times New Roman" w:cs="Times New Roman" w:eastAsia="Times New Roman" w:hAnsi="Times New Roman"/>
          <w:sz w:val="22"/>
          <w:szCs w:val="22"/>
        </w:rPr>
        <w:t xml:space="preserve">The only layer denominated in CASES. Nothing here is compared as a level against 01 or 02.</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426"/>
        <w:gridCol w:w="1426"/>
        <w:gridCol w:w="4406"/>
        <w:gridCol w:w="778"/>
        <w:gridCol w:w="2851"/>
        <w:gridCol w:w="2074"/>
      </w:tblGrid>
      <w:tr>
        <w:trPr>
          <w:tblHeader/>
        </w:trPr>
        <w:tc>
          <w:tcPr>
            <w:tcW w:type="dxa" w:w="142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Name</w:t>
            </w:r>
          </w:p>
        </w:tc>
        <w:tc>
          <w:tcPr>
            <w:tcW w:type="dxa" w:w="142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5"/>
                <w:szCs w:val="15"/>
              </w:rPr>
              <w:t xml:space="preserve">Depends on</w:t>
            </w:r>
          </w:p>
        </w:tc>
        <w:tc>
          <w:tcPr>
            <w:tcW w:type="dxa" w:w="440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3"/>
                <w:szCs w:val="13"/>
              </w:rPr>
              <w:t xml:space="preserve">Definition</w:t>
            </w:r>
          </w:p>
        </w:tc>
        <w:tc>
          <w:tcPr>
            <w:tcW w:type="dxa" w:w="778"/>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Format</w:t>
            </w:r>
          </w:p>
        </w:tc>
        <w:tc>
          <w:tcPr>
            <w:tcW w:type="dxa" w:w="2851"/>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Description</w:t>
            </w:r>
          </w:p>
        </w:tc>
        <w:tc>
          <w:tcPr>
            <w:tcW w:type="dxa" w:w="2074"/>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5"/>
                <w:szCs w:val="15"/>
              </w:rPr>
              <w:t xml:space="preserve">Notes</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Retail Cases</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FactItemMovement</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SUM ( FactItemMovement[RetailSales]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CASES to consumers (off-premise). Named in cases deliberately — a measure called 'Retail Sales' beside a Census dollar measure is the most likely source of a false comparison.</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Warehouse Cases</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FactItemMovement</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SUM ( FactItemMovement[WarehouseSales]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CASES to licensees (on-premise).</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Transfer Cases</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FactItemMovement</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SUM ( FactItemMovement[RetailTransfers]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CASES transferred into dispensaries.</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Total Cases</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FactItemMovement</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SUM ( FactItemMovement[TotalMovement]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Retail + warehouse cases. Mix-weighted across item types — a case of beer is not a case of liquor, so cross-type totals are not physical totals.</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Retail Cases YoY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Retail Cases</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Prior = CALCULATE ( [Retail Cases], DATEADD ( DimDate[Date],</w:t>
            </w:r>
          </w:p>
          <w:p>
            <w:pPr>
              <w:spacing w:after="0" w:line="230"/>
            </w:pPr>
            <w:r>
              <w:rPr>
                <w:rFonts w:ascii="Consolas" w:cs="Consolas" w:eastAsia="Consolas" w:hAnsi="Consolas"/>
                <w:b w:val="false"/>
                <w:bCs w:val="false"/>
                <w:sz w:val="13"/>
                <w:szCs w:val="13"/>
              </w:rPr>
              <w:t xml:space="preserve">    -12, MONTH ) )</w:t>
            </w:r>
          </w:p>
          <w:p>
            <w:pPr>
              <w:spacing w:after="0" w:line="230"/>
            </w:pPr>
            <w:r>
              <w:rPr>
                <w:rFonts w:ascii="Consolas" w:cs="Consolas" w:eastAsia="Consolas" w:hAnsi="Consolas"/>
                <w:b w:val="false"/>
                <w:bCs w:val="false"/>
                <w:sz w:val="13"/>
                <w:szCs w:val="13"/>
              </w:rPr>
              <w:t xml:space="preserve">RETURN DIVIDE ( [Retail Cases] - Prior, Prior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Off-premise volume growth.</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Total Cases YoY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Total Cases</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Prior = CALCULATE ( [Total Cases], DATEADD ( DimDate[Date],</w:t>
            </w:r>
          </w:p>
          <w:p>
            <w:pPr>
              <w:spacing w:after="0" w:line="230"/>
            </w:pPr>
            <w:r>
              <w:rPr>
                <w:rFonts w:ascii="Consolas" w:cs="Consolas" w:eastAsia="Consolas" w:hAnsi="Consolas"/>
                <w:b w:val="false"/>
                <w:bCs w:val="false"/>
                <w:sz w:val="13"/>
                <w:szCs w:val="13"/>
              </w:rPr>
              <w:t xml:space="preserve">    -12, MONTH ) )</w:t>
            </w:r>
          </w:p>
          <w:p>
            <w:pPr>
              <w:spacing w:after="0" w:line="230"/>
            </w:pPr>
            <w:r>
              <w:rPr>
                <w:rFonts w:ascii="Consolas" w:cs="Consolas" w:eastAsia="Consolas" w:hAnsi="Consolas"/>
                <w:b w:val="false"/>
                <w:bCs w:val="false"/>
                <w:sz w:val="13"/>
                <w:szCs w:val="13"/>
              </w:rPr>
              <w:t xml:space="preserve">RETURN DIVIDE ( [Total Cases] - Prior, Prior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Total volume growth.</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The ONLY measure permitted to sit against National Liquor Stores Real YoY %.</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Retail Share of Movement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Retail Cases · Total Cases</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DIVIDE ( [Retail Cases], [Total Cases]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Off-premise share of total movement.</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Transfer to Sales Ratio</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Retail Cases · Transfer Cases</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DIVIDE ( [Transfer Cases], [Retail Cases]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Distribution-quality signal: cases moved INTO dispensaries per case sold. A persistently high ratio means product landing where demand is not — a forecasting failure, not a demand signal.</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Active Items</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FactItemMovement</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DISTINCTCOUNT ( FactItemMovement[ItemKey]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Items with movement in the current filter context.</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Active Suppliers</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FactItemMovement</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DISTINCTCOUNT ( FactItemMovement[SupplierKey]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Suppliers with movement in context.</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Top 10 Supplier Share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Total Cases</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Top10 = TOPN ( 10, ALLSELECTED ( DimSupplier ), [Total Cases],</w:t>
            </w:r>
          </w:p>
          <w:p>
            <w:pPr>
              <w:spacing w:after="0" w:line="230"/>
            </w:pPr>
            <w:r>
              <w:rPr>
                <w:rFonts w:ascii="Consolas" w:cs="Consolas" w:eastAsia="Consolas" w:hAnsi="Consolas"/>
                <w:b w:val="false"/>
                <w:bCs w:val="false"/>
                <w:sz w:val="13"/>
                <w:szCs w:val="13"/>
              </w:rPr>
              <w:t xml:space="preserve">    DESC )</w:t>
            </w:r>
          </w:p>
          <w:p>
            <w:pPr>
              <w:spacing w:after="0" w:line="230"/>
            </w:pPr>
            <w:r>
              <w:rPr>
                <w:rFonts w:ascii="Consolas" w:cs="Consolas" w:eastAsia="Consolas" w:hAnsi="Consolas"/>
                <w:b w:val="false"/>
                <w:bCs w:val="false"/>
                <w:sz w:val="13"/>
                <w:szCs w:val="13"/>
              </w:rPr>
              <w:t xml:space="preserve">RETURN DIVIDE ( CALCULATE ( [Total Cases], KEEPFILTERS ( Top10 ) ),</w:t>
            </w:r>
          </w:p>
          <w:p>
            <w:pPr>
              <w:spacing w:after="0" w:line="230"/>
            </w:pPr>
            <w:r>
              <w:rPr>
                <w:rFonts w:ascii="Consolas" w:cs="Consolas" w:eastAsia="Consolas" w:hAnsi="Consolas"/>
                <w:b w:val="false"/>
                <w:bCs w:val="false"/>
                <w:sz w:val="13"/>
                <w:szCs w:val="13"/>
              </w:rPr>
              <w:t xml:space="preserve">                CALCULATE ( [Total Cases],</w:t>
            </w:r>
          </w:p>
          <w:p>
            <w:pPr>
              <w:spacing w:after="0" w:line="230"/>
            </w:pPr>
            <w:r>
              <w:rPr>
                <w:rFonts w:ascii="Consolas" w:cs="Consolas" w:eastAsia="Consolas" w:hAnsi="Consolas"/>
                <w:b w:val="false"/>
                <w:bCs w:val="false"/>
                <w:sz w:val="13"/>
                <w:szCs w:val="13"/>
              </w:rPr>
              <w:t xml:space="preserve">                    ALLSELECTED ( DimSupplier ) )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Concentration measure. Paired with Active Suppliers on spec 9.6 — share rising while count holds is a different story from share rising because suppliers left.</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Return Rows</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FactItemMovement</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CALCULATE ( COUNTROWS ( FactItemMovement ),</w:t>
            </w:r>
          </w:p>
          <w:p>
            <w:pPr>
              <w:spacing w:after="0" w:line="230"/>
            </w:pPr>
            <w:r>
              <w:rPr>
                <w:rFonts w:ascii="Consolas" w:cs="Consolas" w:eastAsia="Consolas" w:hAnsi="Consolas"/>
                <w:b w:val="false"/>
                <w:bCs w:val="false"/>
                <w:sz w:val="13"/>
                <w:szCs w:val="13"/>
              </w:rPr>
              <w:t xml:space="preserve">    FactItemMovement[RetailSales] &lt; 0 )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Count of negative retail rows. A data-quality CONTROL, not a filter: returns and transfers are retained and the card carries a tooltip saying so.</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bl>
    <w:p>
      <w:pPr>
        <w:spacing w:after="200" w:before="40"/>
      </w:pPr>
      <w:r>
        <w:rPr>
          <w:rFonts w:ascii="Times New Roman" w:cs="Times New Roman" w:eastAsia="Times New Roman" w:hAnsi="Times New Roman"/>
          <w:i/>
          <w:iCs/>
          <w:color w:val="595959"/>
          <w:sz w:val="19"/>
          <w:szCs w:val="19"/>
        </w:rPr>
        <w:t xml:space="preserve">Table 8.5 — 03 Micro. 12 measures. Close the folder when: Total Cases unfiltered reconciles to the fact-table sum in SQL.</w:t>
      </w:r>
    </w:p>
    <w:p>
      <w:pPr>
        <w:pStyle w:val="Heading2"/>
        <w:spacing w:after="120" w:before="280"/>
      </w:pPr>
      <w:r>
        <w:rPr>
          <w:rFonts w:ascii="Times New Roman" w:cs="Times New Roman" w:eastAsia="Times New Roman" w:hAnsi="Times New Roman"/>
          <w:b/>
          <w:bCs/>
          <w:color w:val="2E5496"/>
          <w:sz w:val="25"/>
          <w:szCs w:val="25"/>
        </w:rPr>
        <w:t xml:space="preserve">8.7 04 Cross-Tier</w:t>
      </w:r>
    </w:p>
    <w:p>
      <w:pPr>
        <w:spacing w:after="120" w:line="276"/>
      </w:pPr>
      <w:r>
        <w:rPr>
          <w:rFonts w:ascii="Times New Roman" w:cs="Times New Roman" w:eastAsia="Times New Roman" w:hAnsi="Times New Roman"/>
          <w:sz w:val="22"/>
          <w:szCs w:val="22"/>
        </w:rPr>
        <w:t xml:space="preserve">The bridge between dollars and cases — each measure compares rates of change, never levels.</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426"/>
        <w:gridCol w:w="1426"/>
        <w:gridCol w:w="4406"/>
        <w:gridCol w:w="778"/>
        <w:gridCol w:w="2851"/>
        <w:gridCol w:w="2074"/>
      </w:tblGrid>
      <w:tr>
        <w:trPr>
          <w:tblHeader/>
        </w:trPr>
        <w:tc>
          <w:tcPr>
            <w:tcW w:type="dxa" w:w="142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Name</w:t>
            </w:r>
          </w:p>
        </w:tc>
        <w:tc>
          <w:tcPr>
            <w:tcW w:type="dxa" w:w="142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5"/>
                <w:szCs w:val="15"/>
              </w:rPr>
              <w:t xml:space="preserve">Depends on</w:t>
            </w:r>
          </w:p>
        </w:tc>
        <w:tc>
          <w:tcPr>
            <w:tcW w:type="dxa" w:w="440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3"/>
                <w:szCs w:val="13"/>
              </w:rPr>
              <w:t xml:space="preserve">Definition</w:t>
            </w:r>
          </w:p>
        </w:tc>
        <w:tc>
          <w:tcPr>
            <w:tcW w:type="dxa" w:w="778"/>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Format</w:t>
            </w:r>
          </w:p>
        </w:tc>
        <w:tc>
          <w:tcPr>
            <w:tcW w:type="dxa" w:w="2851"/>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Description</w:t>
            </w:r>
          </w:p>
        </w:tc>
        <w:tc>
          <w:tcPr>
            <w:tcW w:type="dxa" w:w="2074"/>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5"/>
                <w:szCs w:val="15"/>
              </w:rPr>
              <w:t xml:space="preserve">Notes</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National Liquor Stores Sales</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Sector Sales</w:t>
            </w:r>
          </w:p>
          <w:p>
            <w:pPr>
              <w:spacing w:after="0" w:line="230"/>
            </w:pPr>
            <w:r>
              <w:rPr>
                <w:rFonts w:ascii="Times New Roman" w:cs="Times New Roman" w:eastAsia="Times New Roman" w:hAnsi="Times New Roman"/>
                <w:b w:val="false"/>
                <w:bCs w:val="false"/>
                <w:sz w:val="15"/>
                <w:szCs w:val="15"/>
              </w:rPr>
              <w:t xml:space="preserve">DimCategory</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CALCULATE ( [Sector Sales], ALL ( DimCategory ),</w:t>
            </w:r>
          </w:p>
          <w:p>
            <w:pPr>
              <w:spacing w:after="0" w:line="230"/>
            </w:pPr>
            <w:r>
              <w:rPr>
                <w:rFonts w:ascii="Consolas" w:cs="Consolas" w:eastAsia="Consolas" w:hAnsi="Consolas"/>
                <w:b w:val="false"/>
                <w:bCs w:val="false"/>
                <w:sz w:val="13"/>
                <w:szCs w:val="13"/>
              </w:rPr>
              <w:t xml:space="preserve">    DimCategory[CategoryCode] = "4453"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Census 4453, nominal dollars. The national comparator BEFORE deflation.</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National Liquor Stores Real Sales</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Macro Value · National Liquor Stores Sales</w:t>
            </w:r>
          </w:p>
          <w:p>
            <w:pPr>
              <w:spacing w:after="0" w:line="230"/>
            </w:pPr>
            <w:r>
              <w:rPr>
                <w:rFonts w:ascii="Times New Roman" w:cs="Times New Roman" w:eastAsia="Times New Roman" w:hAnsi="Times New Roman"/>
                <w:b w:val="false"/>
                <w:bCs w:val="false"/>
                <w:sz w:val="15"/>
                <w:szCs w:val="15"/>
              </w:rPr>
              <w:t xml:space="preserve">DimIndicator</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Cpi = CALCULATE ( [Macro Value], ALL ( DimIndicator ),</w:t>
            </w:r>
          </w:p>
          <w:p>
            <w:pPr>
              <w:spacing w:after="0" w:line="230"/>
            </w:pPr>
            <w:r>
              <w:rPr>
                <w:rFonts w:ascii="Consolas" w:cs="Consolas" w:eastAsia="Consolas" w:hAnsi="Consolas"/>
                <w:b w:val="false"/>
                <w:bCs w:val="false"/>
                <w:sz w:val="13"/>
                <w:szCs w:val="13"/>
              </w:rPr>
              <w:t xml:space="preserve">    DimIndicator[SeriesId] = "CPIAUCSL" )</w:t>
            </w:r>
          </w:p>
          <w:p>
            <w:pPr>
              <w:spacing w:after="0" w:line="230"/>
            </w:pPr>
            <w:r>
              <w:rPr>
                <w:rFonts w:ascii="Consolas" w:cs="Consolas" w:eastAsia="Consolas" w:hAnsi="Consolas"/>
                <w:b w:val="false"/>
                <w:bCs w:val="false"/>
                <w:sz w:val="13"/>
                <w:szCs w:val="13"/>
              </w:rPr>
              <w:t xml:space="preserve">RETURN DIVIDE ( [National Liquor Stores Sales], Cpi ) * 100</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Deflated. This is the volume-comparable counterpart to a case count.</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National Liquor Stores Nominal YoY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National Liquor Stores Sales</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Prior = CALCULATE ( [National Liquor Stores Sales],</w:t>
            </w:r>
          </w:p>
          <w:p>
            <w:pPr>
              <w:spacing w:after="0" w:line="230"/>
            </w:pPr>
            <w:r>
              <w:rPr>
                <w:rFonts w:ascii="Consolas" w:cs="Consolas" w:eastAsia="Consolas" w:hAnsi="Consolas"/>
                <w:b w:val="false"/>
                <w:bCs w:val="false"/>
                <w:sz w:val="13"/>
                <w:szCs w:val="13"/>
              </w:rPr>
              <w:t xml:space="preserve">    DATEADD ( DimDate[Date], -12, MONTH ) )</w:t>
            </w:r>
          </w:p>
          <w:p>
            <w:pPr>
              <w:spacing w:after="0" w:line="230"/>
            </w:pPr>
            <w:r>
              <w:rPr>
                <w:rFonts w:ascii="Consolas" w:cs="Consolas" w:eastAsia="Consolas" w:hAnsi="Consolas"/>
                <w:b w:val="false"/>
                <w:bCs w:val="false"/>
                <w:sz w:val="13"/>
                <w:szCs w:val="13"/>
              </w:rPr>
              <w:t xml:space="preserve">RETURN DIVIDE ( [National Liquor Stores Sales] - Prior, Prior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Dollar growth. Reported only alongside the real series so the price share is visible.</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National Liquor Stores Real YoY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National Liquor Stores Real Sales</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Prior = CALCULATE ( [National Liquor Stores Real Sales],</w:t>
            </w:r>
          </w:p>
          <w:p>
            <w:pPr>
              <w:spacing w:after="0" w:line="230"/>
            </w:pPr>
            <w:r>
              <w:rPr>
                <w:rFonts w:ascii="Consolas" w:cs="Consolas" w:eastAsia="Consolas" w:hAnsi="Consolas"/>
                <w:b w:val="false"/>
                <w:bCs w:val="false"/>
                <w:sz w:val="13"/>
                <w:szCs w:val="13"/>
              </w:rPr>
              <w:t xml:space="preserve">    DATEADD ( DimDate[Date], -12, MONTH ) )</w:t>
            </w:r>
          </w:p>
          <w:p>
            <w:pPr>
              <w:spacing w:after="0" w:line="230"/>
            </w:pPr>
            <w:r>
              <w:rPr>
                <w:rFonts w:ascii="Consolas" w:cs="Consolas" w:eastAsia="Consolas" w:hAnsi="Consolas"/>
                <w:b w:val="false"/>
                <w:bCs w:val="false"/>
                <w:sz w:val="13"/>
                <w:szCs w:val="13"/>
              </w:rPr>
              <w:t xml:space="preserve">RETURN DIVIDE ( [National Liquor Stores Real Sales] - Prior, Prior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Volume growth of the national category. Spec 3.5 pairs this with Total Cases YoY % and nothing else.</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Volume Gap vs National (pp)</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National Liquor Stores Real YoY % · Total Cases YoY %</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 [Total Cases YoY %] - [National Liquor Stores Real YoY %] ) * 100</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Local volume growth less national REAL growth. Positive: the local market outgrew the category in real terms. Both sides are volume-comparable; neither carries price.</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Implied Price Contribution (pp)</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National Liquor Stores Nominal YoY % · National Liquor Stores Real YoY %</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w:t>
            </w:r>
          </w:p>
          <w:p>
            <w:pPr>
              <w:spacing w:after="0" w:line="230"/>
            </w:pPr>
            <w:r>
              <w:rPr>
                <w:rFonts w:ascii="Consolas" w:cs="Consolas" w:eastAsia="Consolas" w:hAnsi="Consolas"/>
                <w:b w:val="false"/>
                <w:bCs w:val="false"/>
                <w:sz w:val="13"/>
                <w:szCs w:val="13"/>
              </w:rPr>
              <w:t xml:space="preserve">    [National Liquor Stores Nominal YoY %] - [National Liquor Stores Real YoY %] ) * 100</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The nominal-minus-real wedge, reported beside the volume gap so a reader can see how much of the dollar headline was price.</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bl>
    <w:p>
      <w:pPr>
        <w:spacing w:after="200" w:before="40"/>
      </w:pPr>
      <w:r>
        <w:rPr>
          <w:rFonts w:ascii="Times New Roman" w:cs="Times New Roman" w:eastAsia="Times New Roman" w:hAnsi="Times New Roman"/>
          <w:i/>
          <w:iCs/>
          <w:color w:val="595959"/>
          <w:sz w:val="19"/>
          <w:szCs w:val="19"/>
        </w:rPr>
        <w:t xml:space="preserve">Table 8.6 — 04 Cross-Tier. 6 measures. Close the folder when: National Liquor Stores Real Sales moves with, not against, RRSFS.</w:t>
      </w:r>
    </w:p>
    <w:p>
      <w:pPr>
        <w:pStyle w:val="Heading2"/>
        <w:spacing w:after="120" w:before="280"/>
      </w:pPr>
      <w:r>
        <w:rPr>
          <w:rFonts w:ascii="Times New Roman" w:cs="Times New Roman" w:eastAsia="Times New Roman" w:hAnsi="Times New Roman"/>
          <w:b/>
          <w:bCs/>
          <w:color w:val="2E5496"/>
          <w:sz w:val="25"/>
          <w:szCs w:val="25"/>
        </w:rPr>
        <w:t xml:space="preserve">8.8 05 Channel</w:t>
      </w:r>
    </w:p>
    <w:p>
      <w:pPr>
        <w:spacing w:after="120" w:line="276"/>
      </w:pPr>
      <w:r>
        <w:rPr>
          <w:rFonts w:ascii="Times New Roman" w:cs="Times New Roman" w:eastAsia="Times New Roman" w:hAnsi="Times New Roman"/>
          <w:sz w:val="22"/>
          <w:szCs w:val="22"/>
        </w:rPr>
        <w:t xml:space="preserve">Retail versus warehouse movement as the off-premise and on-premise proxy, against a 2019 baseline.</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426"/>
        <w:gridCol w:w="1426"/>
        <w:gridCol w:w="4406"/>
        <w:gridCol w:w="778"/>
        <w:gridCol w:w="2851"/>
        <w:gridCol w:w="2074"/>
      </w:tblGrid>
      <w:tr>
        <w:trPr>
          <w:tblHeader/>
        </w:trPr>
        <w:tc>
          <w:tcPr>
            <w:tcW w:type="dxa" w:w="142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Name</w:t>
            </w:r>
          </w:p>
        </w:tc>
        <w:tc>
          <w:tcPr>
            <w:tcW w:type="dxa" w:w="142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5"/>
                <w:szCs w:val="15"/>
              </w:rPr>
              <w:t xml:space="preserve">Depends on</w:t>
            </w:r>
          </w:p>
        </w:tc>
        <w:tc>
          <w:tcPr>
            <w:tcW w:type="dxa" w:w="440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3"/>
                <w:szCs w:val="13"/>
              </w:rPr>
              <w:t xml:space="preserve">Definition</w:t>
            </w:r>
          </w:p>
        </w:tc>
        <w:tc>
          <w:tcPr>
            <w:tcW w:type="dxa" w:w="778"/>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Format</w:t>
            </w:r>
          </w:p>
        </w:tc>
        <w:tc>
          <w:tcPr>
            <w:tcW w:type="dxa" w:w="2851"/>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Description</w:t>
            </w:r>
          </w:p>
        </w:tc>
        <w:tc>
          <w:tcPr>
            <w:tcW w:type="dxa" w:w="2074"/>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5"/>
                <w:szCs w:val="15"/>
              </w:rPr>
              <w:t xml:space="preserve">Notes</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Off-Premise Cases</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Retail Cases</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[Retail Cases]</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Alias with channel semantics. Exists so the channel panel reads in channel language rather than source-column language.</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On-Premise Cases</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Warehouse Cases</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[Warehouse Cases]</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Cases to licensees — bars and restaurants.</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On-Premise Share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On-Premise Cases · Total Cases</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DIVIDE ( [On-Premise Cases], [Total Cases]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Share of movement going to on-premise accounts.</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Keg Cases</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Total Cases</w:t>
            </w:r>
          </w:p>
          <w:p>
            <w:pPr>
              <w:spacing w:after="0" w:line="230"/>
            </w:pPr>
            <w:r>
              <w:rPr>
                <w:rFonts w:ascii="Times New Roman" w:cs="Times New Roman" w:eastAsia="Times New Roman" w:hAnsi="Times New Roman"/>
                <w:b w:val="false"/>
                <w:bCs w:val="false"/>
                <w:sz w:val="15"/>
                <w:szCs w:val="15"/>
              </w:rPr>
              <w:t xml:space="preserve">DimItem</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CALCULATE ( [Total Cases], DimItem[ItemType] = "Kegs"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Kegs are almost never sold for home consumption, so this is close to an uncontaminated on-premise indicator.</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Keg Share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Keg Cases · Total Cases</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DIVIDE ( [Keg Cases], [Total Cases]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Spec 3.11. Moves earlier and harder than the blended channel series.</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On-Premise Share 2019 Baseline</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On-Premise Cases · Total Cases</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CALCULATE ( DIVIDE ( [On-Premise Cases], [Total Cases] ),</w:t>
            </w:r>
          </w:p>
          <w:p>
            <w:pPr>
              <w:spacing w:after="0" w:line="230"/>
            </w:pPr>
            <w:r>
              <w:rPr>
                <w:rFonts w:ascii="Consolas" w:cs="Consolas" w:eastAsia="Consolas" w:hAnsi="Consolas"/>
                <w:b w:val="false"/>
                <w:bCs w:val="false"/>
                <w:sz w:val="13"/>
                <w:szCs w:val="13"/>
              </w:rPr>
              <w:t xml:space="preserve">            ALL ( DimDate ), DimDate[Year] = 2019 )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The last complete pre-disruption year. Must return a value under every slicer combination used on R1 Page 3 — a blank baseline silently blanks every vs-2019 measure downstream.</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On-Premise Share vs 2019 (pp)</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On-Premise Share % · On-Premise Share 2019 Baseline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 [On-Premise Share %] - [On-Premise Share 2019 Baseline] ) * 100</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Negative and persistent: consumption relocated to the home and stayed. Returning toward zero: the shift was transitory. Spec 3.10.</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On-Premise Cases vs 2019 Same Month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On-Premise Cases</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Base = CALCULATE ( [On-Premise Cases], ALL ( DimDate ),</w:t>
            </w:r>
          </w:p>
          <w:p>
            <w:pPr>
              <w:spacing w:after="0" w:line="230"/>
            </w:pPr>
            <w:r>
              <w:rPr>
                <w:rFonts w:ascii="Consolas" w:cs="Consolas" w:eastAsia="Consolas" w:hAnsi="Consolas"/>
                <w:b w:val="false"/>
                <w:bCs w:val="false"/>
                <w:sz w:val="13"/>
                <w:szCs w:val="13"/>
              </w:rPr>
              <w:t xml:space="preserve">                       VALUES ( DimDate[MonthNumber] ),</w:t>
            </w:r>
          </w:p>
          <w:p>
            <w:pPr>
              <w:spacing w:after="0" w:line="230"/>
            </w:pPr>
            <w:r>
              <w:rPr>
                <w:rFonts w:ascii="Consolas" w:cs="Consolas" w:eastAsia="Consolas" w:hAnsi="Consolas"/>
                <w:b w:val="false"/>
                <w:bCs w:val="false"/>
                <w:sz w:val="13"/>
                <w:szCs w:val="13"/>
              </w:rPr>
              <w:t xml:space="preserve">                           DimDate[Year] = 2019 )</w:t>
            </w:r>
          </w:p>
          <w:p>
            <w:pPr>
              <w:spacing w:after="0" w:line="230"/>
            </w:pPr>
            <w:r>
              <w:rPr>
                <w:rFonts w:ascii="Consolas" w:cs="Consolas" w:eastAsia="Consolas" w:hAnsi="Consolas"/>
                <w:b w:val="false"/>
                <w:bCs w:val="false"/>
                <w:sz w:val="13"/>
                <w:szCs w:val="13"/>
              </w:rPr>
              <w:t xml:space="preserve">RETURN DIVIDE ( [On-Premise Cases] - Base, Base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Level recovery against the pre-disruption comparable month, which controls for seasonality without modelling it.</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Channel Divergence (pp)</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Off-Premise Cases · On-Premise Cases</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OffPy = CALCULATE ( [Off-Premise Cases],</w:t>
            </w:r>
          </w:p>
          <w:p>
            <w:pPr>
              <w:spacing w:after="0" w:line="230"/>
            </w:pPr>
            <w:r>
              <w:rPr>
                <w:rFonts w:ascii="Consolas" w:cs="Consolas" w:eastAsia="Consolas" w:hAnsi="Consolas"/>
                <w:b w:val="false"/>
                <w:bCs w:val="false"/>
                <w:sz w:val="13"/>
                <w:szCs w:val="13"/>
              </w:rPr>
              <w:t xml:space="preserve">    DATEADD ( DimDate[Date], -12, MONTH ) )</w:t>
            </w:r>
          </w:p>
          <w:p>
            <w:pPr>
              <w:spacing w:after="0" w:line="230"/>
            </w:pPr>
            <w:r>
              <w:rPr>
                <w:rFonts w:ascii="Consolas" w:cs="Consolas" w:eastAsia="Consolas" w:hAnsi="Consolas"/>
                <w:b w:val="false"/>
                <w:bCs w:val="false"/>
                <w:sz w:val="13"/>
                <w:szCs w:val="13"/>
              </w:rPr>
              <w:t xml:space="preserve">VAR OnPy = CALCULATE ( [On-Premise Cases], DATEADD ( DimDate[Date],</w:t>
            </w:r>
          </w:p>
          <w:p>
            <w:pPr>
              <w:spacing w:after="0" w:line="230"/>
            </w:pPr>
            <w:r>
              <w:rPr>
                <w:rFonts w:ascii="Consolas" w:cs="Consolas" w:eastAsia="Consolas" w:hAnsi="Consolas"/>
                <w:b w:val="false"/>
                <w:bCs w:val="false"/>
                <w:sz w:val="13"/>
                <w:szCs w:val="13"/>
              </w:rPr>
              <w:t xml:space="preserve">    -12, MONTH ) )</w:t>
            </w:r>
          </w:p>
          <w:p>
            <w:pPr>
              <w:spacing w:after="0" w:line="230"/>
            </w:pPr>
            <w:r>
              <w:rPr>
                <w:rFonts w:ascii="Consolas" w:cs="Consolas" w:eastAsia="Consolas" w:hAnsi="Consolas"/>
                <w:b w:val="false"/>
                <w:bCs w:val="false"/>
                <w:sz w:val="13"/>
                <w:szCs w:val="13"/>
              </w:rPr>
              <w:t xml:space="preserve">RETURN ( DIVIDE ( [Off-Premise Cases] - OffPy, OffPy )</w:t>
            </w:r>
          </w:p>
          <w:p>
            <w:pPr>
              <w:spacing w:after="0" w:line="230"/>
            </w:pPr>
            <w:r>
              <w:rPr>
                <w:rFonts w:ascii="Consolas" w:cs="Consolas" w:eastAsia="Consolas" w:hAnsi="Consolas"/>
                <w:b w:val="false"/>
                <w:bCs w:val="false"/>
                <w:sz w:val="13"/>
                <w:szCs w:val="13"/>
              </w:rPr>
              <w:t xml:space="preserve">       - DIVIDE ( [On-Premise Cases] - OnPy, OnPy ) ) * 100</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Off-premise growth less on-premise growth. The 2020 spike states the substitution effect as a single number.</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bl>
    <w:p>
      <w:pPr>
        <w:spacing w:after="200" w:before="40"/>
      </w:pPr>
      <w:r>
        <w:rPr>
          <w:rFonts w:ascii="Times New Roman" w:cs="Times New Roman" w:eastAsia="Times New Roman" w:hAnsi="Times New Roman"/>
          <w:i/>
          <w:iCs/>
          <w:color w:val="595959"/>
          <w:sz w:val="19"/>
          <w:szCs w:val="19"/>
        </w:rPr>
        <w:t xml:space="preserve">Table 8.7 — 05 Channel. 9 measures. Close the folder when: On-Premise Share 2019 Baseline returns a value under every R1 Page 3 slicer combination.</w:t>
      </w:r>
    </w:p>
    <w:p>
      <w:pPr>
        <w:pStyle w:val="Heading2"/>
        <w:spacing w:after="120" w:before="280"/>
      </w:pPr>
      <w:r>
        <w:rPr>
          <w:rFonts w:ascii="Times New Roman" w:cs="Times New Roman" w:eastAsia="Times New Roman" w:hAnsi="Times New Roman"/>
          <w:b/>
          <w:bCs/>
          <w:color w:val="2E5496"/>
          <w:sz w:val="25"/>
          <w:szCs w:val="25"/>
        </w:rPr>
        <w:t xml:space="preserve">8.9 06 Elasticity</w:t>
      </w:r>
    </w:p>
    <w:p>
      <w:pPr>
        <w:spacing w:after="120" w:line="276"/>
      </w:pPr>
      <w:r>
        <w:rPr>
          <w:rFonts w:ascii="Times New Roman" w:cs="Times New Roman" w:eastAsia="Times New Roman" w:hAnsi="Times New Roman"/>
          <w:sz w:val="22"/>
          <w:szCs w:val="22"/>
        </w:rPr>
        <w:t xml:space="preserve">Ordinary least squares in DAX over the visible filter context. Descriptive, not inferential.</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426"/>
        <w:gridCol w:w="1426"/>
        <w:gridCol w:w="4406"/>
        <w:gridCol w:w="778"/>
        <w:gridCol w:w="2851"/>
        <w:gridCol w:w="2074"/>
      </w:tblGrid>
      <w:tr>
        <w:trPr>
          <w:tblHeader/>
        </w:trPr>
        <w:tc>
          <w:tcPr>
            <w:tcW w:type="dxa" w:w="142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Name</w:t>
            </w:r>
          </w:p>
        </w:tc>
        <w:tc>
          <w:tcPr>
            <w:tcW w:type="dxa" w:w="142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5"/>
                <w:szCs w:val="15"/>
              </w:rPr>
              <w:t xml:space="preserve">Depends on</w:t>
            </w:r>
          </w:p>
        </w:tc>
        <w:tc>
          <w:tcPr>
            <w:tcW w:type="dxa" w:w="440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3"/>
                <w:szCs w:val="13"/>
              </w:rPr>
              <w:t xml:space="preserve">Definition</w:t>
            </w:r>
          </w:p>
        </w:tc>
        <w:tc>
          <w:tcPr>
            <w:tcW w:type="dxa" w:w="778"/>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Format</w:t>
            </w:r>
          </w:p>
        </w:tc>
        <w:tc>
          <w:tcPr>
            <w:tcW w:type="dxa" w:w="2851"/>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Description</w:t>
            </w:r>
          </w:p>
        </w:tc>
        <w:tc>
          <w:tcPr>
            <w:tcW w:type="dxa" w:w="2074"/>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5"/>
                <w:szCs w:val="15"/>
              </w:rPr>
              <w:t xml:space="preserve">Notes</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Unemployment Rate</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Macro Value</w:t>
            </w:r>
          </w:p>
          <w:p>
            <w:pPr>
              <w:spacing w:after="0" w:line="230"/>
            </w:pPr>
            <w:r>
              <w:rPr>
                <w:rFonts w:ascii="Times New Roman" w:cs="Times New Roman" w:eastAsia="Times New Roman" w:hAnsi="Times New Roman"/>
                <w:b w:val="false"/>
                <w:bCs w:val="false"/>
                <w:sz w:val="15"/>
                <w:szCs w:val="15"/>
              </w:rPr>
              <w:t xml:space="preserve">DimIndicator</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CALCULATE ( [Macro Value], DimIndicator[SeriesId] = "UNRATE"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Labour slack. Enters the stress composite positively.</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Personal Saving Rate</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Macro Value</w:t>
            </w:r>
          </w:p>
          <w:p>
            <w:pPr>
              <w:spacing w:after="0" w:line="230"/>
            </w:pPr>
            <w:r>
              <w:rPr>
                <w:rFonts w:ascii="Times New Roman" w:cs="Times New Roman" w:eastAsia="Times New Roman" w:hAnsi="Times New Roman"/>
                <w:b w:val="false"/>
                <w:bCs w:val="false"/>
                <w:sz w:val="15"/>
                <w:szCs w:val="15"/>
              </w:rPr>
              <w:t xml:space="preserve">DimIndicator</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CALCULATE ( [Macro Value], DimIndicator[SeriesId] = "PSAVERT"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Precautionary saving. Enters the stress composite positively.</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Real Disposable Income</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Macro Value</w:t>
            </w:r>
          </w:p>
          <w:p>
            <w:pPr>
              <w:spacing w:after="0" w:line="230"/>
            </w:pPr>
            <w:r>
              <w:rPr>
                <w:rFonts w:ascii="Times New Roman" w:cs="Times New Roman" w:eastAsia="Times New Roman" w:hAnsi="Times New Roman"/>
                <w:b w:val="false"/>
                <w:bCs w:val="false"/>
                <w:sz w:val="15"/>
                <w:szCs w:val="15"/>
              </w:rPr>
              <w:t xml:space="preserve">DimIndicator</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CALCULATE ( [Macro Value], DimIndicator[SeriesId] = "DSPIC96"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Purchasing power, billions of chained dollars.</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Real Disposable Income YoY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Real Disposable Income</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Prior = CALCULATE ( [Real Disposable Income],</w:t>
            </w:r>
          </w:p>
          <w:p>
            <w:pPr>
              <w:spacing w:after="0" w:line="230"/>
            </w:pPr>
            <w:r>
              <w:rPr>
                <w:rFonts w:ascii="Consolas" w:cs="Consolas" w:eastAsia="Consolas" w:hAnsi="Consolas"/>
                <w:b w:val="false"/>
                <w:bCs w:val="false"/>
                <w:sz w:val="13"/>
                <w:szCs w:val="13"/>
              </w:rPr>
              <w:t xml:space="preserve">    DATEADD ( DimDate[Date], -12, MONTH ) )</w:t>
            </w:r>
          </w:p>
          <w:p>
            <w:pPr>
              <w:spacing w:after="0" w:line="230"/>
            </w:pPr>
            <w:r>
              <w:rPr>
                <w:rFonts w:ascii="Consolas" w:cs="Consolas" w:eastAsia="Consolas" w:hAnsi="Consolas"/>
                <w:b w:val="false"/>
                <w:bCs w:val="false"/>
                <w:sz w:val="13"/>
                <w:szCs w:val="13"/>
              </w:rPr>
              <w:t xml:space="preserve">RETURN DIVIDE ( [Real Disposable Income] - Prior, Prior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Tests the income channel separately from the sentiment channel (spec 4.7).</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Consumer Stress Index</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Consumer Sentiment · Personal Saving Rate · Unemployment Rate</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AllDates = CALCULATETABLE ( VALUES ( DimDate[DateKey] ),</w:t>
            </w:r>
          </w:p>
          <w:p>
            <w:pPr>
              <w:spacing w:after="0" w:line="230"/>
            </w:pPr>
            <w:r>
              <w:rPr>
                <w:rFonts w:ascii="Consolas" w:cs="Consolas" w:eastAsia="Consolas" w:hAnsi="Consolas"/>
                <w:b w:val="false"/>
                <w:bCs w:val="false"/>
                <w:sz w:val="13"/>
                <w:szCs w:val="13"/>
              </w:rPr>
              <w:t xml:space="preserve">    ALL ( DimDate ) )</w:t>
            </w:r>
          </w:p>
          <w:p>
            <w:pPr>
              <w:spacing w:after="0" w:line="230"/>
            </w:pPr>
            <w:r>
              <w:rPr>
                <w:rFonts w:ascii="Consolas" w:cs="Consolas" w:eastAsia="Consolas" w:hAnsi="Consolas"/>
                <w:b w:val="false"/>
                <w:bCs w:val="false"/>
                <w:sz w:val="13"/>
                <w:szCs w:val="13"/>
              </w:rPr>
              <w:t xml:space="preserve">VAR UnZ = DIVIDE ( [Unemployment Rate] - AVERAGEX ( AllDates,</w:t>
            </w:r>
          </w:p>
          <w:p>
            <w:pPr>
              <w:spacing w:after="0" w:line="230"/>
            </w:pPr>
            <w:r>
              <w:rPr>
                <w:rFonts w:ascii="Consolas" w:cs="Consolas" w:eastAsia="Consolas" w:hAnsi="Consolas"/>
                <w:b w:val="false"/>
                <w:bCs w:val="false"/>
                <w:sz w:val="13"/>
                <w:szCs w:val="13"/>
              </w:rPr>
              <w:t xml:space="preserve">    CALCULATE ( [Unemployment Rate] ) ), STDEVX.P ( AllDates,</w:t>
            </w:r>
          </w:p>
          <w:p>
            <w:pPr>
              <w:spacing w:after="0" w:line="230"/>
            </w:pPr>
            <w:r>
              <w:rPr>
                <w:rFonts w:ascii="Consolas" w:cs="Consolas" w:eastAsia="Consolas" w:hAnsi="Consolas"/>
                <w:b w:val="false"/>
                <w:bCs w:val="false"/>
                <w:sz w:val="13"/>
                <w:szCs w:val="13"/>
              </w:rPr>
              <w:t xml:space="preserve">    CALCULATE ( [Unemployment Rate] ) ) )</w:t>
            </w:r>
          </w:p>
          <w:p>
            <w:pPr>
              <w:spacing w:after="0" w:line="230"/>
            </w:pPr>
            <w:r>
              <w:rPr>
                <w:rFonts w:ascii="Consolas" w:cs="Consolas" w:eastAsia="Consolas" w:hAnsi="Consolas"/>
                <w:b w:val="false"/>
                <w:bCs w:val="false"/>
                <w:sz w:val="13"/>
                <w:szCs w:val="13"/>
              </w:rPr>
              <w:t xml:space="preserve">VAR SenZ = DIVIDE ( [Consumer Sentiment] - AVERAGEX ( AllDates,</w:t>
            </w:r>
          </w:p>
          <w:p>
            <w:pPr>
              <w:spacing w:after="0" w:line="230"/>
            </w:pPr>
            <w:r>
              <w:rPr>
                <w:rFonts w:ascii="Consolas" w:cs="Consolas" w:eastAsia="Consolas" w:hAnsi="Consolas"/>
                <w:b w:val="false"/>
                <w:bCs w:val="false"/>
                <w:sz w:val="13"/>
                <w:szCs w:val="13"/>
              </w:rPr>
              <w:t xml:space="preserve">    CALCULATE ( [Consumer Sentiment] ) ), STDEVX.P ( AllDates,</w:t>
            </w:r>
          </w:p>
          <w:p>
            <w:pPr>
              <w:spacing w:after="0" w:line="230"/>
            </w:pPr>
            <w:r>
              <w:rPr>
                <w:rFonts w:ascii="Consolas" w:cs="Consolas" w:eastAsia="Consolas" w:hAnsi="Consolas"/>
                <w:b w:val="false"/>
                <w:bCs w:val="false"/>
                <w:sz w:val="13"/>
                <w:szCs w:val="13"/>
              </w:rPr>
              <w:t xml:space="preserve">    CALCULATE ( [Consumer Sentiment] ) ) )</w:t>
            </w:r>
          </w:p>
          <w:p>
            <w:pPr>
              <w:spacing w:after="0" w:line="230"/>
            </w:pPr>
            <w:r>
              <w:rPr>
                <w:rFonts w:ascii="Consolas" w:cs="Consolas" w:eastAsia="Consolas" w:hAnsi="Consolas"/>
                <w:b w:val="false"/>
                <w:bCs w:val="false"/>
                <w:sz w:val="13"/>
                <w:szCs w:val="13"/>
              </w:rPr>
              <w:t xml:space="preserve">VAR SavZ = DIVIDE ( [Personal Saving Rate] - AVERAGEX ( AllDates,</w:t>
            </w:r>
          </w:p>
          <w:p>
            <w:pPr>
              <w:spacing w:after="0" w:line="230"/>
            </w:pPr>
            <w:r>
              <w:rPr>
                <w:rFonts w:ascii="Consolas" w:cs="Consolas" w:eastAsia="Consolas" w:hAnsi="Consolas"/>
                <w:b w:val="false"/>
                <w:bCs w:val="false"/>
                <w:sz w:val="13"/>
                <w:szCs w:val="13"/>
              </w:rPr>
              <w:t xml:space="preserve">    CALCULATE ( [Personal Saving Rate] ) ), STDEVX.P ( AllDates,</w:t>
            </w:r>
          </w:p>
          <w:p>
            <w:pPr>
              <w:spacing w:after="0" w:line="230"/>
            </w:pPr>
            <w:r>
              <w:rPr>
                <w:rFonts w:ascii="Consolas" w:cs="Consolas" w:eastAsia="Consolas" w:hAnsi="Consolas"/>
                <w:b w:val="false"/>
                <w:bCs w:val="false"/>
                <w:sz w:val="13"/>
                <w:szCs w:val="13"/>
              </w:rPr>
              <w:t xml:space="preserve">    CALCULATE ( [Personal Saving Rate] ) ) )</w:t>
            </w:r>
          </w:p>
          <w:p>
            <w:pPr>
              <w:spacing w:after="0" w:line="230"/>
            </w:pPr>
            <w:r>
              <w:rPr>
                <w:rFonts w:ascii="Consolas" w:cs="Consolas" w:eastAsia="Consolas" w:hAnsi="Consolas"/>
                <w:b w:val="false"/>
                <w:bCs w:val="false"/>
                <w:sz w:val="13"/>
                <w:szCs w:val="13"/>
              </w:rPr>
              <w:t xml:space="preserve">RETURN DIVIDE ( UnZ - SenZ + SavZ, 3 )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Equal-weighted composite of three standardised series. Standardised over ALL dates so the scale does not move when a slicer changes. Sentiment enters NEGATIVE — falling sentiment is rising stress.</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Volume Stress Sensitivity</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Consumer Stress Index · Total Cases YoY %</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Points = ADDCOLUMNS ( CALCULATETABLE ( VALUES (</w:t>
            </w:r>
          </w:p>
          <w:p>
            <w:pPr>
              <w:spacing w:after="0" w:line="230"/>
            </w:pPr>
            <w:r>
              <w:rPr>
                <w:rFonts w:ascii="Consolas" w:cs="Consolas" w:eastAsia="Consolas" w:hAnsi="Consolas"/>
                <w:b w:val="false"/>
                <w:bCs w:val="false"/>
                <w:sz w:val="13"/>
                <w:szCs w:val="13"/>
              </w:rPr>
              <w:t xml:space="preserve">    DimDate[DateKey] ),</w:t>
            </w:r>
          </w:p>
          <w:p>
            <w:pPr>
              <w:spacing w:after="0" w:line="230"/>
            </w:pPr>
            <w:r>
              <w:rPr>
                <w:rFonts w:ascii="Consolas" w:cs="Consolas" w:eastAsia="Consolas" w:hAnsi="Consolas"/>
                <w:b w:val="false"/>
                <w:bCs w:val="false"/>
                <w:sz w:val="13"/>
                <w:szCs w:val="13"/>
              </w:rPr>
              <w:t xml:space="preserve">    ALLSELECTED ( DimDate ) ),</w:t>
            </w:r>
          </w:p>
          <w:p>
            <w:pPr>
              <w:spacing w:after="0" w:line="230"/>
            </w:pPr>
            <w:r>
              <w:rPr>
                <w:rFonts w:ascii="Consolas" w:cs="Consolas" w:eastAsia="Consolas" w:hAnsi="Consolas"/>
                <w:b w:val="false"/>
                <w:bCs w:val="false"/>
                <w:sz w:val="13"/>
                <w:szCs w:val="13"/>
              </w:rPr>
              <w:t xml:space="preserve">    "@x", [Consumer Stress Index], "@y", [Total Cases YoY %] )</w:t>
            </w:r>
          </w:p>
          <w:p>
            <w:pPr>
              <w:spacing w:after="0" w:line="230"/>
            </w:pPr>
            <w:r>
              <w:rPr>
                <w:rFonts w:ascii="Consolas" w:cs="Consolas" w:eastAsia="Consolas" w:hAnsi="Consolas"/>
                <w:b w:val="false"/>
                <w:bCs w:val="false"/>
                <w:sz w:val="13"/>
                <w:szCs w:val="13"/>
              </w:rPr>
              <w:t xml:space="preserve">VAR Known = FILTER ( Points,</w:t>
            </w:r>
          </w:p>
          <w:p>
            <w:pPr>
              <w:spacing w:after="0" w:line="230"/>
            </w:pPr>
            <w:r>
              <w:rPr>
                <w:rFonts w:ascii="Consolas" w:cs="Consolas" w:eastAsia="Consolas" w:hAnsi="Consolas"/>
                <w:b w:val="false"/>
                <w:bCs w:val="false"/>
                <w:sz w:val="13"/>
                <w:szCs w:val="13"/>
              </w:rPr>
              <w:t xml:space="preserve">    NOT ISBLANK ( [@x] ) &amp;&amp; NOT ISBLANK ( [@y] ) )</w:t>
            </w:r>
          </w:p>
          <w:p>
            <w:pPr>
              <w:spacing w:after="0" w:line="230"/>
            </w:pPr>
            <w:r>
              <w:rPr>
                <w:rFonts w:ascii="Consolas" w:cs="Consolas" w:eastAsia="Consolas" w:hAnsi="Consolas"/>
                <w:b w:val="false"/>
                <w:bCs w:val="false"/>
                <w:sz w:val="13"/>
                <w:szCs w:val="13"/>
              </w:rPr>
              <w:t xml:space="preserve">VAR MeanX = AVERAGEX ( Known, [@x] )</w:t>
            </w:r>
          </w:p>
          <w:p>
            <w:pPr>
              <w:spacing w:after="0" w:line="230"/>
            </w:pPr>
            <w:r>
              <w:rPr>
                <w:rFonts w:ascii="Consolas" w:cs="Consolas" w:eastAsia="Consolas" w:hAnsi="Consolas"/>
                <w:b w:val="false"/>
                <w:bCs w:val="false"/>
                <w:sz w:val="13"/>
                <w:szCs w:val="13"/>
              </w:rPr>
              <w:t xml:space="preserve">VAR MeanY = AVERAGEX ( Known, [@y] )</w:t>
            </w:r>
          </w:p>
          <w:p>
            <w:pPr>
              <w:spacing w:after="0" w:line="230"/>
            </w:pPr>
            <w:r>
              <w:rPr>
                <w:rFonts w:ascii="Consolas" w:cs="Consolas" w:eastAsia="Consolas" w:hAnsi="Consolas"/>
                <w:b w:val="false"/>
                <w:bCs w:val="false"/>
                <w:sz w:val="13"/>
                <w:szCs w:val="13"/>
              </w:rPr>
              <w:t xml:space="preserve">RETURN DIVIDE ( SUMX ( Known, ( [@x] - MeanX ) * ( [@y] - MeanY ) ),</w:t>
            </w:r>
          </w:p>
          <w:p>
            <w:pPr>
              <w:spacing w:after="0" w:line="230"/>
            </w:pPr>
            <w:r>
              <w:rPr>
                <w:rFonts w:ascii="Consolas" w:cs="Consolas" w:eastAsia="Consolas" w:hAnsi="Consolas"/>
                <w:b w:val="false"/>
                <w:bCs w:val="false"/>
                <w:sz w:val="13"/>
                <w:szCs w:val="13"/>
              </w:rPr>
              <w:t xml:space="preserve">                SUMX ( Known, ( [@x] - MeanX ) ^ 2 )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OLS slope of volume growth on the stress composite. Negative: volume falls as stress rises. Near zero supports the inelastic-demand claim.</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DESCRIPTIVE ONLY — no standard errors, no lags, no controls.</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Volume Stress Correlation</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Consumer Stress Index · Total Cases YoY %</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Points = ADDCOLUMNS ( CALCULATETABLE ( VALUES (</w:t>
            </w:r>
          </w:p>
          <w:p>
            <w:pPr>
              <w:spacing w:after="0" w:line="230"/>
            </w:pPr>
            <w:r>
              <w:rPr>
                <w:rFonts w:ascii="Consolas" w:cs="Consolas" w:eastAsia="Consolas" w:hAnsi="Consolas"/>
                <w:b w:val="false"/>
                <w:bCs w:val="false"/>
                <w:sz w:val="13"/>
                <w:szCs w:val="13"/>
              </w:rPr>
              <w:t xml:space="preserve">    DimDate[DateKey] ),</w:t>
            </w:r>
          </w:p>
          <w:p>
            <w:pPr>
              <w:spacing w:after="0" w:line="230"/>
            </w:pPr>
            <w:r>
              <w:rPr>
                <w:rFonts w:ascii="Consolas" w:cs="Consolas" w:eastAsia="Consolas" w:hAnsi="Consolas"/>
                <w:b w:val="false"/>
                <w:bCs w:val="false"/>
                <w:sz w:val="13"/>
                <w:szCs w:val="13"/>
              </w:rPr>
              <w:t xml:space="preserve">    ALLSELECTED ( DimDate ) ),</w:t>
            </w:r>
          </w:p>
          <w:p>
            <w:pPr>
              <w:spacing w:after="0" w:line="230"/>
            </w:pPr>
            <w:r>
              <w:rPr>
                <w:rFonts w:ascii="Consolas" w:cs="Consolas" w:eastAsia="Consolas" w:hAnsi="Consolas"/>
                <w:b w:val="false"/>
                <w:bCs w:val="false"/>
                <w:sz w:val="13"/>
                <w:szCs w:val="13"/>
              </w:rPr>
              <w:t xml:space="preserve">    "@x", [Consumer Stress Index], "@y", [Total Cases YoY %] )</w:t>
            </w:r>
          </w:p>
          <w:p>
            <w:pPr>
              <w:spacing w:after="0" w:line="230"/>
            </w:pPr>
            <w:r>
              <w:rPr>
                <w:rFonts w:ascii="Consolas" w:cs="Consolas" w:eastAsia="Consolas" w:hAnsi="Consolas"/>
                <w:b w:val="false"/>
                <w:bCs w:val="false"/>
                <w:sz w:val="13"/>
                <w:szCs w:val="13"/>
              </w:rPr>
              <w:t xml:space="preserve">VAR Known = FILTER ( Points,</w:t>
            </w:r>
          </w:p>
          <w:p>
            <w:pPr>
              <w:spacing w:after="0" w:line="230"/>
            </w:pPr>
            <w:r>
              <w:rPr>
                <w:rFonts w:ascii="Consolas" w:cs="Consolas" w:eastAsia="Consolas" w:hAnsi="Consolas"/>
                <w:b w:val="false"/>
                <w:bCs w:val="false"/>
                <w:sz w:val="13"/>
                <w:szCs w:val="13"/>
              </w:rPr>
              <w:t xml:space="preserve">    NOT ISBLANK ( [@x] ) &amp;&amp; NOT ISBLANK ( [@y] ) )</w:t>
            </w:r>
          </w:p>
          <w:p>
            <w:pPr>
              <w:spacing w:after="0" w:line="230"/>
            </w:pPr>
            <w:r>
              <w:rPr>
                <w:rFonts w:ascii="Consolas" w:cs="Consolas" w:eastAsia="Consolas" w:hAnsi="Consolas"/>
                <w:b w:val="false"/>
                <w:bCs w:val="false"/>
                <w:sz w:val="13"/>
                <w:szCs w:val="13"/>
              </w:rPr>
              <w:t xml:space="preserve">VAR MeanX = AVERAGEX ( Known, [@x] )</w:t>
            </w:r>
          </w:p>
          <w:p>
            <w:pPr>
              <w:spacing w:after="0" w:line="230"/>
            </w:pPr>
            <w:r>
              <w:rPr>
                <w:rFonts w:ascii="Consolas" w:cs="Consolas" w:eastAsia="Consolas" w:hAnsi="Consolas"/>
                <w:b w:val="false"/>
                <w:bCs w:val="false"/>
                <w:sz w:val="13"/>
                <w:szCs w:val="13"/>
              </w:rPr>
              <w:t xml:space="preserve">VAR MeanY = AVERAGEX ( Known, [@y] )</w:t>
            </w:r>
          </w:p>
          <w:p>
            <w:pPr>
              <w:spacing w:after="0" w:line="230"/>
            </w:pPr>
            <w:r>
              <w:rPr>
                <w:rFonts w:ascii="Consolas" w:cs="Consolas" w:eastAsia="Consolas" w:hAnsi="Consolas"/>
                <w:b w:val="false"/>
                <w:bCs w:val="false"/>
                <w:sz w:val="13"/>
                <w:szCs w:val="13"/>
              </w:rPr>
              <w:t xml:space="preserve">VAR Cov = SUMX ( Known, ( [@x] - MeanX ) * ( [@y] - MeanY ) )</w:t>
            </w:r>
          </w:p>
          <w:p>
            <w:pPr>
              <w:spacing w:after="0" w:line="230"/>
            </w:pPr>
            <w:r>
              <w:rPr>
                <w:rFonts w:ascii="Consolas" w:cs="Consolas" w:eastAsia="Consolas" w:hAnsi="Consolas"/>
                <w:b w:val="false"/>
                <w:bCs w:val="false"/>
                <w:sz w:val="13"/>
                <w:szCs w:val="13"/>
              </w:rPr>
              <w:t xml:space="preserve">RETURN DIVIDE ( Cov, SQRT ( SUMX ( Known, ( [@x] - MeanX ) ^ 2 ) )</w:t>
            </w:r>
          </w:p>
          <w:p>
            <w:pPr>
              <w:spacing w:after="0" w:line="230"/>
            </w:pPr>
            <w:r>
              <w:rPr>
                <w:rFonts w:ascii="Consolas" w:cs="Consolas" w:eastAsia="Consolas" w:hAnsi="Consolas"/>
                <w:b w:val="false"/>
                <w:bCs w:val="false"/>
                <w:sz w:val="13"/>
                <w:szCs w:val="13"/>
              </w:rPr>
              <w:t xml:space="preserve">              * SQRT ( SUMX ( Known, ( [@y] - MeanY ) ^ 2 ) )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Pearson r on the same points as Volume Stress Sensitivity. Reported beside the slope so a reader can see how much of the relationship the slope explains. Written out in full rather than as a note, because a measure cannot inherit another measure's variables.</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Observation Count</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Total Cases YoY %</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COUNTROWS ( FILTER ( CALCULATETABLE ( VALUES ( DimDate[DateKey] ),</w:t>
            </w:r>
          </w:p>
          <w:p>
            <w:pPr>
              <w:spacing w:after="0" w:line="230"/>
            </w:pPr>
            <w:r>
              <w:rPr>
                <w:rFonts w:ascii="Consolas" w:cs="Consolas" w:eastAsia="Consolas" w:hAnsi="Consolas"/>
                <w:b w:val="false"/>
                <w:bCs w:val="false"/>
                <w:sz w:val="13"/>
                <w:szCs w:val="13"/>
              </w:rPr>
              <w:t xml:space="preserve">    ALLSELECTED ( DimDate ) ),</w:t>
            </w:r>
          </w:p>
          <w:p>
            <w:pPr>
              <w:spacing w:after="0" w:line="230"/>
            </w:pPr>
            <w:r>
              <w:rPr>
                <w:rFonts w:ascii="Consolas" w:cs="Consolas" w:eastAsia="Consolas" w:hAnsi="Consolas"/>
                <w:b w:val="false"/>
                <w:bCs w:val="false"/>
                <w:sz w:val="13"/>
                <w:szCs w:val="13"/>
              </w:rPr>
              <w:t xml:space="preserve">            NOT ISBLANK ( [Total Cases YoY %] ) )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REQUIRED on every visual displaying a slope or a correlation. A coefficient computed on a handful of months is not a finding, and validation check 15 enforces this.</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Item Type Share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Total Cases</w:t>
            </w:r>
          </w:p>
          <w:p>
            <w:pPr>
              <w:spacing w:after="0" w:line="230"/>
            </w:pPr>
            <w:r>
              <w:rPr>
                <w:rFonts w:ascii="Times New Roman" w:cs="Times New Roman" w:eastAsia="Times New Roman" w:hAnsi="Times New Roman"/>
                <w:b w:val="false"/>
                <w:bCs w:val="false"/>
                <w:sz w:val="15"/>
                <w:szCs w:val="15"/>
              </w:rPr>
              <w:t xml:space="preserve">DimItem</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DIVIDE ( [Total Cases], CALCULATE ( [Total Cases],</w:t>
            </w:r>
          </w:p>
          <w:p>
            <w:pPr>
              <w:spacing w:after="0" w:line="230"/>
            </w:pPr>
            <w:r>
              <w:rPr>
                <w:rFonts w:ascii="Consolas" w:cs="Consolas" w:eastAsia="Consolas" w:hAnsi="Consolas"/>
                <w:b w:val="false"/>
                <w:bCs w:val="false"/>
                <w:sz w:val="13"/>
                <w:szCs w:val="13"/>
              </w:rPr>
              <w:t xml:space="preserve">    ALL ( DimItem[ItemType] ) )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Mix composition. Spec 5.5.</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Item Type Share 2019 Baseline</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Total Cases</w:t>
            </w:r>
          </w:p>
          <w:p>
            <w:pPr>
              <w:spacing w:after="0" w:line="230"/>
            </w:pPr>
            <w:r>
              <w:rPr>
                <w:rFonts w:ascii="Times New Roman" w:cs="Times New Roman" w:eastAsia="Times New Roman" w:hAnsi="Times New Roman"/>
                <w:b w:val="false"/>
                <w:bCs w:val="false"/>
                <w:sz w:val="15"/>
                <w:szCs w:val="15"/>
              </w:rPr>
              <w:t xml:space="preserve">DimDate · DimItem</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CALCULATE ( DIVIDE ( [Total Cases], CALCULATE ( [Total Cases],</w:t>
            </w:r>
          </w:p>
          <w:p>
            <w:pPr>
              <w:spacing w:after="0" w:line="230"/>
            </w:pPr>
            <w:r>
              <w:rPr>
                <w:rFonts w:ascii="Consolas" w:cs="Consolas" w:eastAsia="Consolas" w:hAnsi="Consolas"/>
                <w:b w:val="false"/>
                <w:bCs w:val="false"/>
                <w:sz w:val="13"/>
                <w:szCs w:val="13"/>
              </w:rPr>
              <w:t xml:space="preserve">    ALL ( DimItem[ItemType] ) ) ),</w:t>
            </w:r>
          </w:p>
          <w:p>
            <w:pPr>
              <w:spacing w:after="0" w:line="230"/>
            </w:pPr>
            <w:r>
              <w:rPr>
                <w:rFonts w:ascii="Consolas" w:cs="Consolas" w:eastAsia="Consolas" w:hAnsi="Consolas"/>
                <w:b w:val="false"/>
                <w:bCs w:val="false"/>
                <w:sz w:val="13"/>
                <w:szCs w:val="13"/>
              </w:rPr>
              <w:t xml:space="preserve">            ALL ( DimDate ), DimDate[Year] = 2019 )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Pre-disruption mix.</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Item Type Share vs 2019 (pp)</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Item Type Share % · Item Type Share 2019 Baseline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 [Item Type Share %] - [Item Type Share 2019 Baseline] ) * 100</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Separates genuine mix movement from level movement. Spec 5.6.</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Mix Shift Magnitude (pp)</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Item Type Share vs 2019 (pp)</w:t>
            </w:r>
          </w:p>
          <w:p>
            <w:pPr>
              <w:spacing w:after="0" w:line="230"/>
            </w:pPr>
            <w:r>
              <w:rPr>
                <w:rFonts w:ascii="Times New Roman" w:cs="Times New Roman" w:eastAsia="Times New Roman" w:hAnsi="Times New Roman"/>
                <w:b w:val="false"/>
                <w:bCs w:val="false"/>
                <w:sz w:val="15"/>
                <w:szCs w:val="15"/>
              </w:rPr>
              <w:t xml:space="preserve">DimItem</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Shifts =</w:t>
            </w:r>
          </w:p>
          <w:p>
            <w:pPr>
              <w:spacing w:after="0" w:line="230"/>
            </w:pPr>
            <w:r>
              <w:rPr>
                <w:rFonts w:ascii="Consolas" w:cs="Consolas" w:eastAsia="Consolas" w:hAnsi="Consolas"/>
                <w:b w:val="false"/>
                <w:bCs w:val="false"/>
                <w:sz w:val="13"/>
                <w:szCs w:val="13"/>
              </w:rPr>
              <w:t xml:space="preserve">    ADDCOLUMNS ( VALUES ( DimItem[ItemType] ), "@d",</w:t>
            </w:r>
          </w:p>
          <w:p>
            <w:pPr>
              <w:spacing w:after="0" w:line="230"/>
            </w:pPr>
            <w:r>
              <w:rPr>
                <w:rFonts w:ascii="Consolas" w:cs="Consolas" w:eastAsia="Consolas" w:hAnsi="Consolas"/>
                <w:b w:val="false"/>
                <w:bCs w:val="false"/>
                <w:sz w:val="13"/>
                <w:szCs w:val="13"/>
              </w:rPr>
              <w:t xml:space="preserve">        [Item Type Share vs 2019 (pp)] )</w:t>
            </w:r>
          </w:p>
          <w:p>
            <w:pPr>
              <w:spacing w:after="0" w:line="230"/>
            </w:pPr>
            <w:r>
              <w:rPr>
                <w:rFonts w:ascii="Consolas" w:cs="Consolas" w:eastAsia="Consolas" w:hAnsi="Consolas"/>
                <w:b w:val="false"/>
                <w:bCs w:val="false"/>
                <w:sz w:val="13"/>
                <w:szCs w:val="13"/>
              </w:rPr>
              <w:t xml:space="preserve">RETURN</w:t>
            </w:r>
          </w:p>
          <w:p>
            <w:pPr>
              <w:spacing w:after="0" w:line="230"/>
            </w:pPr>
            <w:r>
              <w:rPr>
                <w:rFonts w:ascii="Consolas" w:cs="Consolas" w:eastAsia="Consolas" w:hAnsi="Consolas"/>
                <w:b w:val="false"/>
                <w:bCs w:val="false"/>
                <w:sz w:val="13"/>
                <w:szCs w:val="13"/>
              </w:rPr>
              <w:t xml:space="preserve">    DIVIDE ( SUMX ( Shifts, ABS ( [@d] ) ), 2 )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How far the whole composition has moved from its 2019 mix, in percentage points. Halved because share changes sum to zero, so the absolute total double-counts every move. Replaces the retired Premium Tier Share %: there is no price data in this project, so a price-tier measure had no derivable basis. A flat Total Cases YoY % with a rising value here is the trading-down result stated without needing a price.</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bl>
    <w:p>
      <w:pPr>
        <w:spacing w:after="200" w:before="40"/>
      </w:pPr>
      <w:r>
        <w:rPr>
          <w:rFonts w:ascii="Times New Roman" w:cs="Times New Roman" w:eastAsia="Times New Roman" w:hAnsi="Times New Roman"/>
          <w:i/>
          <w:iCs/>
          <w:color w:val="595959"/>
          <w:sz w:val="19"/>
          <w:szCs w:val="19"/>
        </w:rPr>
        <w:t xml:space="preserve">Table 8.8 — 06 Elasticity. 12 measures. Close the folder when: Observation Count is non-zero and plausible before any slope is trusted.</w:t>
      </w:r>
    </w:p>
    <w:p>
      <w:pPr>
        <w:pStyle w:val="Heading2"/>
        <w:spacing w:after="120" w:before="280"/>
      </w:pPr>
      <w:r>
        <w:rPr>
          <w:rFonts w:ascii="Times New Roman" w:cs="Times New Roman" w:eastAsia="Times New Roman" w:hAnsi="Times New Roman"/>
          <w:b/>
          <w:bCs/>
          <w:color w:val="2E5496"/>
          <w:sz w:val="25"/>
          <w:szCs w:val="25"/>
        </w:rPr>
        <w:t xml:space="preserve">8.10 07 Rotation</w:t>
      </w:r>
    </w:p>
    <w:p>
      <w:pPr>
        <w:spacing w:after="120" w:line="276"/>
      </w:pPr>
      <w:r>
        <w:rPr>
          <w:rFonts w:ascii="Times New Roman" w:cs="Times New Roman" w:eastAsia="Times New Roman" w:hAnsi="Times New Roman"/>
          <w:sz w:val="22"/>
          <w:szCs w:val="22"/>
        </w:rPr>
        <w:t xml:space="preserve">The same regression machinery as 06, applied across categories rather than within one.</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426"/>
        <w:gridCol w:w="1426"/>
        <w:gridCol w:w="4406"/>
        <w:gridCol w:w="778"/>
        <w:gridCol w:w="2851"/>
        <w:gridCol w:w="2074"/>
      </w:tblGrid>
      <w:tr>
        <w:trPr>
          <w:tblHeader/>
        </w:trPr>
        <w:tc>
          <w:tcPr>
            <w:tcW w:type="dxa" w:w="142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Name</w:t>
            </w:r>
          </w:p>
        </w:tc>
        <w:tc>
          <w:tcPr>
            <w:tcW w:type="dxa" w:w="142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5"/>
                <w:szCs w:val="15"/>
              </w:rPr>
              <w:t xml:space="preserve">Depends on</w:t>
            </w:r>
          </w:p>
        </w:tc>
        <w:tc>
          <w:tcPr>
            <w:tcW w:type="dxa" w:w="440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3"/>
                <w:szCs w:val="13"/>
              </w:rPr>
              <w:t xml:space="preserve">Definition</w:t>
            </w:r>
          </w:p>
        </w:tc>
        <w:tc>
          <w:tcPr>
            <w:tcW w:type="dxa" w:w="778"/>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Format</w:t>
            </w:r>
          </w:p>
        </w:tc>
        <w:tc>
          <w:tcPr>
            <w:tcW w:type="dxa" w:w="2851"/>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Description</w:t>
            </w:r>
          </w:p>
        </w:tc>
        <w:tc>
          <w:tcPr>
            <w:tcW w:type="dxa" w:w="2074"/>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5"/>
                <w:szCs w:val="15"/>
              </w:rPr>
              <w:t xml:space="preserve">Notes</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E-commerce Share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Sector Sales · Total Retail and Food Services</w:t>
            </w:r>
          </w:p>
          <w:p>
            <w:pPr>
              <w:spacing w:after="0" w:line="230"/>
            </w:pPr>
            <w:r>
              <w:rPr>
                <w:rFonts w:ascii="Times New Roman" w:cs="Times New Roman" w:eastAsia="Times New Roman" w:hAnsi="Times New Roman"/>
                <w:b w:val="false"/>
                <w:bCs w:val="false"/>
                <w:sz w:val="15"/>
                <w:szCs w:val="15"/>
              </w:rPr>
              <w:t xml:space="preserve">DimCategory</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DIVIDE ( CALCULATE ( [Sector Sales], ALL ( DimCategory ),</w:t>
            </w:r>
          </w:p>
          <w:p>
            <w:pPr>
              <w:spacing w:after="0" w:line="230"/>
            </w:pPr>
            <w:r>
              <w:rPr>
                <w:rFonts w:ascii="Consolas" w:cs="Consolas" w:eastAsia="Consolas" w:hAnsi="Consolas"/>
                <w:b w:val="false"/>
                <w:bCs w:val="false"/>
                <w:sz w:val="13"/>
                <w:szCs w:val="13"/>
              </w:rPr>
              <w:t xml:space="preserve">    DimCategory[CategoryCode] = "4541" ),</w:t>
            </w:r>
          </w:p>
          <w:p>
            <w:pPr>
              <w:spacing w:after="0" w:line="230"/>
            </w:pPr>
            <w:r>
              <w:rPr>
                <w:rFonts w:ascii="Consolas" w:cs="Consolas" w:eastAsia="Consolas" w:hAnsi="Consolas"/>
                <w:b w:val="false"/>
                <w:bCs w:val="false"/>
                <w:sz w:val="13"/>
                <w:szCs w:val="13"/>
              </w:rPr>
              <w:t xml:space="preserve">         [Total Retail and Food Services]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Electronic shopping and mail-order houses as a share of total retail. The structural trend of the period.</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Department Store Share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Sector Sales · Total Retail and Food Services</w:t>
            </w:r>
          </w:p>
          <w:p>
            <w:pPr>
              <w:spacing w:after="0" w:line="230"/>
            </w:pPr>
            <w:r>
              <w:rPr>
                <w:rFonts w:ascii="Times New Roman" w:cs="Times New Roman" w:eastAsia="Times New Roman" w:hAnsi="Times New Roman"/>
                <w:b w:val="false"/>
                <w:bCs w:val="false"/>
                <w:sz w:val="15"/>
                <w:szCs w:val="15"/>
              </w:rPr>
              <w:t xml:space="preserve">DimCategory</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DIVIDE ( CALCULATE ( [Sector Sales], ALL ( DimCategory ),</w:t>
            </w:r>
          </w:p>
          <w:p>
            <w:pPr>
              <w:spacing w:after="0" w:line="230"/>
            </w:pPr>
            <w:r>
              <w:rPr>
                <w:rFonts w:ascii="Consolas" w:cs="Consolas" w:eastAsia="Consolas" w:hAnsi="Consolas"/>
                <w:b w:val="false"/>
                <w:bCs w:val="false"/>
                <w:sz w:val="13"/>
                <w:szCs w:val="13"/>
              </w:rPr>
              <w:t xml:space="preserve">    DimCategory[CategoryCode] = "4522" ),</w:t>
            </w:r>
          </w:p>
          <w:p>
            <w:pPr>
              <w:spacing w:after="0" w:line="230"/>
            </w:pPr>
            <w:r>
              <w:rPr>
                <w:rFonts w:ascii="Consolas" w:cs="Consolas" w:eastAsia="Consolas" w:hAnsi="Consolas"/>
                <w:b w:val="false"/>
                <w:bCs w:val="false"/>
                <w:sz w:val="13"/>
                <w:szCs w:val="13"/>
              </w:rPr>
              <w:t xml:space="preserve">         [Total Retail and Food Services]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Plotted with the warehouse-club share on spec 6.6 — the transfer between the two is the story.</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Warehouse Club Share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Sector Sales · Total Retail and Food Services</w:t>
            </w:r>
          </w:p>
          <w:p>
            <w:pPr>
              <w:spacing w:after="0" w:line="230"/>
            </w:pPr>
            <w:r>
              <w:rPr>
                <w:rFonts w:ascii="Times New Roman" w:cs="Times New Roman" w:eastAsia="Times New Roman" w:hAnsi="Times New Roman"/>
                <w:b w:val="false"/>
                <w:bCs w:val="false"/>
                <w:sz w:val="15"/>
                <w:szCs w:val="15"/>
              </w:rPr>
              <w:t xml:space="preserve">DimCategory</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DIVIDE ( CALCULATE ( [Sector Sales], ALL ( DimCategory ),</w:t>
            </w:r>
          </w:p>
          <w:p>
            <w:pPr>
              <w:spacing w:after="0" w:line="230"/>
            </w:pPr>
            <w:r>
              <w:rPr>
                <w:rFonts w:ascii="Consolas" w:cs="Consolas" w:eastAsia="Consolas" w:hAnsi="Consolas"/>
                <w:b w:val="false"/>
                <w:bCs w:val="false"/>
                <w:sz w:val="13"/>
                <w:szCs w:val="13"/>
              </w:rPr>
              <w:t xml:space="preserve">    DimCategory[CategoryCode] = "452311" ),</w:t>
            </w:r>
          </w:p>
          <w:p>
            <w:pPr>
              <w:spacing w:after="0" w:line="230"/>
            </w:pPr>
            <w:r>
              <w:rPr>
                <w:rFonts w:ascii="Consolas" w:cs="Consolas" w:eastAsia="Consolas" w:hAnsi="Consolas"/>
                <w:b w:val="false"/>
                <w:bCs w:val="false"/>
                <w:sz w:val="13"/>
                <w:szCs w:val="13"/>
              </w:rPr>
              <w:t xml:space="preserve">         [Total Retail and Food Services]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Share gainer against department stores.</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Goods to Services Ratio</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Sector Sales</w:t>
            </w:r>
          </w:p>
          <w:p>
            <w:pPr>
              <w:spacing w:after="0" w:line="230"/>
            </w:pPr>
            <w:r>
              <w:rPr>
                <w:rFonts w:ascii="Times New Roman" w:cs="Times New Roman" w:eastAsia="Times New Roman" w:hAnsi="Times New Roman"/>
                <w:b w:val="false"/>
                <w:bCs w:val="false"/>
                <w:sz w:val="15"/>
                <w:szCs w:val="15"/>
              </w:rPr>
              <w:t xml:space="preserve">DimCategory</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DIVIDE ( CALCULATE ( [Sector Sales], ALL ( DimCategory ),</w:t>
            </w:r>
          </w:p>
          <w:p>
            <w:pPr>
              <w:spacing w:after="0" w:line="230"/>
            </w:pPr>
            <w:r>
              <w:rPr>
                <w:rFonts w:ascii="Consolas" w:cs="Consolas" w:eastAsia="Consolas" w:hAnsi="Consolas"/>
                <w:b w:val="false"/>
                <w:bCs w:val="false"/>
                <w:sz w:val="13"/>
                <w:szCs w:val="13"/>
              </w:rPr>
              <w:t xml:space="preserve">    DimCategory[CategoryCode] = "44000" ),</w:t>
            </w:r>
          </w:p>
          <w:p>
            <w:pPr>
              <w:spacing w:after="0" w:line="230"/>
            </w:pPr>
            <w:r>
              <w:rPr>
                <w:rFonts w:ascii="Consolas" w:cs="Consolas" w:eastAsia="Consolas" w:hAnsi="Consolas"/>
                <w:b w:val="false"/>
                <w:bCs w:val="false"/>
                <w:sz w:val="13"/>
                <w:szCs w:val="13"/>
              </w:rPr>
              <w:t xml:space="preserve">         CALCULATE ( [Sector Sales], ALL ( DimCategory ),</w:t>
            </w:r>
          </w:p>
          <w:p>
            <w:pPr>
              <w:spacing w:after="0" w:line="230"/>
            </w:pPr>
            <w:r>
              <w:rPr>
                <w:rFonts w:ascii="Consolas" w:cs="Consolas" w:eastAsia="Consolas" w:hAnsi="Consolas"/>
                <w:b w:val="false"/>
                <w:bCs w:val="false"/>
                <w:sz w:val="13"/>
                <w:szCs w:val="13"/>
              </w:rPr>
              <w:t xml:space="preserve">             DimCategory[CategoryCode] = "722" )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Retail trade against food services. Falls when consumers rotate spending back toward experiences.</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Rate Sensitivity Beta</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Fed Funds Rate · Real Sector Sales YoY %</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Points = ADDCOLUMNS ( CALCULATETABLE ( VALUES (</w:t>
            </w:r>
          </w:p>
          <w:p>
            <w:pPr>
              <w:spacing w:after="0" w:line="230"/>
            </w:pPr>
            <w:r>
              <w:rPr>
                <w:rFonts w:ascii="Consolas" w:cs="Consolas" w:eastAsia="Consolas" w:hAnsi="Consolas"/>
                <w:b w:val="false"/>
                <w:bCs w:val="false"/>
                <w:sz w:val="13"/>
                <w:szCs w:val="13"/>
              </w:rPr>
              <w:t xml:space="preserve">    DimDate[DateKey] ),</w:t>
            </w:r>
          </w:p>
          <w:p>
            <w:pPr>
              <w:spacing w:after="0" w:line="230"/>
            </w:pPr>
            <w:r>
              <w:rPr>
                <w:rFonts w:ascii="Consolas" w:cs="Consolas" w:eastAsia="Consolas" w:hAnsi="Consolas"/>
                <w:b w:val="false"/>
                <w:bCs w:val="false"/>
                <w:sz w:val="13"/>
                <w:szCs w:val="13"/>
              </w:rPr>
              <w:t xml:space="preserve">    ALLSELECTED ( DimDate ) ),</w:t>
            </w:r>
          </w:p>
          <w:p>
            <w:pPr>
              <w:spacing w:after="0" w:line="230"/>
            </w:pPr>
            <w:r>
              <w:rPr>
                <w:rFonts w:ascii="Consolas" w:cs="Consolas" w:eastAsia="Consolas" w:hAnsi="Consolas"/>
                <w:b w:val="false"/>
                <w:bCs w:val="false"/>
                <w:sz w:val="13"/>
                <w:szCs w:val="13"/>
              </w:rPr>
              <w:t xml:space="preserve">    "@x", [Fed Funds Rate], "@y", [Real Sector Sales YoY %] )</w:t>
            </w:r>
          </w:p>
          <w:p>
            <w:pPr>
              <w:spacing w:after="0" w:line="230"/>
            </w:pPr>
            <w:r>
              <w:rPr>
                <w:rFonts w:ascii="Consolas" w:cs="Consolas" w:eastAsia="Consolas" w:hAnsi="Consolas"/>
                <w:b w:val="false"/>
                <w:bCs w:val="false"/>
                <w:sz w:val="13"/>
                <w:szCs w:val="13"/>
              </w:rPr>
              <w:t xml:space="preserve">VAR Known = FILTER ( Points,</w:t>
            </w:r>
          </w:p>
          <w:p>
            <w:pPr>
              <w:spacing w:after="0" w:line="230"/>
            </w:pPr>
            <w:r>
              <w:rPr>
                <w:rFonts w:ascii="Consolas" w:cs="Consolas" w:eastAsia="Consolas" w:hAnsi="Consolas"/>
                <w:b w:val="false"/>
                <w:bCs w:val="false"/>
                <w:sz w:val="13"/>
                <w:szCs w:val="13"/>
              </w:rPr>
              <w:t xml:space="preserve">    NOT ISBLANK ( [@x] ) &amp;&amp; NOT ISBLANK ( [@y] ) )</w:t>
            </w:r>
          </w:p>
          <w:p>
            <w:pPr>
              <w:spacing w:after="0" w:line="230"/>
            </w:pPr>
            <w:r>
              <w:rPr>
                <w:rFonts w:ascii="Consolas" w:cs="Consolas" w:eastAsia="Consolas" w:hAnsi="Consolas"/>
                <w:b w:val="false"/>
                <w:bCs w:val="false"/>
                <w:sz w:val="13"/>
                <w:szCs w:val="13"/>
              </w:rPr>
              <w:t xml:space="preserve">VAR MeanX = AVERAGEX ( Known, [@x] )</w:t>
            </w:r>
          </w:p>
          <w:p>
            <w:pPr>
              <w:spacing w:after="0" w:line="230"/>
            </w:pPr>
            <w:r>
              <w:rPr>
                <w:rFonts w:ascii="Consolas" w:cs="Consolas" w:eastAsia="Consolas" w:hAnsi="Consolas"/>
                <w:b w:val="false"/>
                <w:bCs w:val="false"/>
                <w:sz w:val="13"/>
                <w:szCs w:val="13"/>
              </w:rPr>
              <w:t xml:space="preserve">VAR MeanY = AVERAGEX ( Known, [@y] )</w:t>
            </w:r>
          </w:p>
          <w:p>
            <w:pPr>
              <w:spacing w:after="0" w:line="230"/>
            </w:pPr>
            <w:r>
              <w:rPr>
                <w:rFonts w:ascii="Consolas" w:cs="Consolas" w:eastAsia="Consolas" w:hAnsi="Consolas"/>
                <w:b w:val="false"/>
                <w:bCs w:val="false"/>
                <w:sz w:val="13"/>
                <w:szCs w:val="13"/>
              </w:rPr>
              <w:t xml:space="preserve">RETURN DIVIDE ( SUMX ( Known, ( [@x] - MeanX ) * ( [@y] - MeanY ) ),</w:t>
            </w:r>
          </w:p>
          <w:p>
            <w:pPr>
              <w:spacing w:after="0" w:line="230"/>
            </w:pPr>
            <w:r>
              <w:rPr>
                <w:rFonts w:ascii="Consolas" w:cs="Consolas" w:eastAsia="Consolas" w:hAnsi="Consolas"/>
                <w:b w:val="false"/>
                <w:bCs w:val="false"/>
                <w:sz w:val="13"/>
                <w:szCs w:val="13"/>
              </w:rPr>
              <w:t xml:space="preserve">                SUMX ( Known, ( [@x] - MeanX ) ^ 2 )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Evaluated PER CATEGORY on a visual. Strongly negative identifies the rate-sensitive kinds of business (autos, furniture, building materials); near zero identifies staples. If those categories do not land negative, check the deflation before publishing.</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bl>
    <w:p>
      <w:pPr>
        <w:spacing w:after="200" w:before="40"/>
      </w:pPr>
      <w:r>
        <w:rPr>
          <w:rFonts w:ascii="Times New Roman" w:cs="Times New Roman" w:eastAsia="Times New Roman" w:hAnsi="Times New Roman"/>
          <w:i/>
          <w:iCs/>
          <w:color w:val="595959"/>
          <w:sz w:val="19"/>
          <w:szCs w:val="19"/>
        </w:rPr>
        <w:t xml:space="preserve">Table 8.9 — 07 Rotation. 5 measures. Close the folder when: Rate Sensitivity Beta lands negative for 441, 442 and 444.</w:t>
      </w:r>
    </w:p>
    <w:p>
      <w:pPr>
        <w:pStyle w:val="Heading2"/>
        <w:spacing w:after="120" w:before="280"/>
      </w:pPr>
      <w:r>
        <w:rPr>
          <w:rFonts w:ascii="Times New Roman" w:cs="Times New Roman" w:eastAsia="Times New Roman" w:hAnsi="Times New Roman"/>
          <w:b/>
          <w:bCs/>
          <w:color w:val="2E5496"/>
          <w:sz w:val="25"/>
          <w:szCs w:val="25"/>
        </w:rPr>
        <w:t xml:space="preserve">8.11 08 Assortment</w:t>
      </w:r>
    </w:p>
    <w:p>
      <w:pPr>
        <w:spacing w:after="120" w:line="276"/>
      </w:pPr>
      <w:r>
        <w:rPr>
          <w:rFonts w:ascii="Times New Roman" w:cs="Times New Roman" w:eastAsia="Times New Roman" w:hAnsi="Times New Roman"/>
          <w:sz w:val="22"/>
          <w:szCs w:val="22"/>
        </w:rPr>
        <w:t xml:space="preserve">Item lifecycle and long-tail concentration. The ranking measures are the most filter-context sensitive in the model.</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426"/>
        <w:gridCol w:w="1426"/>
        <w:gridCol w:w="4406"/>
        <w:gridCol w:w="778"/>
        <w:gridCol w:w="2851"/>
        <w:gridCol w:w="2074"/>
      </w:tblGrid>
      <w:tr>
        <w:trPr>
          <w:tblHeader/>
        </w:trPr>
        <w:tc>
          <w:tcPr>
            <w:tcW w:type="dxa" w:w="142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Name</w:t>
            </w:r>
          </w:p>
        </w:tc>
        <w:tc>
          <w:tcPr>
            <w:tcW w:type="dxa" w:w="142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5"/>
                <w:szCs w:val="15"/>
              </w:rPr>
              <w:t xml:space="preserve">Depends on</w:t>
            </w:r>
          </w:p>
        </w:tc>
        <w:tc>
          <w:tcPr>
            <w:tcW w:type="dxa" w:w="440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3"/>
                <w:szCs w:val="13"/>
              </w:rPr>
              <w:t xml:space="preserve">Definition</w:t>
            </w:r>
          </w:p>
        </w:tc>
        <w:tc>
          <w:tcPr>
            <w:tcW w:type="dxa" w:w="778"/>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Format</w:t>
            </w:r>
          </w:p>
        </w:tc>
        <w:tc>
          <w:tcPr>
            <w:tcW w:type="dxa" w:w="2851"/>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Description</w:t>
            </w:r>
          </w:p>
        </w:tc>
        <w:tc>
          <w:tcPr>
            <w:tcW w:type="dxa" w:w="2074"/>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5"/>
                <w:szCs w:val="15"/>
              </w:rPr>
              <w:t xml:space="preserve">Notes</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New Items</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DimDate · DimItem</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CALCULATE ( COUNTROWS ( DimItem ),</w:t>
            </w:r>
          </w:p>
          <w:p>
            <w:pPr>
              <w:spacing w:after="0" w:line="230"/>
            </w:pPr>
            <w:r>
              <w:rPr>
                <w:rFonts w:ascii="Consolas" w:cs="Consolas" w:eastAsia="Consolas" w:hAnsi="Consolas"/>
                <w:b w:val="false"/>
                <w:bCs w:val="false"/>
                <w:sz w:val="13"/>
                <w:szCs w:val="13"/>
              </w:rPr>
              <w:t xml:space="preserve">  FILTER ( ALL ( DimItem ),</w:t>
            </w:r>
          </w:p>
          <w:p>
            <w:pPr>
              <w:spacing w:after="0" w:line="230"/>
            </w:pPr>
            <w:r>
              <w:rPr>
                <w:rFonts w:ascii="Consolas" w:cs="Consolas" w:eastAsia="Consolas" w:hAnsi="Consolas"/>
                <w:b w:val="false"/>
                <w:bCs w:val="false"/>
                <w:sz w:val="13"/>
                <w:szCs w:val="13"/>
              </w:rPr>
              <w:t xml:space="preserve">      DimItem[FirstSeenDateKey] IN VALUES ( DimDate[DateKey] ) )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Items whose first movement falls in the visible period.</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Discontinued Items</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DimDate · DimItem</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LastLoaded = CALCULATE ( MAX ( DimDate[DateKey] ),</w:t>
            </w:r>
          </w:p>
          <w:p>
            <w:pPr>
              <w:spacing w:after="0" w:line="230"/>
            </w:pPr>
            <w:r>
              <w:rPr>
                <w:rFonts w:ascii="Consolas" w:cs="Consolas" w:eastAsia="Consolas" w:hAnsi="Consolas"/>
                <w:b w:val="false"/>
                <w:bCs w:val="false"/>
                <w:sz w:val="13"/>
                <w:szCs w:val="13"/>
              </w:rPr>
              <w:t xml:space="preserve">    ALL ( DimDate ) )</w:t>
            </w:r>
          </w:p>
          <w:p>
            <w:pPr>
              <w:spacing w:after="0" w:line="230"/>
            </w:pPr>
            <w:r>
              <w:rPr>
                <w:rFonts w:ascii="Consolas" w:cs="Consolas" w:eastAsia="Consolas" w:hAnsi="Consolas"/>
                <w:b w:val="false"/>
                <w:bCs w:val="false"/>
                <w:sz w:val="13"/>
                <w:szCs w:val="13"/>
              </w:rPr>
              <w:t xml:space="preserve">RETURN CALCULATE ( COUNTROWS ( DimItem ),</w:t>
            </w:r>
          </w:p>
          <w:p>
            <w:pPr>
              <w:spacing w:after="0" w:line="230"/>
            </w:pPr>
            <w:r>
              <w:rPr>
                <w:rFonts w:ascii="Consolas" w:cs="Consolas" w:eastAsia="Consolas" w:hAnsi="Consolas"/>
                <w:b w:val="false"/>
                <w:bCs w:val="false"/>
                <w:sz w:val="13"/>
                <w:szCs w:val="13"/>
              </w:rPr>
              <w:t xml:space="preserve">  FILTER ( ALL ( DimItem ),</w:t>
            </w:r>
          </w:p>
          <w:p>
            <w:pPr>
              <w:spacing w:after="0" w:line="230"/>
            </w:pPr>
            <w:r>
              <w:rPr>
                <w:rFonts w:ascii="Consolas" w:cs="Consolas" w:eastAsia="Consolas" w:hAnsi="Consolas"/>
                <w:b w:val="false"/>
                <w:bCs w:val="false"/>
                <w:sz w:val="13"/>
                <w:szCs w:val="13"/>
              </w:rPr>
              <w:t xml:space="preserve">      DimItem[LastSeenDateKey] IN VALUES ( DimDate[DateKey] )</w:t>
            </w:r>
          </w:p>
          <w:p>
            <w:pPr>
              <w:spacing w:after="0" w:line="230"/>
            </w:pPr>
            <w:r>
              <w:rPr>
                <w:rFonts w:ascii="Consolas" w:cs="Consolas" w:eastAsia="Consolas" w:hAnsi="Consolas"/>
                <w:b w:val="false"/>
                <w:bCs w:val="false"/>
                <w:sz w:val="13"/>
                <w:szCs w:val="13"/>
              </w:rPr>
              <w:t xml:space="preserve">          &amp;&amp; DimItem[LastSeenDateKey] &lt;&gt; LastLoaded )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EXCLUDES the most recent loaded month. Every still-selling item carries that month as its last appearance, so an unfiltered count spikes at the right edge of every chart.</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Do not re-add that filter at visual level.</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Net Assortment Change</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Discontinued Items · New Items</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[New Items] - [Discontinued Items]</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Positive: the assortment is expanding.</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Cohort Size</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DimItem</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CALCULATE ( COUNTROWS ( DimItem ),</w:t>
            </w:r>
          </w:p>
          <w:p>
            <w:pPr>
              <w:spacing w:after="0" w:line="230"/>
            </w:pPr>
            <w:r>
              <w:rPr>
                <w:rFonts w:ascii="Consolas" w:cs="Consolas" w:eastAsia="Consolas" w:hAnsi="Consolas"/>
                <w:b w:val="false"/>
                <w:bCs w:val="false"/>
                <w:sz w:val="13"/>
                <w:szCs w:val="13"/>
              </w:rPr>
              <w:t xml:space="preserve">    ALLSELECTED ( DimItem[CohortYear] )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Items introduced in the selected cohort year.</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Cohort Survival 12M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DimItem</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DIVIDE ( CALCULATE ( COUNTROWS ( DimItem ),</w:t>
            </w:r>
          </w:p>
          <w:p>
            <w:pPr>
              <w:spacing w:after="0" w:line="230"/>
            </w:pPr>
            <w:r>
              <w:rPr>
                <w:rFonts w:ascii="Consolas" w:cs="Consolas" w:eastAsia="Consolas" w:hAnsi="Consolas"/>
                <w:b w:val="false"/>
                <w:bCs w:val="false"/>
                <w:sz w:val="13"/>
                <w:szCs w:val="13"/>
              </w:rPr>
              <w:t xml:space="preserve">    DimItem[MonthsActive] &gt;= 12 ),</w:t>
            </w:r>
          </w:p>
          <w:p>
            <w:pPr>
              <w:spacing w:after="0" w:line="230"/>
            </w:pPr>
            <w:r>
              <w:rPr>
                <w:rFonts w:ascii="Consolas" w:cs="Consolas" w:eastAsia="Consolas" w:hAnsi="Consolas"/>
                <w:b w:val="false"/>
                <w:bCs w:val="false"/>
                <w:sz w:val="13"/>
                <w:szCs w:val="13"/>
              </w:rPr>
              <w:t xml:space="preserve">         COUNTROWS ( DimItem )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Share of a cohort with at least twelve months of movement.</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The 2017 cohort is LEFT-CENSORED and is excluded from or labelled on every survival visual.</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Cohort Survival 24M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DimItem</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DIVIDE ( CALCULATE ( COUNTROWS ( DimItem ),</w:t>
            </w:r>
          </w:p>
          <w:p>
            <w:pPr>
              <w:spacing w:after="0" w:line="230"/>
            </w:pPr>
            <w:r>
              <w:rPr>
                <w:rFonts w:ascii="Consolas" w:cs="Consolas" w:eastAsia="Consolas" w:hAnsi="Consolas"/>
                <w:b w:val="false"/>
                <w:bCs w:val="false"/>
                <w:sz w:val="13"/>
                <w:szCs w:val="13"/>
              </w:rPr>
              <w:t xml:space="preserve">    DimItem[MonthsActive] &gt;= 24 ),</w:t>
            </w:r>
          </w:p>
          <w:p>
            <w:pPr>
              <w:spacing w:after="0" w:line="230"/>
            </w:pPr>
            <w:r>
              <w:rPr>
                <w:rFonts w:ascii="Consolas" w:cs="Consolas" w:eastAsia="Consolas" w:hAnsi="Consolas"/>
                <w:b w:val="false"/>
                <w:bCs w:val="false"/>
                <w:sz w:val="13"/>
                <w:szCs w:val="13"/>
              </w:rPr>
              <w:t xml:space="preserve">         COUNTROWS ( DimItem )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Two-year survival.</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Median Months Active</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DimItem</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MEDIANX ( DimItem, DimItem[MonthsActive]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Typical item tenure. Paired with the spec 8.5 binned distribution, which shows the shape the median hides.</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Item Rank by Volume</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Total Cases</w:t>
            </w:r>
          </w:p>
          <w:p>
            <w:pPr>
              <w:spacing w:after="0" w:line="230"/>
            </w:pPr>
            <w:r>
              <w:rPr>
                <w:rFonts w:ascii="Times New Roman" w:cs="Times New Roman" w:eastAsia="Times New Roman" w:hAnsi="Times New Roman"/>
                <w:b w:val="false"/>
                <w:bCs w:val="false"/>
                <w:sz w:val="15"/>
                <w:szCs w:val="15"/>
              </w:rPr>
              <w:t xml:space="preserve">DimItem</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RANKX ( ALLSELECTED ( DimItem[ItemDescription] ), [Total Cases],,</w:t>
            </w:r>
          </w:p>
          <w:p>
            <w:pPr>
              <w:spacing w:after="0" w:line="230"/>
            </w:pPr>
            <w:r>
              <w:rPr>
                <w:rFonts w:ascii="Consolas" w:cs="Consolas" w:eastAsia="Consolas" w:hAnsi="Consolas"/>
                <w:b w:val="false"/>
                <w:bCs w:val="false"/>
                <w:sz w:val="13"/>
                <w:szCs w:val="13"/>
              </w:rPr>
              <w:t xml:space="preserve">    DESC, DENSE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Ranking within the current filter context; the ordering basis of the Pareto.</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Cumulative Cases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Item Rank by Volume · Total Cases</w:t>
            </w:r>
          </w:p>
          <w:p>
            <w:pPr>
              <w:spacing w:after="0" w:line="230"/>
            </w:pPr>
            <w:r>
              <w:rPr>
                <w:rFonts w:ascii="Times New Roman" w:cs="Times New Roman" w:eastAsia="Times New Roman" w:hAnsi="Times New Roman"/>
                <w:b w:val="false"/>
                <w:bCs w:val="false"/>
                <w:sz w:val="15"/>
                <w:szCs w:val="15"/>
              </w:rPr>
              <w:t xml:space="preserve">DimItem</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ThisRank = [Item Rank by Volume]</w:t>
            </w:r>
          </w:p>
          <w:p>
            <w:pPr>
              <w:spacing w:after="0" w:line="230"/>
            </w:pPr>
            <w:r>
              <w:rPr>
                <w:rFonts w:ascii="Consolas" w:cs="Consolas" w:eastAsia="Consolas" w:hAnsi="Consolas"/>
                <w:b w:val="false"/>
                <w:bCs w:val="false"/>
                <w:sz w:val="13"/>
                <w:szCs w:val="13"/>
              </w:rPr>
              <w:t xml:space="preserve">VAR Ranked = ADDCOLUMNS ( ALLSELECTED ( DimItem[ItemDescription] ),</w:t>
            </w:r>
          </w:p>
          <w:p>
            <w:pPr>
              <w:spacing w:after="0" w:line="230"/>
            </w:pPr>
            <w:r>
              <w:rPr>
                <w:rFonts w:ascii="Consolas" w:cs="Consolas" w:eastAsia="Consolas" w:hAnsi="Consolas"/>
                <w:b w:val="false"/>
                <w:bCs w:val="false"/>
                <w:sz w:val="13"/>
                <w:szCs w:val="13"/>
              </w:rPr>
              <w:t xml:space="preserve">    "@rank", [Item Rank by Volume], "@vol", [Total Cases] )</w:t>
            </w:r>
          </w:p>
          <w:p>
            <w:pPr>
              <w:spacing w:after="0" w:line="230"/>
            </w:pPr>
            <w:r>
              <w:rPr>
                <w:rFonts w:ascii="Consolas" w:cs="Consolas" w:eastAsia="Consolas" w:hAnsi="Consolas"/>
                <w:b w:val="false"/>
                <w:bCs w:val="false"/>
                <w:sz w:val="13"/>
                <w:szCs w:val="13"/>
              </w:rPr>
              <w:t xml:space="preserve">RETURN DIVIDE ( SUMX ( FILTER ( Ranked, [@rank] &lt;= ThisRank ),</w:t>
            </w:r>
          </w:p>
          <w:p>
            <w:pPr>
              <w:spacing w:after="0" w:line="230"/>
            </w:pPr>
            <w:r>
              <w:rPr>
                <w:rFonts w:ascii="Consolas" w:cs="Consolas" w:eastAsia="Consolas" w:hAnsi="Consolas"/>
                <w:b w:val="false"/>
                <w:bCs w:val="false"/>
                <w:sz w:val="13"/>
                <w:szCs w:val="13"/>
              </w:rPr>
              <w:t xml:space="preserve">    [@vol] ),</w:t>
            </w:r>
          </w:p>
          <w:p>
            <w:pPr>
              <w:spacing w:after="0" w:line="230"/>
            </w:pPr>
            <w:r>
              <w:rPr>
                <w:rFonts w:ascii="Consolas" w:cs="Consolas" w:eastAsia="Consolas" w:hAnsi="Consolas"/>
                <w:b w:val="false"/>
                <w:bCs w:val="false"/>
                <w:sz w:val="13"/>
                <w:szCs w:val="13"/>
              </w:rPr>
              <w:t xml:space="preserve">                SUMX ( Ranked, [@vol] )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Pareto accumulation, secondary axis of spec 7.5.</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Validation check 14: this must reach exactly 100% at the lowest-ranked item — falling short means the ranking context and the total context disagree, the most common defect in this pattern.</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Items to 80% of Volume</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Item Rank by Volume · Total Cases</w:t>
            </w:r>
          </w:p>
          <w:p>
            <w:pPr>
              <w:spacing w:after="0" w:line="230"/>
            </w:pPr>
            <w:r>
              <w:rPr>
                <w:rFonts w:ascii="Times New Roman" w:cs="Times New Roman" w:eastAsia="Times New Roman" w:hAnsi="Times New Roman"/>
                <w:b w:val="false"/>
                <w:bCs w:val="false"/>
                <w:sz w:val="15"/>
                <w:szCs w:val="15"/>
              </w:rPr>
              <w:t xml:space="preserve">DimItem</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Ranked = ADDCOLUMNS ( ALLSELECTED ( DimItem[ItemDescription] ),</w:t>
            </w:r>
          </w:p>
          <w:p>
            <w:pPr>
              <w:spacing w:after="0" w:line="230"/>
            </w:pPr>
            <w:r>
              <w:rPr>
                <w:rFonts w:ascii="Consolas" w:cs="Consolas" w:eastAsia="Consolas" w:hAnsi="Consolas"/>
                <w:b w:val="false"/>
                <w:bCs w:val="false"/>
                <w:sz w:val="13"/>
                <w:szCs w:val="13"/>
              </w:rPr>
              <w:t xml:space="preserve">    "@rank", [Item Rank by Volume], "@vol", [Total Cases] )</w:t>
            </w:r>
          </w:p>
          <w:p>
            <w:pPr>
              <w:spacing w:after="0" w:line="230"/>
            </w:pPr>
            <w:r>
              <w:rPr>
                <w:rFonts w:ascii="Consolas" w:cs="Consolas" w:eastAsia="Consolas" w:hAnsi="Consolas"/>
                <w:b w:val="false"/>
                <w:bCs w:val="false"/>
                <w:sz w:val="13"/>
                <w:szCs w:val="13"/>
              </w:rPr>
              <w:t xml:space="preserve">VAR Total = SUMX ( Ranked, [@vol] )</w:t>
            </w:r>
          </w:p>
          <w:p>
            <w:pPr>
              <w:spacing w:after="0" w:line="230"/>
            </w:pPr>
            <w:r>
              <w:rPr>
                <w:rFonts w:ascii="Consolas" w:cs="Consolas" w:eastAsia="Consolas" w:hAnsi="Consolas"/>
                <w:b w:val="false"/>
                <w:bCs w:val="false"/>
                <w:sz w:val="13"/>
                <w:szCs w:val="13"/>
              </w:rPr>
              <w:t xml:space="preserve">VAR WithCum = ADDCOLUMNS ( Ranked, "@cum",</w:t>
            </w:r>
          </w:p>
          <w:p>
            <w:pPr>
              <w:spacing w:after="0" w:line="230"/>
            </w:pPr>
            <w:r>
              <w:rPr>
                <w:rFonts w:ascii="Consolas" w:cs="Consolas" w:eastAsia="Consolas" w:hAnsi="Consolas"/>
                <w:b w:val="false"/>
                <w:bCs w:val="false"/>
                <w:sz w:val="13"/>
                <w:szCs w:val="13"/>
              </w:rPr>
              <w:t xml:space="preserve">    DIVIDE ( SUMX ( FILTER ( Ranked,</w:t>
            </w:r>
          </w:p>
          <w:p>
            <w:pPr>
              <w:spacing w:after="0" w:line="230"/>
            </w:pPr>
            <w:r>
              <w:rPr>
                <w:rFonts w:ascii="Consolas" w:cs="Consolas" w:eastAsia="Consolas" w:hAnsi="Consolas"/>
                <w:b w:val="false"/>
                <w:bCs w:val="false"/>
                <w:sz w:val="13"/>
                <w:szCs w:val="13"/>
              </w:rPr>
              <w:t xml:space="preserve">        [@rank] &lt;= EARLIER ( [@rank] ) ), [@vol] ), Total ) )</w:t>
            </w:r>
          </w:p>
          <w:p>
            <w:pPr>
              <w:spacing w:after="0" w:line="230"/>
            </w:pPr>
            <w:r>
              <w:rPr>
                <w:rFonts w:ascii="Consolas" w:cs="Consolas" w:eastAsia="Consolas" w:hAnsi="Consolas"/>
                <w:b w:val="false"/>
                <w:bCs w:val="false"/>
                <w:sz w:val="13"/>
                <w:szCs w:val="13"/>
              </w:rPr>
              <w:t xml:space="preserve">RETURN COUNTROWS ( FILTER ( WithCum, [@cum] &lt;= 0.8 )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The long-tail headline: how few items carry most of the movement. Falling over time means the assortment is concentrating.</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bl>
    <w:p>
      <w:pPr>
        <w:spacing w:after="200" w:before="40"/>
      </w:pPr>
      <w:r>
        <w:rPr>
          <w:rFonts w:ascii="Times New Roman" w:cs="Times New Roman" w:eastAsia="Times New Roman" w:hAnsi="Times New Roman"/>
          <w:i/>
          <w:iCs/>
          <w:color w:val="595959"/>
          <w:sz w:val="19"/>
          <w:szCs w:val="19"/>
        </w:rPr>
        <w:t xml:space="preserve">Table 8.10 — 08 Assortment. 10 measures. Close the folder when: Cumulative Cases % reaches exactly 100% at the lowest-ranked item.</w:t>
      </w:r>
    </w:p>
    <w:p>
      <w:pPr>
        <w:pStyle w:val="Heading2"/>
        <w:spacing w:after="120" w:before="280"/>
      </w:pPr>
      <w:r>
        <w:rPr>
          <w:rFonts w:ascii="Times New Roman" w:cs="Times New Roman" w:eastAsia="Times New Roman" w:hAnsi="Times New Roman"/>
          <w:b/>
          <w:bCs/>
          <w:color w:val="2E5496"/>
          <w:sz w:val="25"/>
          <w:szCs w:val="25"/>
        </w:rPr>
        <w:t xml:space="preserve">8.12 09 Supplier</w:t>
      </w:r>
    </w:p>
    <w:p>
      <w:pPr>
        <w:spacing w:after="120" w:line="276"/>
      </w:pPr>
      <w:r>
        <w:rPr>
          <w:rFonts w:ascii="Times New Roman" w:cs="Times New Roman" w:eastAsia="Times New Roman" w:hAnsi="Times New Roman"/>
          <w:sz w:val="22"/>
          <w:szCs w:val="22"/>
        </w:rPr>
        <w:t xml:space="preserve">Supplier concentration. Two measures, both structural rather than temporal.</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426"/>
        <w:gridCol w:w="1426"/>
        <w:gridCol w:w="4406"/>
        <w:gridCol w:w="778"/>
        <w:gridCol w:w="2851"/>
        <w:gridCol w:w="2074"/>
      </w:tblGrid>
      <w:tr>
        <w:trPr>
          <w:tblHeader/>
        </w:trPr>
        <w:tc>
          <w:tcPr>
            <w:tcW w:type="dxa" w:w="142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Name</w:t>
            </w:r>
          </w:p>
        </w:tc>
        <w:tc>
          <w:tcPr>
            <w:tcW w:type="dxa" w:w="142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5"/>
                <w:szCs w:val="15"/>
              </w:rPr>
              <w:t xml:space="preserve">Depends on</w:t>
            </w:r>
          </w:p>
        </w:tc>
        <w:tc>
          <w:tcPr>
            <w:tcW w:type="dxa" w:w="440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3"/>
                <w:szCs w:val="13"/>
              </w:rPr>
              <w:t xml:space="preserve">Definition</w:t>
            </w:r>
          </w:p>
        </w:tc>
        <w:tc>
          <w:tcPr>
            <w:tcW w:type="dxa" w:w="778"/>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Format</w:t>
            </w:r>
          </w:p>
        </w:tc>
        <w:tc>
          <w:tcPr>
            <w:tcW w:type="dxa" w:w="2851"/>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Description</w:t>
            </w:r>
          </w:p>
        </w:tc>
        <w:tc>
          <w:tcPr>
            <w:tcW w:type="dxa" w:w="2074"/>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5"/>
                <w:szCs w:val="15"/>
              </w:rPr>
              <w:t xml:space="preserve">Notes</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Supplier HHI</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Total Cases</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Shares = ADDCOLUMNS ( ALLSELECTED ( DimSupplier ), "@vol",</w:t>
            </w:r>
          </w:p>
          <w:p>
            <w:pPr>
              <w:spacing w:after="0" w:line="230"/>
            </w:pPr>
            <w:r>
              <w:rPr>
                <w:rFonts w:ascii="Consolas" w:cs="Consolas" w:eastAsia="Consolas" w:hAnsi="Consolas"/>
                <w:b w:val="false"/>
                <w:bCs w:val="false"/>
                <w:sz w:val="13"/>
                <w:szCs w:val="13"/>
              </w:rPr>
              <w:t xml:space="preserve">    [Total Cases] )</w:t>
            </w:r>
          </w:p>
          <w:p>
            <w:pPr>
              <w:spacing w:after="0" w:line="230"/>
            </w:pPr>
            <w:r>
              <w:rPr>
                <w:rFonts w:ascii="Consolas" w:cs="Consolas" w:eastAsia="Consolas" w:hAnsi="Consolas"/>
                <w:b w:val="false"/>
                <w:bCs w:val="false"/>
                <w:sz w:val="13"/>
                <w:szCs w:val="13"/>
              </w:rPr>
              <w:t xml:space="preserve">VAR Total = SUMX ( Shares, [@vol] )</w:t>
            </w:r>
          </w:p>
          <w:p>
            <w:pPr>
              <w:spacing w:after="0" w:line="230"/>
            </w:pPr>
            <w:r>
              <w:rPr>
                <w:rFonts w:ascii="Consolas" w:cs="Consolas" w:eastAsia="Consolas" w:hAnsi="Consolas"/>
                <w:b w:val="false"/>
                <w:bCs w:val="false"/>
                <w:sz w:val="13"/>
                <w:szCs w:val="13"/>
              </w:rPr>
              <w:t xml:space="preserve">RETURN SUMX ( Shares, ( DIVIDE ( [@vol], Total ) * 100 ) ^ 2 )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Herfindahl-Hirschman Index on a 0–10,000 scale. Below 1,500 unconcentrated; above 2,500 highly concentrated. Reference lines at both thresholds on spec 9.5.</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Supplier Return Rate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FactItemMovement</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Returned = CALCULATE ( SUM ( FactItemMovement[RetailSales] ),</w:t>
            </w:r>
          </w:p>
          <w:p>
            <w:pPr>
              <w:spacing w:after="0" w:line="230"/>
            </w:pPr>
            <w:r>
              <w:rPr>
                <w:rFonts w:ascii="Consolas" w:cs="Consolas" w:eastAsia="Consolas" w:hAnsi="Consolas"/>
                <w:b w:val="false"/>
                <w:bCs w:val="false"/>
                <w:sz w:val="13"/>
                <w:szCs w:val="13"/>
              </w:rPr>
              <w:t xml:space="preserve">    FactItemMovement[RetailSales] &lt; 0 )</w:t>
            </w:r>
          </w:p>
          <w:p>
            <w:pPr>
              <w:spacing w:after="0" w:line="230"/>
            </w:pPr>
            <w:r>
              <w:rPr>
                <w:rFonts w:ascii="Consolas" w:cs="Consolas" w:eastAsia="Consolas" w:hAnsi="Consolas"/>
                <w:b w:val="false"/>
                <w:bCs w:val="false"/>
                <w:sz w:val="13"/>
                <w:szCs w:val="13"/>
              </w:rPr>
              <w:t xml:space="preserve">VAR Gross = CALCULATE ( SUM ( FactItemMovement[RetailSales] ),</w:t>
            </w:r>
          </w:p>
          <w:p>
            <w:pPr>
              <w:spacing w:after="0" w:line="230"/>
            </w:pPr>
            <w:r>
              <w:rPr>
                <w:rFonts w:ascii="Consolas" w:cs="Consolas" w:eastAsia="Consolas" w:hAnsi="Consolas"/>
                <w:b w:val="false"/>
                <w:bCs w:val="false"/>
                <w:sz w:val="13"/>
                <w:szCs w:val="13"/>
              </w:rPr>
              <w:t xml:space="preserve">    FactItemMovement[RetailSales] &gt; 0 )</w:t>
            </w:r>
          </w:p>
          <w:p>
            <w:pPr>
              <w:spacing w:after="0" w:line="230"/>
            </w:pPr>
            <w:r>
              <w:rPr>
                <w:rFonts w:ascii="Consolas" w:cs="Consolas" w:eastAsia="Consolas" w:hAnsi="Consolas"/>
                <w:b w:val="false"/>
                <w:bCs w:val="false"/>
                <w:sz w:val="13"/>
                <w:szCs w:val="13"/>
              </w:rPr>
              <w:t xml:space="preserve">RETURN DIVIDE ( -Returned, Gross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Returned cases as a share of gross cases sold. Evaluated per supplier on a visual; a persistent outlier is a quality or ordering signal.</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bl>
    <w:p>
      <w:pPr>
        <w:spacing w:after="200" w:before="40"/>
      </w:pPr>
      <w:r>
        <w:rPr>
          <w:rFonts w:ascii="Times New Roman" w:cs="Times New Roman" w:eastAsia="Times New Roman" w:hAnsi="Times New Roman"/>
          <w:i/>
          <w:iCs/>
          <w:color w:val="595959"/>
          <w:sz w:val="19"/>
          <w:szCs w:val="19"/>
        </w:rPr>
        <w:t xml:space="preserve">Table 8.11 — 09 Supplier. 2 measures. Close the folder when: Supplier HHI falls between 0 and 10,000.</w:t>
      </w:r>
    </w:p>
    <w:p>
      <w:pPr>
        <w:pStyle w:val="Heading2"/>
        <w:spacing w:after="120" w:before="280"/>
      </w:pPr>
      <w:r>
        <w:rPr>
          <w:rFonts w:ascii="Times New Roman" w:cs="Times New Roman" w:eastAsia="Times New Roman" w:hAnsi="Times New Roman"/>
          <w:b/>
          <w:bCs/>
          <w:color w:val="2E5496"/>
          <w:sz w:val="25"/>
          <w:szCs w:val="25"/>
        </w:rPr>
        <w:t xml:space="preserve">8.13 10 Seasonality</w:t>
      </w:r>
    </w:p>
    <w:p>
      <w:pPr>
        <w:spacing w:after="120" w:line="276"/>
      </w:pPr>
      <w:r>
        <w:rPr>
          <w:rFonts w:ascii="Times New Roman" w:cs="Times New Roman" w:eastAsia="Times New Roman" w:hAnsi="Times New Roman"/>
          <w:sz w:val="22"/>
          <w:szCs w:val="22"/>
        </w:rPr>
        <w:t xml:space="preserve">Ratio-to-average seasonal factors computed here, not taken from Census.</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426"/>
        <w:gridCol w:w="1426"/>
        <w:gridCol w:w="4406"/>
        <w:gridCol w:w="778"/>
        <w:gridCol w:w="2851"/>
        <w:gridCol w:w="2074"/>
      </w:tblGrid>
      <w:tr>
        <w:trPr>
          <w:tblHeader/>
        </w:trPr>
        <w:tc>
          <w:tcPr>
            <w:tcW w:type="dxa" w:w="142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Name</w:t>
            </w:r>
          </w:p>
        </w:tc>
        <w:tc>
          <w:tcPr>
            <w:tcW w:type="dxa" w:w="142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5"/>
                <w:szCs w:val="15"/>
              </w:rPr>
              <w:t xml:space="preserve">Depends on</w:t>
            </w:r>
          </w:p>
        </w:tc>
        <w:tc>
          <w:tcPr>
            <w:tcW w:type="dxa" w:w="440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3"/>
                <w:szCs w:val="13"/>
              </w:rPr>
              <w:t xml:space="preserve">Definition</w:t>
            </w:r>
          </w:p>
        </w:tc>
        <w:tc>
          <w:tcPr>
            <w:tcW w:type="dxa" w:w="778"/>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Format</w:t>
            </w:r>
          </w:p>
        </w:tc>
        <w:tc>
          <w:tcPr>
            <w:tcW w:type="dxa" w:w="2851"/>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Description</w:t>
            </w:r>
          </w:p>
        </w:tc>
        <w:tc>
          <w:tcPr>
            <w:tcW w:type="dxa" w:w="2074"/>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5"/>
                <w:szCs w:val="15"/>
              </w:rPr>
              <w:t xml:space="preserve">Notes</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Month Seasonal Factor</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Total Cases</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M = SELECTEDVALUE ( DimDate[MonthNumber] )</w:t>
            </w:r>
          </w:p>
          <w:p>
            <w:pPr>
              <w:spacing w:after="0" w:line="230"/>
            </w:pPr>
            <w:r>
              <w:rPr>
                <w:rFonts w:ascii="Consolas" w:cs="Consolas" w:eastAsia="Consolas" w:hAnsi="Consolas"/>
                <w:b w:val="false"/>
                <w:bCs w:val="false"/>
                <w:sz w:val="13"/>
                <w:szCs w:val="13"/>
              </w:rPr>
              <w:t xml:space="preserve">VAR SameMonthAvg = CALCULATE ( AVERAGEX ( VALUES (</w:t>
            </w:r>
          </w:p>
          <w:p>
            <w:pPr>
              <w:spacing w:after="0" w:line="230"/>
            </w:pPr>
            <w:r>
              <w:rPr>
                <w:rFonts w:ascii="Consolas" w:cs="Consolas" w:eastAsia="Consolas" w:hAnsi="Consolas"/>
                <w:b w:val="false"/>
                <w:bCs w:val="false"/>
                <w:sz w:val="13"/>
                <w:szCs w:val="13"/>
              </w:rPr>
              <w:t xml:space="preserve">    DimDate[DateKey] ),</w:t>
            </w:r>
          </w:p>
          <w:p>
            <w:pPr>
              <w:spacing w:after="0" w:line="230"/>
            </w:pPr>
            <w:r>
              <w:rPr>
                <w:rFonts w:ascii="Consolas" w:cs="Consolas" w:eastAsia="Consolas" w:hAnsi="Consolas"/>
                <w:b w:val="false"/>
                <w:bCs w:val="false"/>
                <w:sz w:val="13"/>
                <w:szCs w:val="13"/>
              </w:rPr>
              <w:t xml:space="preserve">    [Total Cases] ),</w:t>
            </w:r>
          </w:p>
          <w:p>
            <w:pPr>
              <w:spacing w:after="0" w:line="230"/>
            </w:pPr>
            <w:r>
              <w:rPr>
                <w:rFonts w:ascii="Consolas" w:cs="Consolas" w:eastAsia="Consolas" w:hAnsi="Consolas"/>
                <w:b w:val="false"/>
                <w:bCs w:val="false"/>
                <w:sz w:val="13"/>
                <w:szCs w:val="13"/>
              </w:rPr>
              <w:t xml:space="preserve">                               ALL ( DimDate ),</w:t>
            </w:r>
          </w:p>
          <w:p>
            <w:pPr>
              <w:spacing w:after="0" w:line="230"/>
            </w:pPr>
            <w:r>
              <w:rPr>
                <w:rFonts w:ascii="Consolas" w:cs="Consolas" w:eastAsia="Consolas" w:hAnsi="Consolas"/>
                <w:b w:val="false"/>
                <w:bCs w:val="false"/>
                <w:sz w:val="13"/>
                <w:szCs w:val="13"/>
              </w:rPr>
              <w:t xml:space="preserve">                                   DimDate[MonthNumber] = M )</w:t>
            </w:r>
          </w:p>
          <w:p>
            <w:pPr>
              <w:spacing w:after="0" w:line="230"/>
            </w:pPr>
            <w:r>
              <w:rPr>
                <w:rFonts w:ascii="Consolas" w:cs="Consolas" w:eastAsia="Consolas" w:hAnsi="Consolas"/>
                <w:b w:val="false"/>
                <w:bCs w:val="false"/>
                <w:sz w:val="13"/>
                <w:szCs w:val="13"/>
              </w:rPr>
              <w:t xml:space="preserve">VAR OverallAvg = CALCULATE ( AVERAGEX ( VALUES ( DimDate[DateKey] ),</w:t>
            </w:r>
          </w:p>
          <w:p>
            <w:pPr>
              <w:spacing w:after="0" w:line="230"/>
            </w:pPr>
            <w:r>
              <w:rPr>
                <w:rFonts w:ascii="Consolas" w:cs="Consolas" w:eastAsia="Consolas" w:hAnsi="Consolas"/>
                <w:b w:val="false"/>
                <w:bCs w:val="false"/>
                <w:sz w:val="13"/>
                <w:szCs w:val="13"/>
              </w:rPr>
              <w:t xml:space="preserve">    [Total Cases] ), ALL ( DimDate ) )</w:t>
            </w:r>
          </w:p>
          <w:p>
            <w:pPr>
              <w:spacing w:after="0" w:line="230"/>
            </w:pPr>
            <w:r>
              <w:rPr>
                <w:rFonts w:ascii="Consolas" w:cs="Consolas" w:eastAsia="Consolas" w:hAnsi="Consolas"/>
                <w:b w:val="false"/>
                <w:bCs w:val="false"/>
                <w:sz w:val="13"/>
                <w:szCs w:val="13"/>
              </w:rPr>
              <w:t xml:space="preserve">RETURN DIVIDE ( SameMonthAvg, OverallAvg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Ratio-to-average factor. Above 1.00 marks a seasonal peak.</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NOT X-13ARIMA-SEATS — Census applies outlier and trading-day handling this does not, and the page says so.</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Seasonally Adjusted Cases</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Month Seasonal Factor · Total Cases</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DIVIDE ( [Total Cases], [Month Seasonal Factor]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The trend with seasonality removed, plotted against the raw series on spec 10.5.</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Seasonal Amplitude</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Month Seasonal Factor</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Factors = ADDCOLUMNS ( CALCULATETABLE ( VALUES (</w:t>
            </w:r>
          </w:p>
          <w:p>
            <w:pPr>
              <w:spacing w:after="0" w:line="230"/>
            </w:pPr>
            <w:r>
              <w:rPr>
                <w:rFonts w:ascii="Consolas" w:cs="Consolas" w:eastAsia="Consolas" w:hAnsi="Consolas"/>
                <w:b w:val="false"/>
                <w:bCs w:val="false"/>
                <w:sz w:val="13"/>
                <w:szCs w:val="13"/>
              </w:rPr>
              <w:t xml:space="preserve">    DimDate[MonthNumber] ),</w:t>
            </w:r>
          </w:p>
          <w:p>
            <w:pPr>
              <w:spacing w:after="0" w:line="230"/>
            </w:pPr>
            <w:r>
              <w:rPr>
                <w:rFonts w:ascii="Consolas" w:cs="Consolas" w:eastAsia="Consolas" w:hAnsi="Consolas"/>
                <w:b w:val="false"/>
                <w:bCs w:val="false"/>
                <w:sz w:val="13"/>
                <w:szCs w:val="13"/>
              </w:rPr>
              <w:t xml:space="preserve">    ALLSELECTED ( DimDate ) ),</w:t>
            </w:r>
          </w:p>
          <w:p>
            <w:pPr>
              <w:spacing w:after="0" w:line="230"/>
            </w:pPr>
            <w:r>
              <w:rPr>
                <w:rFonts w:ascii="Consolas" w:cs="Consolas" w:eastAsia="Consolas" w:hAnsi="Consolas"/>
                <w:b w:val="false"/>
                <w:bCs w:val="false"/>
                <w:sz w:val="13"/>
                <w:szCs w:val="13"/>
              </w:rPr>
              <w:t xml:space="preserve">    "@f", [Month Seasonal Factor] )</w:t>
            </w:r>
          </w:p>
          <w:p>
            <w:pPr>
              <w:spacing w:after="0" w:line="230"/>
            </w:pPr>
            <w:r>
              <w:rPr>
                <w:rFonts w:ascii="Consolas" w:cs="Consolas" w:eastAsia="Consolas" w:hAnsi="Consolas"/>
                <w:b w:val="false"/>
                <w:bCs w:val="false"/>
                <w:sz w:val="13"/>
                <w:szCs w:val="13"/>
              </w:rPr>
              <w:t xml:space="preserve">RETURN MAXX ( Factors, [@f] ) - MINX ( Factors, [@f]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Spread between the strongest and weakest month. A narrowing spread means seasonality is flattening — itself a consumer-behaviour finding.</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Peak Month</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Month Seasonal Factor</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T = ADDCOLUMNS ( ALL ( DimDate[MonthNumber],</w:t>
            </w:r>
          </w:p>
          <w:p>
            <w:pPr>
              <w:spacing w:after="0" w:line="230"/>
            </w:pPr>
            <w:r>
              <w:rPr>
                <w:rFonts w:ascii="Consolas" w:cs="Consolas" w:eastAsia="Consolas" w:hAnsi="Consolas"/>
                <w:b w:val="false"/>
                <w:bCs w:val="false"/>
                <w:sz w:val="13"/>
                <w:szCs w:val="13"/>
              </w:rPr>
              <w:t xml:space="preserve">    DimDate[MonthName] ), "@f", [Month Seasonal Factor] )</w:t>
            </w:r>
          </w:p>
          <w:p>
            <w:pPr>
              <w:spacing w:after="0" w:line="230"/>
            </w:pPr>
            <w:r>
              <w:rPr>
                <w:rFonts w:ascii="Consolas" w:cs="Consolas" w:eastAsia="Consolas" w:hAnsi="Consolas"/>
                <w:b w:val="false"/>
                <w:bCs w:val="false"/>
                <w:sz w:val="13"/>
                <w:szCs w:val="13"/>
              </w:rPr>
              <w:t xml:space="preserve">RETURN MAXX ( TOPN ( 1, T, [@f], DESC ), DimDate[MonthName]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Text measure. Card visuals accept text measures — this is spec 10.2.</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Trough Month</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Month Seasonal Factor</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T = ADDCOLUMNS ( ALL ( DimDate[MonthNumber],</w:t>
            </w:r>
          </w:p>
          <w:p>
            <w:pPr>
              <w:spacing w:after="0" w:line="230"/>
            </w:pPr>
            <w:r>
              <w:rPr>
                <w:rFonts w:ascii="Consolas" w:cs="Consolas" w:eastAsia="Consolas" w:hAnsi="Consolas"/>
                <w:b w:val="false"/>
                <w:bCs w:val="false"/>
                <w:sz w:val="13"/>
                <w:szCs w:val="13"/>
              </w:rPr>
              <w:t xml:space="preserve">    DimDate[MonthName] ), "@f", [Month Seasonal Factor] )</w:t>
            </w:r>
          </w:p>
          <w:p>
            <w:pPr>
              <w:spacing w:after="0" w:line="230"/>
            </w:pPr>
            <w:r>
              <w:rPr>
                <w:rFonts w:ascii="Consolas" w:cs="Consolas" w:eastAsia="Consolas" w:hAnsi="Consolas"/>
                <w:b w:val="false"/>
                <w:bCs w:val="false"/>
                <w:sz w:val="13"/>
                <w:szCs w:val="13"/>
              </w:rPr>
              <w:t xml:space="preserve">RETURN MAXX ( TOPN ( 1, T, [@f], ASC ), DimDate[MonthName]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Text measure. Spec 10.3.</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bl>
    <w:p>
      <w:pPr>
        <w:spacing w:after="200" w:before="40"/>
      </w:pPr>
      <w:r>
        <w:rPr>
          <w:rFonts w:ascii="Times New Roman" w:cs="Times New Roman" w:eastAsia="Times New Roman" w:hAnsi="Times New Roman"/>
          <w:i/>
          <w:iCs/>
          <w:color w:val="595959"/>
          <w:sz w:val="19"/>
          <w:szCs w:val="19"/>
        </w:rPr>
        <w:t xml:space="preserve">Table 8.12 — 10 Seasonality. 5 measures. Close the folder when: The twelve Month Seasonal Factor values average to approximately 1.00.</w:t>
      </w:r>
    </w:p>
    <w:p>
      <w:pPr>
        <w:sectPr>
          <w:pgSz w:w="15840" w:h="12240" w:orient="landscape"/>
          <w:pgMar w:top="1440" w:right="1440" w:bottom="1440" w:left="1440" w:header="708" w:footer="708" w:gutter="0"/>
          <w:pgNumType/>
          <w:docGrid w:linePitch="360"/>
        </w:sectPr>
      </w:pPr>
    </w:p>
    <w:p>
      <w:pPr>
        <w:pStyle w:val="Heading1"/>
        <w:spacing w:after="160" w:before="360"/>
      </w:pPr>
      <w:r>
        <w:rPr>
          <w:rFonts w:ascii="Times New Roman" w:cs="Times New Roman" w:eastAsia="Times New Roman" w:hAnsi="Times New Roman"/>
          <w:b/>
          <w:bCs/>
          <w:color w:val="1F3864"/>
          <w:sz w:val="30"/>
          <w:szCs w:val="30"/>
        </w:rPr>
        <w:t xml:space="preserve">9. Validation Before Publishing</w:t>
      </w:r>
    </w:p>
    <w:p>
      <w:pPr>
        <w:spacing w:after="120" w:line="276"/>
      </w:pPr>
      <w:r>
        <w:rPr>
          <w:rFonts w:ascii="Times New Roman" w:cs="Times New Roman" w:eastAsia="Times New Roman" w:hAnsi="Times New Roman"/>
          <w:sz w:val="22"/>
          <w:szCs w:val="22"/>
        </w:rPr>
        <w:t xml:space="preserve">Run all seventeen. Record every result in document 22, docs/22_Validation_Results.xlsx, on the Check Results tab — the check, the observed value and the date — so the numbers in the reports are reproducible rather than merely present. The Run Summary tab counts the run for you and will not report a pass while any check is still unrecorded.</w:t>
      </w:r>
    </w:p>
    <w:p>
      <w:pPr>
        <w:spacing w:after="120" w:line="276"/>
      </w:pPr>
      <w:r>
        <w:rPr>
          <w:rFonts w:ascii="Times New Roman" w:cs="Times New Roman" w:eastAsia="Times New Roman" w:hAnsi="Times New Roman"/>
          <w:sz w:val="22"/>
          <w:szCs w:val="22"/>
        </w:rPr>
        <w:t xml:space="preserve">A run is not a one-off. Re-run the whole suite after any fact-table reload; the Check Catalog tab in document 22 marks which eleven checks are data-dependent and must be repeated. Anything recorded as Fail goes on the Failure Log tab and stays open there until a later run re-verifies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5522"/>
      </w:tblGrid>
      <w:tr>
        <w:trPr>
          <w:tblHeader/>
        </w:trPr>
        <w:tc>
          <w:tcPr>
            <w:tcW w:type="dxa" w:w="655"/>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t>
            </w:r>
          </w:p>
        </w:tc>
        <w:tc>
          <w:tcPr>
            <w:tcW w:type="dxa" w:w="318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Check</w:t>
            </w:r>
          </w:p>
        </w:tc>
        <w:tc>
          <w:tcPr>
            <w:tcW w:type="dxa" w:w="552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Pass criterion</w:t>
            </w:r>
          </w:p>
        </w:tc>
      </w:tr>
      <w:tr>
        <w:trPr>
          <w:cantSplit/>
        </w:trPr>
        <w:tc>
          <w:tcPr>
            <w:tcW w:type="dxa" w:w="65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Staged versus loaded rows</w:t>
            </w:r>
          </w:p>
        </w:tc>
        <w:tc>
          <w:tcPr>
            <w:tcW w:type="dxa" w:w="552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Zero difference, or every dropped row explained and documented</w:t>
            </w:r>
          </w:p>
        </w:tc>
      </w:tr>
      <w:tr>
        <w:trPr>
          <w:cantSplit/>
        </w:trPr>
        <w:tc>
          <w:tcPr>
            <w:tcW w:type="dxa" w:w="65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2</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Sector month coverage</w:t>
            </w:r>
          </w:p>
        </w:tc>
        <w:tc>
          <w:tcPr>
            <w:tcW w:type="dxa" w:w="552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No gaps in the monthly sequence for 44X72 across the window</w:t>
            </w:r>
          </w:p>
        </w:tc>
      </w:tr>
      <w:tr>
        <w:trPr>
          <w:cantSplit/>
        </w:trPr>
        <w:tc>
          <w:tcPr>
            <w:tcW w:type="dxa" w:w="65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3</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Aggregate reconciliation</w:t>
            </w:r>
          </w:p>
        </w:tc>
        <w:tc>
          <w:tcPr>
            <w:tcW w:type="dxa" w:w="552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Non-aggregate categories approximate 44X72 directionally; categories overlap, so exact equality is not expected — document what you find</w:t>
            </w:r>
          </w:p>
        </w:tc>
      </w:tr>
      <w:tr>
        <w:trPr>
          <w:cantSplit/>
        </w:trPr>
        <w:tc>
          <w:tcPr>
            <w:tcW w:type="dxa" w:w="65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Census versus FRED cross-check</w:t>
            </w:r>
          </w:p>
        </w:tc>
        <w:tc>
          <w:tcPr>
            <w:tcW w:type="dxa" w:w="552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MARTS 452 for a given month is within rounding of MRTSSM452USS. A material gap means a wrong code or a seasonal-adjustment mismatch</w:t>
            </w:r>
          </w:p>
        </w:tc>
      </w:tr>
      <w:tr>
        <w:trPr>
          <w:cantSplit/>
        </w:trPr>
        <w:tc>
          <w:tcPr>
            <w:tcW w:type="dxa" w:w="65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5</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Referential integrity</w:t>
            </w:r>
          </w:p>
        </w:tc>
        <w:tc>
          <w:tcPr>
            <w:tcW w:type="dxa" w:w="552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§6.4 coverage query returns zero rows</w:t>
            </w:r>
          </w:p>
        </w:tc>
      </w:tr>
      <w:tr>
        <w:trPr>
          <w:cantSplit/>
        </w:trPr>
        <w:tc>
          <w:tcPr>
            <w:tcW w:type="dxa" w:w="65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6</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Date relationship integrity</w:t>
            </w:r>
          </w:p>
        </w:tc>
        <w:tc>
          <w:tcPr>
            <w:tcW w:type="dxa" w:w="552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No blank row appears in DimDate in Model view</w:t>
            </w:r>
          </w:p>
        </w:tc>
      </w:tr>
      <w:tr>
        <w:trPr>
          <w:cantSplit/>
        </w:trPr>
        <w:tc>
          <w:tcPr>
            <w:tcW w:type="dxa" w:w="65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7</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Measure unit consistency</w:t>
            </w:r>
          </w:p>
        </w:tc>
        <w:tc>
          <w:tcPr>
            <w:tcW w:type="dxa" w:w="552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No visual places a percent and a dollar series on one axis without indexing or a secondary axis</w:t>
            </w:r>
          </w:p>
        </w:tc>
      </w:tr>
      <w:tr>
        <w:trPr>
          <w:cantSplit/>
        </w:trPr>
        <w:tc>
          <w:tcPr>
            <w:tcW w:type="dxa" w:w="65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8</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Cases versus dollars separation</w:t>
            </w:r>
          </w:p>
        </w:tc>
        <w:tc>
          <w:tcPr>
            <w:tcW w:type="dxa" w:w="552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No visual, matrix or sentence places a case measure beside a nominal dollar measure. Every Tier 3 axis is labelled Cases. The only permitted pairing is Total Cases YoY % against National Liquor Stores Real YoY %</w:t>
            </w:r>
          </w:p>
        </w:tc>
      </w:tr>
      <w:tr>
        <w:trPr>
          <w:cantSplit/>
        </w:trPr>
        <w:tc>
          <w:tcPr>
            <w:tcW w:type="dxa" w:w="65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9</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Channel baseline integrity</w:t>
            </w:r>
          </w:p>
        </w:tc>
        <w:tc>
          <w:tcPr>
            <w:tcW w:type="dxa" w:w="552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On-Premise Share 2019 Baseline returns a value under every slicer combination used, including a BeverageClass with no 2019 history</w:t>
            </w:r>
          </w:p>
        </w:tc>
      </w:tr>
      <w:tr>
        <w:trPr>
          <w:cantSplit/>
        </w:trPr>
        <w:tc>
          <w:tcPr>
            <w:tcW w:type="dxa" w:w="65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10</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Channel story has a national counterpart</w:t>
            </w:r>
          </w:p>
        </w:tc>
        <w:tc>
          <w:tcPr>
            <w:tcW w:type="dxa" w:w="552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2020 divergence between 722 and 4453 moves in the same direction and months as the local on-premise collapse. If not, the local series reflects county policy rather than consumer behaviour and the narrative must be reframed</w:t>
            </w:r>
          </w:p>
        </w:tc>
      </w:tr>
      <w:tr>
        <w:trPr>
          <w:cantSplit/>
        </w:trPr>
        <w:tc>
          <w:tcPr>
            <w:tcW w:type="dxa" w:w="65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11</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Negative value handling</w:t>
            </w:r>
          </w:p>
        </w:tc>
        <w:tc>
          <w:tcPr>
            <w:tcW w:type="dxa" w:w="552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Return Rows is non-zero and the report explains it rather than filtering it away</w:t>
            </w:r>
          </w:p>
        </w:tc>
      </w:tr>
      <w:tr>
        <w:trPr>
          <w:cantSplit/>
        </w:trPr>
        <w:tc>
          <w:tcPr>
            <w:tcW w:type="dxa" w:w="65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12</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Lifecycle columns current</w:t>
            </w:r>
          </w:p>
        </w:tc>
        <w:tc>
          <w:tcPr>
            <w:tcW w:type="dxa" w:w="552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MAX(LastSeenDateKey) in DimItem equals MAX(DateKey) in the fact. A mismatch means §5.8 was not re-run and every survival figure is stale</w:t>
            </w:r>
          </w:p>
        </w:tc>
      </w:tr>
      <w:tr>
        <w:trPr>
          <w:cantSplit/>
        </w:trPr>
        <w:tc>
          <w:tcPr>
            <w:tcW w:type="dxa" w:w="65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13</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Cohort census</w:t>
            </w:r>
          </w:p>
        </w:tc>
        <w:tc>
          <w:tcPr>
            <w:tcW w:type="dxa" w:w="552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Cohort Size summed across CohortYear equals the DimItem row count</w:t>
            </w:r>
          </w:p>
        </w:tc>
      </w:tr>
      <w:tr>
        <w:trPr>
          <w:cantSplit/>
        </w:trPr>
        <w:tc>
          <w:tcPr>
            <w:tcW w:type="dxa" w:w="65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14</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Pareto accumulation</w:t>
            </w:r>
          </w:p>
        </w:tc>
        <w:tc>
          <w:tcPr>
            <w:tcW w:type="dxa" w:w="552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Cumulative Cases % reaches exactly 100% at the lowest-ranked item under every slicer combination</w:t>
            </w:r>
          </w:p>
        </w:tc>
      </w:tr>
      <w:tr>
        <w:trPr>
          <w:cantSplit/>
        </w:trPr>
        <w:tc>
          <w:tcPr>
            <w:tcW w:type="dxa" w:w="65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15</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Coefficients carry their sample</w:t>
            </w:r>
          </w:p>
        </w:tc>
        <w:tc>
          <w:tcPr>
            <w:tcW w:type="dxa" w:w="552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Every visual showing a slope or correlation also shows Observation Count</w:t>
            </w:r>
          </w:p>
        </w:tc>
      </w:tr>
      <w:tr>
        <w:trPr>
          <w:cantSplit/>
        </w:trPr>
        <w:tc>
          <w:tcPr>
            <w:tcW w:type="dxa" w:w="65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16</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Left-censored cohort labelled</w:t>
            </w:r>
          </w:p>
        </w:tc>
        <w:tc>
          <w:tcPr>
            <w:tcW w:type="dxa" w:w="552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2017 is excluded from or explicitly labelled on every survival visual</w:t>
            </w:r>
          </w:p>
        </w:tc>
      </w:tr>
      <w:tr>
        <w:trPr>
          <w:cantSplit/>
        </w:trPr>
        <w:tc>
          <w:tcPr>
            <w:tcW w:type="dxa" w:w="65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17</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Report-to-model binding</w:t>
            </w:r>
          </w:p>
        </w:tc>
        <w:tc>
          <w:tcPr>
            <w:tcW w:type="dxa" w:w="552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All three reports open against the published model with no local model — the live connection indicator, not an editable Fields pane</w:t>
            </w:r>
          </w:p>
        </w:tc>
      </w:tr>
    </w:tbl>
    <w:p>
      <w:pPr>
        <w:pStyle w:val="Heading1"/>
        <w:spacing w:after="160" w:before="360"/>
      </w:pPr>
      <w:r>
        <w:rPr>
          <w:rFonts w:ascii="Times New Roman" w:cs="Times New Roman" w:eastAsia="Times New Roman" w:hAnsi="Times New Roman"/>
          <w:b/>
          <w:bCs/>
          <w:color w:val="1F3864"/>
          <w:sz w:val="30"/>
          <w:szCs w:val="30"/>
        </w:rPr>
        <w:t xml:space="preserve">10. Publish and Bind the Reports</w:t>
      </w:r>
    </w:p>
    <w:p>
      <w:pPr>
        <w:spacing w:after="120" w:line="276"/>
      </w:pPr>
      <w:r>
        <w:rPr>
          <w:rFonts w:ascii="Times New Roman" w:cs="Times New Roman" w:eastAsia="Times New Roman" w:hAnsi="Times New Roman"/>
          <w:sz w:val="22"/>
          <w:szCs w:val="22"/>
        </w:rPr>
        <w:t xml:space="preserve">Steps 1 to 7 finish the model. Step 8 is where the three report files first exist — see §1.1 for what each of them may and may not contain, and document 15 for building them.</w:t>
      </w:r>
    </w:p>
    <w:p>
      <w:pPr>
        <w:pStyle w:val="ListParagraph"/>
        <w:numPr>
          <w:ilvl w:val="0"/>
          <w:numId w:val="8"/>
        </w:numPr>
        <w:spacing w:after="60" w:line="276"/>
      </w:pPr>
      <w:r>
        <w:rPr>
          <w:rFonts w:ascii="Times New Roman" w:cs="Times New Roman" w:eastAsia="Times New Roman" w:hAnsi="Times New Roman"/>
          <w:sz w:val="22"/>
          <w:szCs w:val="22"/>
        </w:rPr>
        <w:t xml:space="preserve">Save the model file as RetailEconomics_Model.pbip inside the clone’s pbip/ folder. Keep it to one blank page — this file is a model, not a report.</w:t>
      </w:r>
    </w:p>
    <w:p>
      <w:pPr>
        <w:pStyle w:val="ListParagraph"/>
        <w:numPr>
          <w:ilvl w:val="0"/>
          <w:numId w:val="8"/>
        </w:numPr>
        <w:spacing w:after="60" w:line="276"/>
      </w:pPr>
      <w:r>
        <w:rPr>
          <w:rFonts w:ascii="Times New Roman" w:cs="Times New Roman" w:eastAsia="Times New Roman" w:hAnsi="Times New Roman"/>
          <w:sz w:val="22"/>
          <w:szCs w:val="22"/>
        </w:rPr>
        <w:t xml:space="preserve">Publish it to the Power BI Pro workspace.</w:t>
      </w:r>
    </w:p>
    <w:p>
      <w:pPr>
        <w:pStyle w:val="ListParagraph"/>
        <w:numPr>
          <w:ilvl w:val="0"/>
          <w:numId w:val="8"/>
        </w:numPr>
        <w:spacing w:after="60" w:line="276"/>
      </w:pPr>
      <w:r>
        <w:rPr>
          <w:rFonts w:ascii="Times New Roman" w:cs="Times New Roman" w:eastAsia="Times New Roman" w:hAnsi="Times New Roman"/>
          <w:sz w:val="22"/>
          <w:szCs w:val="22"/>
        </w:rPr>
        <w:t xml:space="preserve">Install the on-premises data gateway in personal mode on the machine hosting SQL Server.</w:t>
      </w:r>
    </w:p>
    <w:p>
      <w:pPr>
        <w:pStyle w:val="ListParagraph"/>
        <w:numPr>
          <w:ilvl w:val="0"/>
          <w:numId w:val="8"/>
        </w:numPr>
        <w:spacing w:after="60" w:line="276"/>
      </w:pPr>
      <w:r>
        <w:rPr>
          <w:rFonts w:ascii="Times New Roman" w:cs="Times New Roman" w:eastAsia="Times New Roman" w:hAnsi="Times New Roman"/>
          <w:sz w:val="22"/>
          <w:szCs w:val="22"/>
        </w:rPr>
        <w:t xml:space="preserve">In the Service, open the semantic model settings → Gateway and cloud connections. Map the SQL Server source to the gateway with Windows or SQL authentication.</w:t>
      </w:r>
    </w:p>
    <w:p>
      <w:pPr>
        <w:pStyle w:val="ListParagraph"/>
        <w:numPr>
          <w:ilvl w:val="0"/>
          <w:numId w:val="8"/>
        </w:numPr>
        <w:spacing w:after="60" w:line="276"/>
      </w:pPr>
      <w:r>
        <w:rPr>
          <w:rFonts w:ascii="Times New Roman" w:cs="Times New Roman" w:eastAsia="Times New Roman" w:hAnsi="Times New Roman"/>
          <w:sz w:val="22"/>
          <w:szCs w:val="22"/>
        </w:rPr>
        <w:t xml:space="preserve">Map api.census.gov and fred.stlouisfed.org with Anonymous authentication. These do not route through the gateway.</w:t>
      </w:r>
    </w:p>
    <w:p>
      <w:pPr>
        <w:pStyle w:val="ListParagraph"/>
        <w:numPr>
          <w:ilvl w:val="0"/>
          <w:numId w:val="8"/>
        </w:numPr>
        <w:spacing w:after="60" w:line="276"/>
      </w:pPr>
      <w:r>
        <w:rPr>
          <w:rFonts w:ascii="Times New Roman" w:cs="Times New Roman" w:eastAsia="Times New Roman" w:hAnsi="Times New Roman"/>
          <w:sz w:val="22"/>
          <w:szCs w:val="22"/>
        </w:rPr>
        <w:t xml:space="preserve">Map the Excel file to the gateway if it is stored locally. Moving RefMappings.xlsx to OneDrive or SharePoint removes that dependency entirely.</w:t>
      </w:r>
    </w:p>
    <w:p>
      <w:pPr>
        <w:pStyle w:val="ListParagraph"/>
        <w:numPr>
          <w:ilvl w:val="0"/>
          <w:numId w:val="8"/>
        </w:numPr>
        <w:spacing w:after="60" w:line="276"/>
      </w:pPr>
      <w:r>
        <w:rPr>
          <w:rFonts w:ascii="Times New Roman" w:cs="Times New Roman" w:eastAsia="Times New Roman" w:hAnsi="Times New Roman"/>
          <w:sz w:val="22"/>
          <w:szCs w:val="22"/>
        </w:rPr>
        <w:t xml:space="preserve">Set the refresh schedule. Twice weekly is sufficient: MARTS advance estimates arrive mid-month, FRED follows its source agencies, and the county file updates monthly.</w:t>
      </w:r>
    </w:p>
    <w:p>
      <w:pPr>
        <w:pStyle w:val="ListParagraph"/>
        <w:numPr>
          <w:ilvl w:val="0"/>
          <w:numId w:val="8"/>
        </w:numPr>
        <w:spacing w:after="60" w:line="276"/>
      </w:pPr>
      <w:r>
        <w:rPr>
          <w:rFonts w:ascii="Times New Roman" w:cs="Times New Roman" w:eastAsia="Times New Roman" w:hAnsi="Times New Roman"/>
          <w:sz w:val="22"/>
          <w:szCs w:val="22"/>
        </w:rPr>
        <w:t xml:space="preserve">Open a new Desktop file → Get data → Power BI semantic models → select the published model. Build R1. Save as pbip/R1_Retail_Sector_Health. Repeat for R2 and R3.</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The reports are never republished when a measure changes.  </w:t>
      </w:r>
      <w:r>
        <w:rPr>
          <w:rFonts w:ascii="Times New Roman" w:cs="Times New Roman" w:eastAsia="Times New Roman" w:hAnsi="Times New Roman"/>
          <w:sz w:val="21"/>
          <w:szCs w:val="21"/>
        </w:rPr>
        <w:t xml:space="preserve">Edit the measure in the model file, commit the TMDL diff, republish the model. All three reports pick the change up. If you find yourself making the same measure edit in more than one file, the architecture has been broken and document 00 §3.3 and §9.2 explain why that matters.</w:t>
      </w:r>
    </w:p>
    <w:p>
      <w:pPr>
        <w:pStyle w:val="Heading1"/>
        <w:spacing w:after="160" w:before="360"/>
      </w:pPr>
      <w:r>
        <w:rPr>
          <w:rFonts w:ascii="Times New Roman" w:cs="Times New Roman" w:eastAsia="Times New Roman" w:hAnsi="Times New Roman"/>
          <w:b/>
          <w:bCs/>
          <w:color w:val="1F3864"/>
          <w:sz w:val="30"/>
          <w:szCs w:val="30"/>
        </w:rPr>
        <w:t xml:space="preserve">11.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Symptom</w:t>
            </w:r>
          </w:p>
        </w:tc>
        <w:tc>
          <w:tcPr>
            <w:tcW w:type="dxa" w:w="655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Cause and fix</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valid key must be included with each data API request”</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pCensusKey is empty or misspelled in the Query record. Every Census Data API call needs a key.</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Model refreshes in Desktop, fails in the Service</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dynamic data source. The URL is being built by concatenation somewhere. Rewrite it using Web.Contents with RelativePath and Query (§3.6) and re-check Data source settings.</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FactMacro loads but Value is blank for one series</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That series ID is wrong, or FRED changed the CSV shape. fnGetFredSeries renames positionally, so a header change is survivable — a wrong ID is not. Open the fredgraph URL in a browser to confirm.</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Month labels sort alphabetically</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MonthYear has no sort-by column. Set it to DateKey (§7.3 item 2).</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Every time-intelligence measure returns blank</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DimDate was not marked as a date table, or the relationship is on the wrong column.</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BULK INSERT: “Cannot bulk load”</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SQL Server service account cannot read C:\Data. Use the Import Flat File wizard instead (§5.4).</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Staged and loaded row counts differ</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Rows failed the date predicate or a dimension join. Query the staging table for rows whose YEAR or MONTH will not convert, and for ITEM CODE values absent from DimItem.</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Survival figures look wrong after a reload</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§5.8 was not re-run. Check 12 in §9 catches this.</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Cumulative Cases % stops short of 100%</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ranking context and the total context disagree. Both ADDCOLUMNS calls must use the same ALLSELECTED grain.</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slicer shows a blank entry</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An unmatched mapping. Run §6.4 for categories; for item types, the merge in §6.3 fills unmatched values with “Unmapped” so they are visible rather than blank.</w:t>
            </w:r>
          </w:p>
        </w:tc>
      </w:tr>
    </w:tbl>
    <w:p>
      <w:pPr>
        <w:pStyle w:val="Heading1"/>
        <w:spacing w:after="160" w:before="360"/>
      </w:pPr>
      <w:r>
        <w:rPr>
          <w:rFonts w:ascii="Times New Roman" w:cs="Times New Roman" w:eastAsia="Times New Roman" w:hAnsi="Times New Roman"/>
          <w:b/>
          <w:bCs/>
          <w:color w:val="1F3864"/>
          <w:sz w:val="30"/>
          <w:szCs w:val="30"/>
        </w:rPr>
        <w:t xml:space="preserve">12. References</w:t>
      </w:r>
    </w:p>
    <w:p>
      <w:pPr>
        <w:spacing w:after="120" w:line="276"/>
      </w:pPr>
      <w:r>
        <w:rPr>
          <w:rFonts w:ascii="Times New Roman" w:cs="Times New Roman" w:eastAsia="Times New Roman" w:hAnsi="Times New Roman"/>
          <w:sz w:val="22"/>
          <w:szCs w:val="22"/>
        </w:rPr>
        <w:t xml:space="preserve">Every URL below was verified against the live page in September 2026. Microsoft documentation is cited as direct Microsoft Learn links only.</w:t>
      </w:r>
    </w:p>
    <w:p>
      <w:pPr>
        <w:pStyle w:val="Heading2"/>
        <w:spacing w:after="120" w:before="280"/>
      </w:pPr>
      <w:r>
        <w:rPr>
          <w:rFonts w:ascii="Times New Roman" w:cs="Times New Roman" w:eastAsia="Times New Roman" w:hAnsi="Times New Roman"/>
          <w:b/>
          <w:bCs/>
          <w:color w:val="2E5496"/>
          <w:sz w:val="25"/>
          <w:szCs w:val="25"/>
        </w:rPr>
        <w:t xml:space="preserve">12.1 Data Sources</w:t>
      </w:r>
    </w:p>
    <w:p>
      <w:pPr>
        <w:spacing w:after="80" w:line="276"/>
      </w:pPr>
      <w:r>
        <w:rPr>
          <w:rFonts w:ascii="Times New Roman" w:cs="Times New Roman" w:eastAsia="Times New Roman" w:hAnsi="Times New Roman"/>
          <w:sz w:val="21"/>
          <w:szCs w:val="21"/>
        </w:rPr>
        <w:t xml:space="preserve">U.S. Census Bureau — About the Monthly Retail Trade Surveys — </w:t>
      </w:r>
      <w:hyperlink w:history="1" r:id="rIdxi0s6a9hmwtcergywwv2m">
        <w:r>
          <w:rPr>
            <w:rFonts w:ascii="Times New Roman" w:cs="Times New Roman" w:eastAsia="Times New Roman" w:hAnsi="Times New Roman"/>
            <w:color w:val="0563C1"/>
            <w:sz w:val="21"/>
            <w:szCs w:val="21"/>
            <w:u w:val="single"/>
          </w:rPr>
          <w:t xml:space="preserve">https://www.census.gov/retail/about_the_surveys.html</w:t>
        </w:r>
      </w:hyperlink>
    </w:p>
    <w:p>
      <w:pPr>
        <w:spacing w:after="80" w:line="276"/>
      </w:pPr>
      <w:r>
        <w:rPr>
          <w:rFonts w:ascii="Times New Roman" w:cs="Times New Roman" w:eastAsia="Times New Roman" w:hAnsi="Times New Roman"/>
          <w:sz w:val="21"/>
          <w:szCs w:val="21"/>
        </w:rPr>
        <w:t xml:space="preserve">Census Data API — MARTS time series endpoint — </w:t>
      </w:r>
      <w:hyperlink w:history="1" r:id="rIdhygqqcx6d2gqghdeljdrv">
        <w:r>
          <w:rPr>
            <w:rFonts w:ascii="Times New Roman" w:cs="Times New Roman" w:eastAsia="Times New Roman" w:hAnsi="Times New Roman"/>
            <w:color w:val="0563C1"/>
            <w:sz w:val="21"/>
            <w:szCs w:val="21"/>
            <w:u w:val="single"/>
          </w:rPr>
          <w:t xml:space="preserve">https://api.census.gov/data/timeseries/eits/marts.html</w:t>
        </w:r>
      </w:hyperlink>
    </w:p>
    <w:p>
      <w:pPr>
        <w:spacing w:after="80" w:line="276"/>
      </w:pPr>
      <w:r>
        <w:rPr>
          <w:rFonts w:ascii="Times New Roman" w:cs="Times New Roman" w:eastAsia="Times New Roman" w:hAnsi="Times New Roman"/>
          <w:sz w:val="21"/>
          <w:szCs w:val="21"/>
        </w:rPr>
        <w:t xml:space="preserve">Census Data API — MARTS variables — </w:t>
      </w:r>
      <w:hyperlink w:history="1" r:id="rIdcynekbxldb5visr7ckmea">
        <w:r>
          <w:rPr>
            <w:rFonts w:ascii="Times New Roman" w:cs="Times New Roman" w:eastAsia="Times New Roman" w:hAnsi="Times New Roman"/>
            <w:color w:val="0563C1"/>
            <w:sz w:val="21"/>
            <w:szCs w:val="21"/>
            <w:u w:val="single"/>
          </w:rPr>
          <w:t xml:space="preserve">https://api.census.gov/data/timeseries/eits/marts/variables.html</w:t>
        </w:r>
      </w:hyperlink>
    </w:p>
    <w:p>
      <w:pPr>
        <w:spacing w:after="80" w:line="276"/>
      </w:pPr>
      <w:r>
        <w:rPr>
          <w:rFonts w:ascii="Times New Roman" w:cs="Times New Roman" w:eastAsia="Times New Roman" w:hAnsi="Times New Roman"/>
          <w:sz w:val="21"/>
          <w:szCs w:val="21"/>
        </w:rPr>
        <w:t xml:space="preserve">Census Data API — key signup — </w:t>
      </w:r>
      <w:hyperlink w:history="1" r:id="rIdwctk8h6o5y30vnkk1q8ek">
        <w:r>
          <w:rPr>
            <w:rFonts w:ascii="Times New Roman" w:cs="Times New Roman" w:eastAsia="Times New Roman" w:hAnsi="Times New Roman"/>
            <w:color w:val="0563C1"/>
            <w:sz w:val="21"/>
            <w:szCs w:val="21"/>
            <w:u w:val="single"/>
          </w:rPr>
          <w:t xml:space="preserve">https://api.census.gov/data/key_signup.html</w:t>
        </w:r>
      </w:hyperlink>
    </w:p>
    <w:p>
      <w:pPr>
        <w:spacing w:after="80" w:line="276"/>
      </w:pPr>
      <w:r>
        <w:rPr>
          <w:rFonts w:ascii="Times New Roman" w:cs="Times New Roman" w:eastAsia="Times New Roman" w:hAnsi="Times New Roman"/>
          <w:sz w:val="21"/>
          <w:szCs w:val="21"/>
        </w:rPr>
        <w:t xml:space="preserve">Federal Reserve Economic Data (FRED) — </w:t>
      </w:r>
      <w:hyperlink w:history="1" r:id="rId_0gy1iipmb3hv50mpi3ov">
        <w:r>
          <w:rPr>
            <w:rFonts w:ascii="Times New Roman" w:cs="Times New Roman" w:eastAsia="Times New Roman" w:hAnsi="Times New Roman"/>
            <w:color w:val="0563C1"/>
            <w:sz w:val="21"/>
            <w:szCs w:val="21"/>
            <w:u w:val="single"/>
          </w:rPr>
          <w:t xml:space="preserve">https://fred.stlouisfed.org/</w:t>
        </w:r>
      </w:hyperlink>
    </w:p>
    <w:p>
      <w:pPr>
        <w:spacing w:after="80" w:line="276"/>
      </w:pPr>
      <w:r>
        <w:rPr>
          <w:rFonts w:ascii="Times New Roman" w:cs="Times New Roman" w:eastAsia="Times New Roman" w:hAnsi="Times New Roman"/>
          <w:sz w:val="21"/>
          <w:szCs w:val="21"/>
        </w:rPr>
        <w:t xml:space="preserve">Montgomery County, MD — Warehouse and Retail Sales (data.gov) — </w:t>
      </w:r>
      <w:hyperlink w:history="1" r:id="rIdxc5bkszgjhyh-lznyvarg">
        <w:r>
          <w:rPr>
            <w:rFonts w:ascii="Times New Roman" w:cs="Times New Roman" w:eastAsia="Times New Roman" w:hAnsi="Times New Roman"/>
            <w:color w:val="0563C1"/>
            <w:sz w:val="21"/>
            <w:szCs w:val="21"/>
            <w:u w:val="single"/>
          </w:rPr>
          <w:t xml:space="preserve">https://catalog.data.gov/dataset/warehouse-and-retail-sales</w:t>
        </w:r>
      </w:hyperlink>
    </w:p>
    <w:p>
      <w:pPr>
        <w:spacing w:after="80" w:line="276"/>
      </w:pPr>
      <w:r>
        <w:rPr>
          <w:rFonts w:ascii="Times New Roman" w:cs="Times New Roman" w:eastAsia="Times New Roman" w:hAnsi="Times New Roman"/>
          <w:sz w:val="21"/>
          <w:szCs w:val="21"/>
        </w:rPr>
        <w:t xml:space="preserve">Montgomery County open data portal — dataset v76h-r7br — </w:t>
      </w:r>
      <w:hyperlink w:history="1" r:id="rId8znwokixdiig-wfgpf_ui">
        <w:r>
          <w:rPr>
            <w:rFonts w:ascii="Times New Roman" w:cs="Times New Roman" w:eastAsia="Times New Roman" w:hAnsi="Times New Roman"/>
            <w:color w:val="0563C1"/>
            <w:sz w:val="21"/>
            <w:szCs w:val="21"/>
            <w:u w:val="single"/>
          </w:rPr>
          <w:t xml:space="preserve">https://data.montgomerycountymd.gov/Community-Recreation/Warehouse-and-Retail-Sales/v76h-r7br</w:t>
        </w:r>
      </w:hyperlink>
    </w:p>
    <w:p>
      <w:pPr>
        <w:spacing w:after="80" w:line="276"/>
      </w:pPr>
      <w:r>
        <w:rPr>
          <w:rFonts w:ascii="Times New Roman" w:cs="Times New Roman" w:eastAsia="Times New Roman" w:hAnsi="Times New Roman"/>
          <w:sz w:val="21"/>
          <w:szCs w:val="21"/>
        </w:rPr>
        <w:t xml:space="preserve">Montgomery County — column metadata, the source of the “cases” definition — </w:t>
      </w:r>
      <w:hyperlink w:history="1" r:id="rIdenmchugzog7zvutqixbrd">
        <w:r>
          <w:rPr>
            <w:rFonts w:ascii="Times New Roman" w:cs="Times New Roman" w:eastAsia="Times New Roman" w:hAnsi="Times New Roman"/>
            <w:color w:val="0563C1"/>
            <w:sz w:val="21"/>
            <w:szCs w:val="21"/>
            <w:u w:val="single"/>
          </w:rPr>
          <w:t xml:space="preserve">https://data.montgomerycountymd.gov/api/views/v76h-r7br/columns.json</w:t>
        </w:r>
      </w:hyperlink>
    </w:p>
    <w:p>
      <w:pPr>
        <w:pStyle w:val="Heading2"/>
        <w:spacing w:after="120" w:before="280"/>
      </w:pPr>
      <w:r>
        <w:rPr>
          <w:rFonts w:ascii="Times New Roman" w:cs="Times New Roman" w:eastAsia="Times New Roman" w:hAnsi="Times New Roman"/>
          <w:b/>
          <w:bCs/>
          <w:color w:val="2E5496"/>
          <w:sz w:val="25"/>
          <w:szCs w:val="25"/>
        </w:rPr>
        <w:t xml:space="preserve">12.2 Microsoft Documentation</w:t>
      </w:r>
    </w:p>
    <w:p>
      <w:pPr>
        <w:spacing w:after="80" w:line="276"/>
      </w:pPr>
      <w:r>
        <w:rPr>
          <w:rFonts w:ascii="Times New Roman" w:cs="Times New Roman" w:eastAsia="Times New Roman" w:hAnsi="Times New Roman"/>
          <w:sz w:val="21"/>
          <w:szCs w:val="21"/>
        </w:rPr>
        <w:t xml:space="preserve">Web.Contents — Power Query M reference (§3.5, §3.6, §4.2) — </w:t>
      </w:r>
      <w:hyperlink w:history="1" r:id="rId4wcnhrtajqgz1mk0d1ljj">
        <w:r>
          <w:rPr>
            <w:rFonts w:ascii="Times New Roman" w:cs="Times New Roman" w:eastAsia="Times New Roman" w:hAnsi="Times New Roman"/>
            <w:color w:val="0563C1"/>
            <w:sz w:val="21"/>
            <w:szCs w:val="21"/>
            <w:u w:val="single"/>
          </w:rPr>
          <w:t xml:space="preserve">https://learn.microsoft.com/en-us/powerquery-m/web-contents</w:t>
        </w:r>
      </w:hyperlink>
    </w:p>
    <w:p>
      <w:pPr>
        <w:spacing w:after="80" w:line="276"/>
      </w:pPr>
      <w:r>
        <w:rPr>
          <w:rFonts w:ascii="Times New Roman" w:cs="Times New Roman" w:eastAsia="Times New Roman" w:hAnsi="Times New Roman"/>
          <w:sz w:val="21"/>
          <w:szCs w:val="21"/>
        </w:rPr>
        <w:t xml:space="preserve">Json.Document — Power Query M reference (§3.4, §3.5) — </w:t>
      </w:r>
      <w:hyperlink w:history="1" r:id="rId1s6ykvui5e5vqi2ddz2ct">
        <w:r>
          <w:rPr>
            <w:rFonts w:ascii="Times New Roman" w:cs="Times New Roman" w:eastAsia="Times New Roman" w:hAnsi="Times New Roman"/>
            <w:color w:val="0563C1"/>
            <w:sz w:val="21"/>
            <w:szCs w:val="21"/>
            <w:u w:val="single"/>
          </w:rPr>
          <w:t xml:space="preserve">https://learn.microsoft.com/en-us/powerquery-m/json-document</w:t>
        </w:r>
      </w:hyperlink>
    </w:p>
    <w:p>
      <w:pPr>
        <w:spacing w:after="80" w:line="276"/>
      </w:pPr>
      <w:r>
        <w:rPr>
          <w:rFonts w:ascii="Times New Roman" w:cs="Times New Roman" w:eastAsia="Times New Roman" w:hAnsi="Times New Roman"/>
          <w:sz w:val="21"/>
          <w:szCs w:val="21"/>
        </w:rPr>
        <w:t xml:space="preserve">Data refresh — Refresh and dynamic data sources (§3.6) — </w:t>
      </w:r>
      <w:hyperlink w:history="1" r:id="rIdjkl4cxdaknhmxbhsuvsdh">
        <w:r>
          <w:rPr>
            <w:rFonts w:ascii="Times New Roman" w:cs="Times New Roman" w:eastAsia="Times New Roman" w:hAnsi="Times New Roman"/>
            <w:color w:val="0563C1"/>
            <w:sz w:val="21"/>
            <w:szCs w:val="21"/>
            <w:u w:val="single"/>
          </w:rPr>
          <w:t xml:space="preserve">https://learn.microsoft.com/en-us/power-bi/connect-data/refresh-data#refresh-and-dynamic-data-sources</w:t>
        </w:r>
      </w:hyperlink>
    </w:p>
    <w:p>
      <w:pPr>
        <w:spacing w:after="80" w:line="276"/>
      </w:pPr>
      <w:r>
        <w:rPr>
          <w:rFonts w:ascii="Times New Roman" w:cs="Times New Roman" w:eastAsia="Times New Roman" w:hAnsi="Times New Roman"/>
          <w:sz w:val="21"/>
          <w:szCs w:val="21"/>
        </w:rPr>
        <w:t xml:space="preserve">Parameters — Power Query (§3.1) — </w:t>
      </w:r>
      <w:hyperlink w:history="1" r:id="rIdce2iqxkhrj7tyouek93sl">
        <w:r>
          <w:rPr>
            <w:rFonts w:ascii="Times New Roman" w:cs="Times New Roman" w:eastAsia="Times New Roman" w:hAnsi="Times New Roman"/>
            <w:color w:val="0563C1"/>
            <w:sz w:val="21"/>
            <w:szCs w:val="21"/>
            <w:u w:val="single"/>
          </w:rPr>
          <w:t xml:space="preserve">https://learn.microsoft.com/en-us/power-query/power-query-query-parameters</w:t>
        </w:r>
      </w:hyperlink>
    </w:p>
    <w:p>
      <w:pPr>
        <w:spacing w:after="80" w:line="276"/>
      </w:pPr>
      <w:r>
        <w:rPr>
          <w:rFonts w:ascii="Times New Roman" w:cs="Times New Roman" w:eastAsia="Times New Roman" w:hAnsi="Times New Roman"/>
          <w:sz w:val="21"/>
          <w:szCs w:val="21"/>
        </w:rPr>
        <w:t xml:space="preserve">Power Query SQL Server connector (§5.11) — </w:t>
      </w:r>
      <w:hyperlink w:history="1" r:id="rIdbf5u57xtq8fomrf9ilzvs">
        <w:r>
          <w:rPr>
            <w:rFonts w:ascii="Times New Roman" w:cs="Times New Roman" w:eastAsia="Times New Roman" w:hAnsi="Times New Roman"/>
            <w:color w:val="0563C1"/>
            <w:sz w:val="21"/>
            <w:szCs w:val="21"/>
            <w:u w:val="single"/>
          </w:rPr>
          <w:t xml:space="preserve">https://learn.microsoft.com/en-us/power-query/connectors/sql-server</w:t>
        </w:r>
      </w:hyperlink>
    </w:p>
    <w:p>
      <w:pPr>
        <w:spacing w:after="80" w:line="276"/>
      </w:pPr>
      <w:r>
        <w:rPr>
          <w:rFonts w:ascii="Times New Roman" w:cs="Times New Roman" w:eastAsia="Times New Roman" w:hAnsi="Times New Roman"/>
          <w:sz w:val="21"/>
          <w:szCs w:val="21"/>
        </w:rPr>
        <w:t xml:space="preserve">Understand star schema and the importance for Power BI (§7) — </w:t>
      </w:r>
      <w:hyperlink w:history="1" r:id="rId8eubybycisq8bsxvj9pvx">
        <w:r>
          <w:rPr>
            <w:rFonts w:ascii="Times New Roman" w:cs="Times New Roman" w:eastAsia="Times New Roman" w:hAnsi="Times New Roman"/>
            <w:color w:val="0563C1"/>
            <w:sz w:val="21"/>
            <w:szCs w:val="21"/>
            <w:u w:val="single"/>
          </w:rPr>
          <w:t xml:space="preserve">https://learn.microsoft.com/en-us/power-bi/guidance/star-schema</w:t>
        </w:r>
      </w:hyperlink>
    </w:p>
    <w:p>
      <w:pPr>
        <w:spacing w:after="80" w:line="276"/>
      </w:pPr>
      <w:r>
        <w:rPr>
          <w:rFonts w:ascii="Times New Roman" w:cs="Times New Roman" w:eastAsia="Times New Roman" w:hAnsi="Times New Roman"/>
          <w:sz w:val="21"/>
          <w:szCs w:val="21"/>
        </w:rPr>
        <w:t xml:space="preserve">CALENDAR function — DAX — </w:t>
      </w:r>
      <w:hyperlink w:history="1" r:id="rIdle0mzuhmfru-v883xx44z">
        <w:r>
          <w:rPr>
            <w:rFonts w:ascii="Times New Roman" w:cs="Times New Roman" w:eastAsia="Times New Roman" w:hAnsi="Times New Roman"/>
            <w:color w:val="0563C1"/>
            <w:sz w:val="21"/>
            <w:szCs w:val="21"/>
            <w:u w:val="single"/>
          </w:rPr>
          <w:t xml:space="preserve">https://learn.microsoft.com/en-us/dax/calendar-function-dax</w:t>
        </w:r>
      </w:hyperlink>
    </w:p>
    <w:p>
      <w:pPr>
        <w:spacing w:after="80" w:line="276"/>
      </w:pPr>
      <w:r>
        <w:rPr>
          <w:rFonts w:ascii="Times New Roman" w:cs="Times New Roman" w:eastAsia="Times New Roman" w:hAnsi="Times New Roman"/>
          <w:sz w:val="21"/>
          <w:szCs w:val="21"/>
        </w:rPr>
        <w:t xml:space="preserve">On-premises data gateway (§10) — </w:t>
      </w:r>
      <w:hyperlink w:history="1" r:id="rIdklluzjvwyxalytiiusdhv">
        <w:r>
          <w:rPr>
            <w:rFonts w:ascii="Times New Roman" w:cs="Times New Roman" w:eastAsia="Times New Roman" w:hAnsi="Times New Roman"/>
            <w:color w:val="0563C1"/>
            <w:sz w:val="21"/>
            <w:szCs w:val="21"/>
            <w:u w:val="single"/>
          </w:rPr>
          <w:t xml:space="preserve">https://learn.microsoft.com/en-us/power-bi/connect-data/service-gateway-onprem</w:t>
        </w:r>
      </w:hyperlink>
    </w:p>
    <w:p>
      <w:pPr>
        <w:spacing w:after="80" w:line="276"/>
      </w:pPr>
      <w:r>
        <w:rPr>
          <w:rFonts w:ascii="Times New Roman" w:cs="Times New Roman" w:eastAsia="Times New Roman" w:hAnsi="Times New Roman"/>
          <w:sz w:val="21"/>
          <w:szCs w:val="21"/>
        </w:rPr>
        <w:t xml:space="preserve">Connect to semantic models in the Power BI service from Power BI Desktop (§10) — </w:t>
      </w:r>
      <w:hyperlink w:history="1" r:id="rIdbu5jvngeq9jt07loqnozi">
        <w:r>
          <w:rPr>
            <w:rFonts w:ascii="Times New Roman" w:cs="Times New Roman" w:eastAsia="Times New Roman" w:hAnsi="Times New Roman"/>
            <w:color w:val="0563C1"/>
            <w:sz w:val="21"/>
            <w:szCs w:val="21"/>
            <w:u w:val="single"/>
          </w:rPr>
          <w:t xml:space="preserve">https://learn.microsoft.com/en-us/power-bi/connect-data/desktop-report-lifecycle-datasets</w:t>
        </w:r>
      </w:hyperlink>
    </w:p>
    <w:p>
      <w:pPr>
        <w:spacing w:after="80" w:line="276"/>
      </w:pPr>
      <w:r>
        <w:rPr>
          <w:rFonts w:ascii="Times New Roman" w:cs="Times New Roman" w:eastAsia="Times New Roman" w:hAnsi="Times New Roman"/>
          <w:sz w:val="21"/>
          <w:szCs w:val="21"/>
        </w:rPr>
        <w:t xml:space="preserve">Configure incremental refresh for Power BI semantic models — </w:t>
      </w:r>
      <w:hyperlink w:history="1" r:id="rIdvnuofoer8j1o_fkqttrus">
        <w:r>
          <w:rPr>
            <w:rFonts w:ascii="Times New Roman" w:cs="Times New Roman" w:eastAsia="Times New Roman" w:hAnsi="Times New Roman"/>
            <w:color w:val="0563C1"/>
            <w:sz w:val="21"/>
            <w:szCs w:val="21"/>
            <w:u w:val="single"/>
          </w:rPr>
          <w:t xml:space="preserve">https://learn.microsoft.com/en-us/power-bi/connect-data/incremental-refresh-overview</w:t>
        </w:r>
      </w:hyperlink>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The dynamic-data-source rule is the one to read before building.  </w:t>
      </w:r>
      <w:r>
        <w:rPr>
          <w:rFonts w:ascii="Times New Roman" w:cs="Times New Roman" w:eastAsia="Times New Roman" w:hAnsi="Times New Roman"/>
          <w:sz w:val="21"/>
          <w:szCs w:val="21"/>
        </w:rPr>
        <w:t xml:space="preserve">Section 3.6 rests entirely on the refresh article above. It is the difference between a model that refreshes in the Service and one that passes every test in Desktop and then fails after publication.</w:t>
      </w:r>
    </w:p>
    <w:p>
      <w:pPr>
        <w:pStyle w:val="Heading1"/>
        <w:spacing w:after="160" w:before="360"/>
      </w:pPr>
      <w:r>
        <w:rPr>
          <w:rFonts w:ascii="Times New Roman" w:cs="Times New Roman" w:eastAsia="Times New Roman" w:hAnsi="Times New Roman"/>
          <w:b/>
          <w:bCs/>
          <w:color w:val="1F3864"/>
          <w:sz w:val="30"/>
          <w:szCs w:val="30"/>
        </w:rPr>
        <w:t xml:space="preserve">13. AI Assistance Disclosure</w:t>
      </w:r>
    </w:p>
    <w:p>
      <w:pPr>
        <w:spacing w:after="120" w:line="276"/>
      </w:pPr>
      <w:r>
        <w:rPr>
          <w:rFonts w:ascii="Times New Roman" w:cs="Times New Roman" w:eastAsia="Times New Roman" w:hAnsi="Times New Roman"/>
          <w:sz w:val="22"/>
          <w:szCs w:val="22"/>
        </w:rPr>
        <w:t xml:space="preserve">Portions of this document were drafted with the assistance of a generative AI system. The author defined the project scope, selected and vetted the data sources, and reviewed all technical content prior to publication.</w:t>
      </w:r>
    </w:p>
    <w:p>
      <w:pPr>
        <w:spacing w:after="120" w:line="276"/>
      </w:pPr>
      <w:r>
        <w:rPr>
          <w:rFonts w:ascii="Times New Roman" w:cs="Times New Roman" w:eastAsia="Times New Roman" w:hAnsi="Times New Roman"/>
          <w:sz w:val="22"/>
          <w:szCs w:val="22"/>
        </w:rPr>
        <w:t xml:space="preserve">Source URLs, API endpoint structures, dataset row counts, column inventories and units of measure, NAICS category codes, and FRED series identifiers and units were verified against the live sources in September 2026. The Tier 3 unit of measure was confirmed from the publisher’s own column metadata, which defines all three measure columns as counts of cases. Code listings are working starting points and should be executed and validated in the reader’s own environment before use.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rPr>
        <w:rFonts w:ascii="Times New Roman" w:cs="Times New Roman" w:eastAsia="Times New Roman" w:hAnsi="Times New Roman"/>
        <w:sz w:val="22"/>
        <w:szCs w:val="22"/>
      </w:rPr>
    </w:lvl>
    <w:lvl w:ilvl="1" w15:tentative="1">
      <w:start w:val="1"/>
      <w:numFmt w:val="bullet"/>
      <w:lvlText w:val="◦"/>
      <w:lvlJc w:val="left"/>
      <w:pPr>
        <w:ind w:left="920" w:hanging="260"/>
      </w:pPr>
      <w:rPr>
        <w:rFonts w:ascii="Times New Roman" w:cs="Times New Roman" w:eastAsia="Times New Roman" w:hAnsi="Times New Roman"/>
        <w:sz w:val="22"/>
        <w:szCs w:val="22"/>
      </w:rPr>
    </w:lvl>
  </w:abstractNum>
  <w:abstractNum w:abstractNumId="3" w15:restartNumberingAfterBreak="0">
    <w:multiLevelType w:val="hybridMultilevel"/>
    <w:lvl w:ilvl="0" w15:tentative="1">
      <w:start w:val="1"/>
      <w:numFmt w:val="decimal"/>
      <w:lvlText w:val="%1."/>
      <w:lvlJc w:val="left"/>
      <w:pPr>
        <w:ind w:left="460" w:hanging="260"/>
      </w:pPr>
      <w:rPr>
        <w:rFonts w:ascii="Times New Roman" w:cs="Times New Roman" w:eastAsia="Times New Roman" w:hAnsi="Times New Roman"/>
        <w:sz w:val="22"/>
        <w:szCs w:val="22"/>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2"/>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i0s6a9hmwtcergywwv2m" Type="http://schemas.openxmlformats.org/officeDocument/2006/relationships/hyperlink" Target="https://www.census.gov/retail/about_the_surveys.html" TargetMode="External"/><Relationship Id="rIdhygqqcx6d2gqghdeljdrv" Type="http://schemas.openxmlformats.org/officeDocument/2006/relationships/hyperlink" Target="https://api.census.gov/data/timeseries/eits/marts.html" TargetMode="External"/><Relationship Id="rIdcynekbxldb5visr7ckmea" Type="http://schemas.openxmlformats.org/officeDocument/2006/relationships/hyperlink" Target="https://api.census.gov/data/timeseries/eits/marts/variables.html" TargetMode="External"/><Relationship Id="rIdwctk8h6o5y30vnkk1q8ek" Type="http://schemas.openxmlformats.org/officeDocument/2006/relationships/hyperlink" Target="https://api.census.gov/data/key_signup.html" TargetMode="External"/><Relationship Id="rId_0gy1iipmb3hv50mpi3ov" Type="http://schemas.openxmlformats.org/officeDocument/2006/relationships/hyperlink" Target="https://fred.stlouisfed.org/" TargetMode="External"/><Relationship Id="rIdxc5bkszgjhyh-lznyvarg" Type="http://schemas.openxmlformats.org/officeDocument/2006/relationships/hyperlink" Target="https://catalog.data.gov/dataset/warehouse-and-retail-sales" TargetMode="External"/><Relationship Id="rId8znwokixdiig-wfgpf_ui" Type="http://schemas.openxmlformats.org/officeDocument/2006/relationships/hyperlink" Target="https://data.montgomerycountymd.gov/Community-Recreation/Warehouse-and-Retail-Sales/v76h-r7br" TargetMode="External"/><Relationship Id="rIdenmchugzog7zvutqixbrd" Type="http://schemas.openxmlformats.org/officeDocument/2006/relationships/hyperlink" Target="https://data.montgomerycountymd.gov/api/views/v76h-r7br/columns.json" TargetMode="External"/><Relationship Id="rId4wcnhrtajqgz1mk0d1ljj" Type="http://schemas.openxmlformats.org/officeDocument/2006/relationships/hyperlink" Target="https://learn.microsoft.com/en-us/powerquery-m/web-contents" TargetMode="External"/><Relationship Id="rId1s6ykvui5e5vqi2ddz2ct" Type="http://schemas.openxmlformats.org/officeDocument/2006/relationships/hyperlink" Target="https://learn.microsoft.com/en-us/powerquery-m/json-document" TargetMode="External"/><Relationship Id="rIdjkl4cxdaknhmxbhsuvsdh" Type="http://schemas.openxmlformats.org/officeDocument/2006/relationships/hyperlink" Target="https://learn.microsoft.com/en-us/power-bi/connect-data/refresh-data#refresh-and-dynamic-data-sources" TargetMode="External"/><Relationship Id="rIdce2iqxkhrj7tyouek93sl" Type="http://schemas.openxmlformats.org/officeDocument/2006/relationships/hyperlink" Target="https://learn.microsoft.com/en-us/power-query/power-query-query-parameters" TargetMode="External"/><Relationship Id="rIdbf5u57xtq8fomrf9ilzvs" Type="http://schemas.openxmlformats.org/officeDocument/2006/relationships/hyperlink" Target="https://learn.microsoft.com/en-us/power-query/connectors/sql-server" TargetMode="External"/><Relationship Id="rId8eubybycisq8bsxvj9pvx" Type="http://schemas.openxmlformats.org/officeDocument/2006/relationships/hyperlink" Target="https://learn.microsoft.com/en-us/power-bi/guidance/star-schema" TargetMode="External"/><Relationship Id="rIdle0mzuhmfru-v883xx44z" Type="http://schemas.openxmlformats.org/officeDocument/2006/relationships/hyperlink" Target="https://learn.microsoft.com/en-us/dax/calendar-function-dax" TargetMode="External"/><Relationship Id="rIdklluzjvwyxalytiiusdhv" Type="http://schemas.openxmlformats.org/officeDocument/2006/relationships/hyperlink" Target="https://learn.microsoft.com/en-us/power-bi/connect-data/service-gateway-onprem" TargetMode="External"/><Relationship Id="rIdbu5jvngeq9jt07loqnozi" Type="http://schemas.openxmlformats.org/officeDocument/2006/relationships/hyperlink" Target="https://learn.microsoft.com/en-us/power-bi/connect-data/desktop-report-lifecycle-datasets" TargetMode="External"/><Relationship Id="rIdvnuofoer8j1o_fkqttrus" Type="http://schemas.openxmlformats.org/officeDocument/2006/relationships/hyperlink" Target="https://learn.microsoft.com/en-us/power-bi/connect-data/incremental-refresh-overview" TargetMode="External"/><Relationship Id="rId7" Type="http://schemas.openxmlformats.org/officeDocument/2006/relationships/image" Target="media/3d69cb134dc824afb5105e3b3cbcc2fda7f57258.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2026-09-20T16:19:06.623Z</dcterms:created>
  <dcterms:modified xsi:type="dcterms:W3CDTF">2026-09-20T16:19:06.623Z</dcterms:modified>
</cp:coreProperties>
</file>

<file path=docProps/custom.xml><?xml version="1.0" encoding="utf-8"?>
<Properties xmlns="http://schemas.openxmlformats.org/officeDocument/2006/custom-properties" xmlns:vt="http://schemas.openxmlformats.org/officeDocument/2006/docPropsVTypes"/>
</file>