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DOCUMENT 15</w:t>
      </w:r>
    </w:p>
    <w:p>
      <w:pPr>
        <w:spacing w:after="60"/>
      </w:pPr>
      <w:r>
        <w:rPr>
          <w:rFonts w:ascii="Times New Roman" w:cs="Times New Roman" w:eastAsia="Times New Roman" w:hAnsi="Times New Roman"/>
          <w:b/>
          <w:bCs/>
          <w:color w:val="1F3864"/>
          <w:sz w:val="38"/>
          <w:szCs w:val="38"/>
        </w:rPr>
        <w:t xml:space="preserve">Report Build Instructions</w:t>
      </w:r>
    </w:p>
    <w:p>
      <w:pPr>
        <w:spacing w:after="120"/>
      </w:pPr>
      <w:r>
        <w:rPr>
          <w:rFonts w:ascii="Times New Roman" w:cs="Times New Roman" w:eastAsia="Times New Roman" w:hAnsi="Times New Roman"/>
          <w:color w:val="2E5496"/>
          <w:sz w:val="25"/>
          <w:szCs w:val="25"/>
        </w:rPr>
        <w:t xml:space="preserve">Every Visual in the Documents 12, 13 and 14 Mockups, Click by Click</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Reports: </w:t>
      </w:r>
      <w:r>
        <w:rPr>
          <w:rFonts w:ascii="Times New Roman" w:cs="Times New Roman" w:eastAsia="Times New Roman" w:hAnsi="Times New Roman"/>
          <w:sz w:val="21"/>
          <w:szCs w:val="21"/>
        </w:rPr>
        <w:t xml:space="preserve">R1 Retail Sector Health · R2 Consumer Stress &amp; Sector Rotation · R3 Assortment &amp; Supplier Analytics — ten pages, eighty-seven visuals, three thin reports on one shared model</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no prior Power BI report-authoring experience assumed. Model-building experience is assumed and is covered by document 02.</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01, 02, 12, 13, 14, 20</w:t>
      </w:r>
    </w:p>
    <w:p>
      <w:pPr>
        <w:spacing w:after="240" w:line="276"/>
      </w:pPr>
      <w:r>
        <w:rPr>
          <w:rFonts w:ascii="Times New Roman" w:cs="Times New Roman" w:eastAsia="Times New Roman" w:hAnsi="Times New Roman"/>
          <w:b/>
          <w:bCs/>
          <w:sz w:val="20"/>
          <w:szCs w:val="20"/>
        </w:rPr>
        <w:t xml:space="preserve">How this document is organised: </w:t>
      </w:r>
      <w:r>
        <w:rPr>
          <w:rFonts w:ascii="Times New Roman" w:cs="Times New Roman" w:eastAsia="Times New Roman" w:hAnsi="Times New Roman"/>
          <w:i/>
          <w:iCs/>
          <w:sz w:val="20"/>
          <w:szCs w:val="20"/>
        </w:rPr>
        <w:t xml:space="preserve">ninety click-by-click recipes would be unusable and mostly identical. Section 4 instead gives ONE full recipe for each of the eleven visual patterns this project uses. Sections 5 to 7 then build each page as a position table — exact X / Y / W / H, the pattern to apply, and only the deltas from it. Build section 4 first and the rest goes quickly.</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Purpose and Prerequisites</w:t>
      </w:r>
    </w:p>
    <w:p>
      <w:pPr>
        <w:spacing w:after="120" w:line="276"/>
      </w:pPr>
      <w:r>
        <w:rPr>
          <w:rFonts w:ascii="Times New Roman" w:cs="Times New Roman" w:eastAsia="Times New Roman" w:hAnsi="Times New Roman"/>
          <w:sz w:val="22"/>
          <w:szCs w:val="22"/>
        </w:rPr>
        <w:t xml:space="preserve">This document is the single source of truth for every visual in the three reports. Sections 5 to 7 state what each visual shows AND how to build it — one row per visual, carrying type, fields, exact position and formatting. Document 01 §6 holds the page inventory and the design rules that shaped these specifications; the documents 12, 13 and 14 mockups show what the finished pages should look like. Open the relevant mockup in a browser on a second screen while you work — the spec numbers match exactly across all four.</w:t>
      </w:r>
    </w:p>
    <w:p>
      <w:pPr>
        <w:spacing w:after="120" w:line="276"/>
      </w:pPr>
      <w:r>
        <w:rPr>
          <w:rFonts w:ascii="Times New Roman" w:cs="Times New Roman" w:eastAsia="Times New Roman" w:hAnsi="Times New Roman"/>
          <w:sz w:val="22"/>
          <w:szCs w:val="22"/>
        </w:rPr>
        <w:t xml:space="preserve">All of the following must be true before starting. They are the exit criteria of document 02.</w:t>
      </w:r>
    </w:p>
    <w:p>
      <w:pPr>
        <w:pStyle w:val="ListParagraph"/>
        <w:numPr>
          <w:ilvl w:val="0"/>
          <w:numId w:val="2"/>
        </w:numPr>
        <w:spacing w:after="60" w:line="276"/>
      </w:pPr>
      <w:r>
        <w:rPr>
          <w:rFonts w:ascii="Times New Roman" w:cs="Times New Roman" w:eastAsia="Times New Roman" w:hAnsi="Times New Roman"/>
          <w:sz w:val="22"/>
          <w:szCs w:val="22"/>
        </w:rPr>
        <w:t xml:space="preserve">The semantic model is built and PUBLISHED to the Power BI Pro workspace. A live connection can only target a model that already exists in the Service.</w:t>
      </w:r>
    </w:p>
    <w:p>
      <w:pPr>
        <w:pStyle w:val="ListParagraph"/>
        <w:numPr>
          <w:ilvl w:val="0"/>
          <w:numId w:val="2"/>
        </w:numPr>
        <w:spacing w:after="60" w:line="276"/>
      </w:pPr>
      <w:r>
        <w:rPr>
          <w:rFonts w:ascii="Times New Roman" w:cs="Times New Roman" w:eastAsia="Times New Roman" w:hAnsi="Times New Roman"/>
          <w:sz w:val="22"/>
          <w:szCs w:val="22"/>
        </w:rPr>
        <w:t xml:space="preserve">All 79 measures compile with no error icons, in ten display folders under _Measures. Document 02 §8 builds them; if any folder is incomplete, finish it there before starting a report.</w:t>
      </w:r>
    </w:p>
    <w:p>
      <w:pPr>
        <w:pStyle w:val="ListParagraph"/>
        <w:numPr>
          <w:ilvl w:val="0"/>
          <w:numId w:val="2"/>
        </w:numPr>
        <w:spacing w:after="60" w:line="276"/>
      </w:pPr>
      <w:r>
        <w:rPr>
          <w:rFonts w:ascii="Times New Roman" w:cs="Times New Roman" w:eastAsia="Times New Roman" w:hAnsi="Times New Roman"/>
          <w:sz w:val="22"/>
          <w:szCs w:val="22"/>
        </w:rPr>
        <w:t xml:space="preserve">DimDate is marked as a date table on DimDate[Date], and the three sort-by columns are set (document 02 §7.3).</w:t>
      </w:r>
    </w:p>
    <w:p>
      <w:pPr>
        <w:pStyle w:val="ListParagraph"/>
        <w:numPr>
          <w:ilvl w:val="0"/>
          <w:numId w:val="2"/>
        </w:numPr>
        <w:spacing w:after="60" w:line="276"/>
      </w:pPr>
      <w:r>
        <w:rPr>
          <w:rFonts w:ascii="Times New Roman" w:cs="Times New Roman" w:eastAsia="Times New Roman" w:hAnsi="Times New Roman"/>
          <w:sz w:val="22"/>
          <w:szCs w:val="22"/>
        </w:rPr>
        <w:t xml:space="preserve">The document 02 §9 validation run passes, particularly check 8 — cases versus dollars separation.</w:t>
      </w:r>
    </w:p>
    <w:p>
      <w:pPr>
        <w:pStyle w:val="ListParagraph"/>
        <w:numPr>
          <w:ilvl w:val="0"/>
          <w:numId w:val="2"/>
        </w:numPr>
        <w:spacing w:after="60" w:line="276"/>
      </w:pPr>
      <w:r>
        <w:rPr>
          <w:rFonts w:ascii="Times New Roman" w:cs="Times New Roman" w:eastAsia="Times New Roman" w:hAnsi="Times New Roman"/>
          <w:sz w:val="22"/>
          <w:szCs w:val="22"/>
        </w:rPr>
        <w:t xml:space="preserve">The theme for THIS report is applied: View ribbon → Themes gallery → dropdown arrow at the right edge of the gallery → Browse for themes → the matching file in theme/ from the repository clone → Open. Each report has its own; §3.3 says which and why it must be done before the first visual.</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Build the model file first, then the reports — never the reverse.  </w:t>
      </w:r>
      <w:r>
        <w:rPr>
          <w:rFonts w:ascii="Times New Roman" w:cs="Times New Roman" w:eastAsia="Times New Roman" w:hAnsi="Times New Roman"/>
          <w:sz w:val="21"/>
          <w:szCs w:val="21"/>
        </w:rPr>
        <w:t xml:space="preserve">Building report pages inside the model file and splitting them afterwards means rebuilding every visual by hand. Document 00 §9.2 and §9.3 cover the file sequence.</w:t>
      </w:r>
    </w:p>
    <w:p>
      <w:pPr>
        <w:pStyle w:val="Heading1"/>
        <w:spacing w:after="160" w:before="360"/>
      </w:pPr>
      <w:r>
        <w:rPr>
          <w:rFonts w:ascii="Times New Roman" w:cs="Times New Roman" w:eastAsia="Times New Roman" w:hAnsi="Times New Roman"/>
          <w:b/>
          <w:bCs/>
          <w:color w:val="1F3864"/>
          <w:sz w:val="30"/>
          <w:szCs w:val="30"/>
        </w:rPr>
        <w:t xml:space="preserve">2. Canvas Fundamentals — Read Once, First</w:t>
      </w:r>
    </w:p>
    <w:p>
      <w:pPr>
        <w:pStyle w:val="Heading2"/>
        <w:spacing w:after="120" w:before="280"/>
      </w:pPr>
      <w:r>
        <w:rPr>
          <w:rFonts w:ascii="Times New Roman" w:cs="Times New Roman" w:eastAsia="Times New Roman" w:hAnsi="Times New Roman"/>
          <w:b/>
          <w:bCs/>
          <w:color w:val="2E5496"/>
          <w:sz w:val="25"/>
          <w:szCs w:val="25"/>
        </w:rPr>
        <w:t xml:space="preserve">2.1 The three panes you will live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Pane</w:t>
            </w:r>
          </w:p>
        </w:tc>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Where</w:t>
            </w:r>
          </w:p>
        </w:tc>
        <w:tc>
          <w:tcPr>
            <w:tcW w:type="dxa" w:w="486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does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(Fields)</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Far right</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Tables, columns and measures from the SHARED model. Expand _Measures to see the ten folders. In a thin report the tables are read-only — that is expected, not a fault.</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Visualizations — Build</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Right of canvas; icon grid at top</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icon grid inserts a visual type; the field wells beneath (X-axis, Y-axis, Values, Rows, Details, Small multiples, Tooltips) receive dragged fields. Hover any icon for its tooltip name — this document refers to icons by those names.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Visualizations — Format</w:t>
            </w:r>
          </w:p>
        </w:tc>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Same pane; paintbrush icon</w:t>
            </w:r>
          </w:p>
        </w:tc>
        <w:tc>
          <w:tcPr>
            <w:tcW w:type="dxa" w:w="486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Two tabs. Visual = settings specific to the chart type (axes, colours, labels, reference lines, small multiples). General = position, size, title, background, effects — identical for every visual. Reference lines and forecast now live under Format → Visual since on-object interactions became the default.</w:t>
            </w:r>
          </w:p>
        </w:tc>
      </w:tr>
    </w:tbl>
    <w:p>
      <w:pPr>
        <w:pStyle w:val="Heading2"/>
        <w:spacing w:after="120" w:before="280"/>
      </w:pPr>
      <w:r>
        <w:rPr>
          <w:rFonts w:ascii="Times New Roman" w:cs="Times New Roman" w:eastAsia="Times New Roman" w:hAnsi="Times New Roman"/>
          <w:b/>
          <w:bCs/>
          <w:color w:val="2E5496"/>
          <w:sz w:val="25"/>
          <w:szCs w:val="25"/>
        </w:rPr>
        <w:t xml:space="preserve">2.2 The seven mechanical skills</w:t>
      </w:r>
    </w:p>
    <w:p>
      <w:pPr>
        <w:pStyle w:val="ListParagraph"/>
        <w:numPr>
          <w:ilvl w:val="0"/>
          <w:numId w:val="3"/>
        </w:numPr>
        <w:spacing w:after="60" w:line="276"/>
      </w:pPr>
      <w:r>
        <w:rPr>
          <w:rFonts w:ascii="Times New Roman" w:cs="Times New Roman" w:eastAsia="Times New Roman" w:hAnsi="Times New Roman"/>
          <w:sz w:val="22"/>
          <w:szCs w:val="22"/>
        </w:rPr>
        <w:t xml:space="preserve">Insert a visual: click an empty spot on the canvas so nothing is selected, then click the visual’s icon. An empty placeholder appears and stays selected.</w:t>
      </w:r>
    </w:p>
    <w:p>
      <w:pPr>
        <w:pStyle w:val="ListParagraph"/>
        <w:numPr>
          <w:ilvl w:val="0"/>
          <w:numId w:val="3"/>
        </w:numPr>
        <w:spacing w:after="60" w:line="276"/>
      </w:pPr>
      <w:r>
        <w:rPr>
          <w:rFonts w:ascii="Times New Roman" w:cs="Times New Roman" w:eastAsia="Times New Roman" w:hAnsi="Times New Roman"/>
          <w:sz w:val="22"/>
          <w:szCs w:val="22"/>
        </w:rPr>
        <w:t xml:space="preserve">Feed it fields: with the visual selected, drag a column or measure from the Data pane into the named well. Dropping onto the visual itself works but Desktop guesses the well — use the wells to stay in control.</w:t>
      </w:r>
    </w:p>
    <w:p>
      <w:pPr>
        <w:pStyle w:val="ListParagraph"/>
        <w:numPr>
          <w:ilvl w:val="0"/>
          <w:numId w:val="3"/>
        </w:numPr>
        <w:spacing w:after="60" w:line="276"/>
      </w:pPr>
      <w:r>
        <w:rPr>
          <w:rFonts w:ascii="Times New Roman" w:cs="Times New Roman" w:eastAsia="Times New Roman" w:hAnsi="Times New Roman"/>
          <w:sz w:val="22"/>
          <w:szCs w:val="22"/>
        </w:rPr>
        <w:t xml:space="preserve">Position and size exactly: Format → General tab → Properties → expand Position and Size → type the numbers. Horizontal position = X in pixels from the left edge, Vertical = Y from the top. Every visual in this document has exact values; type them rather than dragging and the pages will match the mockups precisely.</w:t>
      </w:r>
    </w:p>
    <w:p>
      <w:pPr>
        <w:pStyle w:val="ListParagraph"/>
        <w:numPr>
          <w:ilvl w:val="0"/>
          <w:numId w:val="3"/>
        </w:numPr>
        <w:spacing w:after="60" w:line="276"/>
      </w:pPr>
      <w:r>
        <w:rPr>
          <w:rFonts w:ascii="Times New Roman" w:cs="Times New Roman" w:eastAsia="Times New Roman" w:hAnsi="Times New Roman"/>
          <w:sz w:val="22"/>
          <w:szCs w:val="22"/>
        </w:rPr>
        <w:t xml:space="preserve">Title a visual: Format → General → Title → toggle On → Text: type the title. Font size 12, Bold, colour #252423 unless stated otherwise.</w:t>
      </w:r>
    </w:p>
    <w:p>
      <w:pPr>
        <w:pStyle w:val="ListParagraph"/>
        <w:numPr>
          <w:ilvl w:val="0"/>
          <w:numId w:val="3"/>
        </w:numPr>
        <w:spacing w:after="60" w:line="276"/>
      </w:pPr>
      <w:r>
        <w:rPr>
          <w:rFonts w:ascii="Times New Roman" w:cs="Times New Roman" w:eastAsia="Times New Roman" w:hAnsi="Times New Roman"/>
          <w:sz w:val="22"/>
          <w:szCs w:val="22"/>
        </w:rPr>
        <w:t xml:space="preserve">Conditional formatting (the fx dialog): wherever a small fx button sits beside a colour setting, clicking it opens the dialog. Choose Format style — this document uses Rules, Gradient or Field value — then the field to base it on, then build rule rows. Enter percentages as DECIMALS: 1 means 100%, 0.5 means 50%. This is the single most common mistake in this build.</w:t>
      </w:r>
    </w:p>
    <w:p>
      <w:pPr>
        <w:pStyle w:val="ListParagraph"/>
        <w:numPr>
          <w:ilvl w:val="0"/>
          <w:numId w:val="3"/>
        </w:numPr>
        <w:spacing w:after="60" w:line="276"/>
      </w:pPr>
      <w:r>
        <w:rPr>
          <w:rFonts w:ascii="Times New Roman" w:cs="Times New Roman" w:eastAsia="Times New Roman" w:hAnsi="Times New Roman"/>
          <w:sz w:val="22"/>
          <w:szCs w:val="22"/>
        </w:rPr>
        <w:t xml:space="preserve">Copy between pages: select a visual, or Ctrl+click several → Ctrl+C → switch page tab → Ctrl+V. Pasted visuals keep exact positions. This is how the header band replicates across ten pages.</w:t>
      </w:r>
    </w:p>
    <w:p>
      <w:pPr>
        <w:pStyle w:val="ListParagraph"/>
        <w:numPr>
          <w:ilvl w:val="0"/>
          <w:numId w:val="3"/>
        </w:numPr>
        <w:spacing w:after="60" w:line="276"/>
      </w:pPr>
      <w:r>
        <w:rPr>
          <w:rFonts w:ascii="Times New Roman" w:cs="Times New Roman" w:eastAsia="Times New Roman" w:hAnsi="Times New Roman"/>
          <w:sz w:val="22"/>
          <w:szCs w:val="22"/>
        </w:rPr>
        <w:t xml:space="preserve">Set a continuous axis: Format → Visual → X-axis → Type → Continuous. Only available when the X field is a date or a number. This is what unlocks X-axis constant lines, and several visuals here depend on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Two habits that prevent most beginner confusion</w:t>
            </w:r>
          </w:p>
          <w:p>
            <w:pPr>
              <w:spacing w:after="100" w:line="276"/>
            </w:pPr>
            <w:r>
              <w:rPr>
                <w:rFonts w:ascii="Times New Roman" w:cs="Times New Roman" w:eastAsia="Times New Roman" w:hAnsi="Times New Roman"/>
                <w:sz w:val="21"/>
                <w:szCs w:val="21"/>
              </w:rPr>
              <w:t xml:space="preserve">Selection determines everything. The Format pane always shows settings for whatever is selected. If the settings look wrong, check what is selected — the visual’s border shows handles. Click empty canvas to deselect.</w:t>
            </w:r>
          </w:p>
          <w:p>
            <w:pPr>
              <w:spacing w:after="0" w:line="276"/>
            </w:pPr>
            <w:r>
              <w:rPr>
                <w:rFonts w:ascii="Times New Roman" w:cs="Times New Roman" w:eastAsia="Times New Roman" w:hAnsi="Times New Roman"/>
                <w:sz w:val="21"/>
                <w:szCs w:val="21"/>
              </w:rPr>
              <w:t xml:space="preserve">Visual versus General tab. If you cannot find a setting, you are on the wrong tab. Position, size, title, background, shadow are General. Axes, colours, labels, reference lines, small multiples are Visual.</w:t>
            </w:r>
          </w:p>
        </w:tc>
      </w:tr>
    </w:tbl>
    <w:p>
      <w:pPr>
        <w:pStyle w:val="Heading2"/>
        <w:spacing w:after="120" w:before="280"/>
      </w:pPr>
      <w:r>
        <w:rPr>
          <w:rFonts w:ascii="Times New Roman" w:cs="Times New Roman" w:eastAsia="Times New Roman" w:hAnsi="Times New Roman"/>
          <w:b/>
          <w:bCs/>
          <w:color w:val="2E5496"/>
          <w:sz w:val="25"/>
          <w:szCs w:val="25"/>
        </w:rPr>
        <w:t xml:space="preserve">2.3 What is different in a thin report</w:t>
      </w:r>
    </w:p>
    <w:p>
      <w:pPr>
        <w:spacing w:after="120" w:line="276"/>
      </w:pPr>
      <w:r>
        <w:rPr>
          <w:rFonts w:ascii="Times New Roman" w:cs="Times New Roman" w:eastAsia="Times New Roman" w:hAnsi="Times New Roman"/>
          <w:sz w:val="22"/>
          <w:szCs w:val="22"/>
        </w:rPr>
        <w:t xml:space="preserve">These three reports have no data model of their own. That changes a few things and it is worth knowing which, so that a disabled button does not read as a broken 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5242"/>
      </w:tblGrid>
      <w:tr>
        <w:trPr>
          <w:tblHeader/>
        </w:trPr>
        <w:tc>
          <w:tcPr>
            <w:tcW w:type="dxa" w:w="411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Available</w:t>
            </w:r>
          </w:p>
        </w:tc>
        <w:tc>
          <w:tcPr>
            <w:tcW w:type="dxa" w:w="52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 available</w:t>
            </w:r>
          </w:p>
        </w:tc>
      </w:tr>
      <w:tr>
        <w:trPr>
          <w:cantSplit/>
        </w:trPr>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Report-level measures (Modeling → New measure)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Editing any measure that came from the shared model</w:t>
            </w:r>
          </w:p>
        </w:tc>
      </w:tr>
      <w:tr>
        <w:trPr>
          <w:cantSplit/>
        </w:trPr>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Calculated columns and tables, local to this report</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Adding columns or tables to the shared model</w:t>
            </w:r>
          </w:p>
        </w:tc>
      </w:tr>
      <w:tr>
        <w:trPr>
          <w:cantSplit/>
        </w:trPr>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 calculations</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Query — the Transform data button is gone</w:t>
            </w:r>
          </w:p>
        </w:tc>
      </w:tr>
      <w:tr>
        <w:trPr>
          <w:cantSplit/>
        </w:trPr>
        <w:tc>
          <w:tcPr>
            <w:tcW w:type="dxa" w:w="411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formatting, all interactions, all bookmarks</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Changing data types, relationships or storage mode</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Do not create report-level measures in these reports.  </w:t>
      </w:r>
      <w:r>
        <w:rPr>
          <w:rFonts w:ascii="Times New Roman" w:cs="Times New Roman" w:eastAsia="Times New Roman" w:hAnsi="Times New Roman"/>
          <w:sz w:val="21"/>
          <w:szCs w:val="21"/>
        </w:rPr>
        <w:t xml:space="preserve">Everything the three reports need already exists in the shared model. A measure created here exists only in this one report, which is precisely the divergence the shared-model architecture prevents. If a measure is missing, add it to the model file and republish — document 00 §9.2.</w:t>
      </w:r>
    </w:p>
    <w:p>
      <w:pPr>
        <w:pStyle w:val="Heading1"/>
        <w:spacing w:after="160" w:before="360"/>
      </w:pPr>
      <w:r>
        <w:rPr>
          <w:rFonts w:ascii="Times New Roman" w:cs="Times New Roman" w:eastAsia="Times New Roman" w:hAnsi="Times New Roman"/>
          <w:b/>
          <w:bCs/>
          <w:color w:val="1F3864"/>
          <w:sz w:val="30"/>
          <w:szCs w:val="30"/>
        </w:rPr>
        <w:t xml:space="preserve">3. Shared Layout System</w:t>
      </w:r>
    </w:p>
    <w:p>
      <w:pPr>
        <w:spacing w:after="120" w:line="276"/>
      </w:pPr>
      <w:r>
        <w:rPr>
          <w:rFonts w:ascii="Times New Roman" w:cs="Times New Roman" w:eastAsia="Times New Roman" w:hAnsi="Times New Roman"/>
          <w:sz w:val="22"/>
          <w:szCs w:val="22"/>
        </w:rPr>
        <w:t xml:space="preserve">Canvas is the default 16:9 at 1,280 × 720 px. Verify on every new page: click empty canvas → Format page → Canvas settings → Type: 16:9. Every coordinate in this document assumes it.</w:t>
      </w:r>
    </w:p>
    <w:p>
      <w:pPr>
        <w:pStyle w:val="Heading2"/>
        <w:spacing w:after="120" w:before="280"/>
      </w:pPr>
      <w:r>
        <w:rPr>
          <w:rFonts w:ascii="Times New Roman" w:cs="Times New Roman" w:eastAsia="Times New Roman" w:hAnsi="Times New Roman"/>
          <w:b/>
          <w:bCs/>
          <w:color w:val="2E5496"/>
          <w:sz w:val="25"/>
          <w:szCs w:val="25"/>
        </w:rPr>
        <w:t xml:space="preserve">3.1 Palette</w:t>
      </w:r>
    </w:p>
    <w:p>
      <w:pPr>
        <w:spacing w:after="120" w:line="276"/>
      </w:pPr>
      <w:r>
        <w:rPr>
          <w:rFonts w:ascii="Times New Roman" w:cs="Times New Roman" w:eastAsia="Times New Roman" w:hAnsi="Times New Roman"/>
          <w:i/>
          <w:iCs/>
          <w:sz w:val="22"/>
          <w:szCs w:val="22"/>
        </w:rPr>
        <w:t xml:space="preserve">These colours are set by the report theme, not visual by visual — see §3.3. The table is here because you still need the hex values for the cases where a spec row names one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93"/>
        <w:gridCol w:w="1685"/>
        <w:gridCol w:w="3182"/>
      </w:tblGrid>
      <w:tr>
        <w:trPr>
          <w:tblHeader/>
        </w:trPr>
        <w:tc>
          <w:tcPr>
            <w:tcW w:type="dxa" w:w="449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Use</w:t>
            </w:r>
          </w:p>
        </w:tc>
        <w:tc>
          <w:tcPr>
            <w:tcW w:type="dxa" w:w="168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Hex</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Notes</w:t>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Primary series, header band, columns at or above a reference</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#1F3864 (navy)</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default for any single-series visual</w:t>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Secondary series, data bars, sparklines</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#2E74B5 (blue)</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Comparison series, real/deflated series</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#1B9E8F (teal)</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Used wherever a real series sits against a nominal one</w:t>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Markers, thresholds, warning states</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#C8860A (amber)</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Also the Mar-2020 reference line on every channel visual</w:t>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Negative, at-risk, below threshold</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#C0392B (red)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Positive, above threshold</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#1E7B34 (green)</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Muted series, below-reference columns</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#B3B0AD (gray)</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Canvas background</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#FAFAFA</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page → Canvas background → colour, transparency 0%</w:t>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 background</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#FFFFFF</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 General → Effects → Background, transparency 0%</w:t>
            </w:r>
          </w:p>
        </w:tc>
      </w:tr>
      <w:tr>
        <w:trPr>
          <w:cantSplit/>
        </w:trPr>
        <w:tc>
          <w:tcPr>
            <w:tcW w:type="dxa" w:w="449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Borders</w:t>
            </w:r>
          </w:p>
        </w:tc>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#E1DFDD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 General → Effects → Visual border, rounded corners 6 px</w:t>
            </w:r>
          </w:p>
        </w:tc>
      </w:tr>
    </w:tbl>
    <w:p>
      <w:pPr>
        <w:pStyle w:val="Heading2"/>
        <w:spacing w:after="120" w:before="280"/>
      </w:pPr>
      <w:r>
        <w:rPr>
          <w:rFonts w:ascii="Times New Roman" w:cs="Times New Roman" w:eastAsia="Times New Roman" w:hAnsi="Times New Roman"/>
          <w:b/>
          <w:bCs/>
          <w:color w:val="2E5496"/>
          <w:sz w:val="25"/>
          <w:szCs w:val="25"/>
        </w:rPr>
        <w:t xml:space="preserve">3.2 The header band — build once, copy nine times</w:t>
      </w:r>
    </w:p>
    <w:p>
      <w:pPr>
        <w:pStyle w:val="ListParagraph"/>
        <w:numPr>
          <w:ilvl w:val="0"/>
          <w:numId w:val="4"/>
        </w:numPr>
        <w:spacing w:after="60" w:line="276"/>
      </w:pPr>
      <w:r>
        <w:rPr>
          <w:rFonts w:ascii="Times New Roman" w:cs="Times New Roman" w:eastAsia="Times New Roman" w:hAnsi="Times New Roman"/>
          <w:sz w:val="22"/>
          <w:szCs w:val="22"/>
        </w:rPr>
        <w:t xml:space="preserve">Rename the page: double-click the page tab at the bottom and type the page name.</w:t>
      </w:r>
    </w:p>
    <w:p>
      <w:pPr>
        <w:pStyle w:val="ListParagraph"/>
        <w:numPr>
          <w:ilvl w:val="0"/>
          <w:numId w:val="4"/>
        </w:numPr>
        <w:spacing w:after="60" w:line="276"/>
      </w:pPr>
      <w:r>
        <w:rPr>
          <w:rFonts w:ascii="Times New Roman" w:cs="Times New Roman" w:eastAsia="Times New Roman" w:hAnsi="Times New Roman"/>
          <w:sz w:val="22"/>
          <w:szCs w:val="22"/>
        </w:rPr>
        <w:t xml:space="preserve">Band rectangle: Insert ribbon → Shapes → Rectangle. Position X 0, Y 0, W 1280, H 72. Format → Visual → Style → Fill #1F3864, transparency 0%; Border Off; Rounded corners 6 px.</w:t>
      </w:r>
    </w:p>
    <w:p>
      <w:pPr>
        <w:pStyle w:val="ListParagraph"/>
        <w:numPr>
          <w:ilvl w:val="0"/>
          <w:numId w:val="4"/>
        </w:numPr>
        <w:spacing w:after="60" w:line="276"/>
      </w:pPr>
      <w:r>
        <w:rPr>
          <w:rFonts w:ascii="Times New Roman" w:cs="Times New Roman" w:eastAsia="Times New Roman" w:hAnsi="Times New Roman"/>
          <w:sz w:val="22"/>
          <w:szCs w:val="22"/>
        </w:rPr>
        <w:t xml:space="preserve">Title text box: Insert → Text box. Line 1 the page name (Segoe UI Semibold, 17 pt, #FFFFFF), line 2 the subtitle (10 pt, #B9C7DE). Position X 16, Y 8, W 520, H 56. Format → General → Effects → Background Off.</w:t>
      </w:r>
    </w:p>
    <w:p>
      <w:pPr>
        <w:pStyle w:val="ListParagraph"/>
        <w:numPr>
          <w:ilvl w:val="0"/>
          <w:numId w:val="4"/>
        </w:numPr>
        <w:spacing w:after="60" w:line="276"/>
      </w:pPr>
      <w:r>
        <w:rPr>
          <w:rFonts w:ascii="Times New Roman" w:cs="Times New Roman" w:eastAsia="Times New Roman" w:hAnsi="Times New Roman"/>
          <w:sz w:val="22"/>
          <w:szCs w:val="22"/>
        </w:rPr>
        <w:t xml:space="preserve">Page navigation buttons: Insert → Buttons → Blank, three of them (or four on R3). Text = the page short names. Format → Visual → Style → apply state Default: fill #33507F, text #CBD8EC; state Selected: fill #C8860A, text #FFFFFF. Action → Type: Page navigation → Destination: the target page. Position them from X 700, Y 20, W 76, H 32, spaced 4 px apart.</w:t>
      </w:r>
    </w:p>
    <w:p>
      <w:pPr>
        <w:pStyle w:val="ListParagraph"/>
        <w:numPr>
          <w:ilvl w:val="0"/>
          <w:numId w:val="4"/>
        </w:numPr>
        <w:spacing w:after="60" w:line="276"/>
      </w:pPr>
      <w:r>
        <w:rPr>
          <w:rFonts w:ascii="Times New Roman" w:cs="Times New Roman" w:eastAsia="Times New Roman" w:hAnsi="Times New Roman"/>
          <w:sz w:val="22"/>
          <w:szCs w:val="22"/>
        </w:rPr>
        <w:t xml:space="preserve">Date slicer: Slicer → drag DimDate[Date] into Field. Style defaults to Between for a date column. Position X 1032, Y 14, W 232, H 44. Background Off.</w:t>
      </w:r>
    </w:p>
    <w:p>
      <w:pPr>
        <w:pStyle w:val="ListParagraph"/>
        <w:numPr>
          <w:ilvl w:val="0"/>
          <w:numId w:val="4"/>
        </w:numPr>
        <w:spacing w:after="60" w:line="276"/>
      </w:pPr>
      <w:r>
        <w:rPr>
          <w:rFonts w:ascii="Times New Roman" w:cs="Times New Roman" w:eastAsia="Times New Roman" w:hAnsi="Times New Roman"/>
          <w:sz w:val="22"/>
          <w:szCs w:val="22"/>
        </w:rPr>
        <w:t xml:space="preserve">Select every header element with Ctrl+click → Ctrl+C. Paste onto each new page as you create it, then edit only the title text and the Selected-state button.</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Sync the date slicer, nothing else.  </w:t>
      </w:r>
      <w:r>
        <w:rPr>
          <w:rFonts w:ascii="Times New Roman" w:cs="Times New Roman" w:eastAsia="Times New Roman" w:hAnsi="Times New Roman"/>
          <w:sz w:val="21"/>
          <w:szCs w:val="21"/>
        </w:rPr>
        <w:t xml:space="preserve">Select the date slicer → View ribbon → Sync slicers → tick Sync and Visible for every page IN THIS REPORT. Do not sync the category, item-type or supplier slicers: they answer page-specific questions and syncing them makes a page silently inherit a filter the reader cannot see.</w:t>
      </w:r>
    </w:p>
    <w:p>
      <w:pPr>
        <w:pStyle w:val="Heading2"/>
        <w:spacing w:after="120" w:before="280"/>
      </w:pPr>
      <w:r>
        <w:rPr>
          <w:rFonts w:ascii="Times New Roman" w:cs="Times New Roman" w:eastAsia="Times New Roman" w:hAnsi="Times New Roman"/>
          <w:b/>
          <w:bCs/>
          <w:color w:val="2E5496"/>
          <w:sz w:val="25"/>
          <w:szCs w:val="25"/>
        </w:rPr>
        <w:t xml:space="preserve">3.3 Report Theme — Apply Before the First Visual</w:t>
      </w:r>
    </w:p>
    <w:p>
      <w:pPr>
        <w:spacing w:after="120" w:line="276"/>
      </w:pPr>
      <w:r>
        <w:rPr>
          <w:rFonts w:ascii="Times New Roman" w:cs="Times New Roman" w:eastAsia="Times New Roman" w:hAnsi="Times New Roman"/>
          <w:sz w:val="22"/>
          <w:szCs w:val="22"/>
        </w:rPr>
        <w:t xml:space="preserve">Each report has its own theme file in theme/. Apply it as the first action after creating the report file and before placing a single visual. Order matters: a theme sets defaults, and it does not overwrite a property that has already been set by hand. Applying it afterwards leaves a report that is half themed and half hand-formatted, and the difference is almost impossible to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808"/>
        <w:gridCol w:w="3370"/>
      </w:tblGrid>
      <w:tr>
        <w:trPr>
          <w:tblHeader/>
        </w:trPr>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Theme file</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adds beyond the shared palette</w:t>
            </w:r>
          </w:p>
        </w:tc>
      </w:tr>
      <w:tr>
        <w:trPr>
          <w:cantSplit/>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 Retail Sector Health</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R1_Retail_Sector_Health.json</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and combo stroke weight 3, markers off, KPI card callout 28 pt</w:t>
            </w:r>
          </w:p>
        </w:tc>
      </w:tr>
      <w:tr>
        <w:trPr>
          <w:cantSplit/>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 Consumer Stress</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R2_Consumer_Stress.json</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Diverging scale red · neutral · green, stacked-area stroke and transparency</w:t>
            </w:r>
          </w:p>
        </w:tc>
      </w:tr>
      <w:tr>
        <w:trPr>
          <w:cantSplit/>
        </w:trPr>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 Assortment and Supplier</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R3_Assortment_Supplier.json</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Scatter bubble size and fill, legend off on scatter, Pareto combo defaults</w:t>
            </w:r>
          </w:p>
        </w:tc>
      </w:tr>
    </w:tbl>
    <w:p>
      <w:pPr>
        <w:spacing w:after="200" w:before="40"/>
      </w:pPr>
      <w:r>
        <w:rPr>
          <w:rFonts w:ascii="Times New Roman" w:cs="Times New Roman" w:eastAsia="Times New Roman" w:hAnsi="Times New Roman"/>
          <w:i/>
          <w:iCs/>
          <w:color w:val="595959"/>
          <w:sz w:val="19"/>
          <w:szCs w:val="19"/>
        </w:rPr>
        <w:t xml:space="preserve">Table 3.1 — Theme file per report. Power BI applies exactly one theme JSON to a report and themes cannot inherit, so each file is complete rather than a patch on a shared base.</w:t>
      </w:r>
    </w:p>
    <w:p>
      <w:pPr>
        <w:pStyle w:val="ListParagraph"/>
        <w:numPr>
          <w:ilvl w:val="0"/>
          <w:numId w:val="5"/>
        </w:numPr>
        <w:spacing w:after="60" w:line="276"/>
      </w:pPr>
      <w:r>
        <w:rPr>
          <w:rFonts w:ascii="Times New Roman" w:cs="Times New Roman" w:eastAsia="Times New Roman" w:hAnsi="Times New Roman"/>
          <w:sz w:val="22"/>
          <w:szCs w:val="22"/>
        </w:rPr>
        <w:t xml:space="preserve">Open the report file in Power BI Desktop.</w:t>
      </w:r>
    </w:p>
    <w:p>
      <w:pPr>
        <w:pStyle w:val="ListParagraph"/>
        <w:numPr>
          <w:ilvl w:val="0"/>
          <w:numId w:val="5"/>
        </w:numPr>
        <w:spacing w:after="60" w:line="276"/>
      </w:pPr>
      <w:r>
        <w:rPr>
          <w:rFonts w:ascii="Times New Roman" w:cs="Times New Roman" w:eastAsia="Times New Roman" w:hAnsi="Times New Roman"/>
          <w:sz w:val="22"/>
          <w:szCs w:val="22"/>
        </w:rPr>
        <w:t xml:space="preserve">View ribbon → Themes → the dropdown arrow → Browse for themes.</w:t>
      </w:r>
    </w:p>
    <w:p>
      <w:pPr>
        <w:pStyle w:val="ListParagraph"/>
        <w:numPr>
          <w:ilvl w:val="0"/>
          <w:numId w:val="5"/>
        </w:numPr>
        <w:spacing w:after="60" w:line="276"/>
      </w:pPr>
      <w:r>
        <w:rPr>
          <w:rFonts w:ascii="Times New Roman" w:cs="Times New Roman" w:eastAsia="Times New Roman" w:hAnsi="Times New Roman"/>
          <w:sz w:val="22"/>
          <w:szCs w:val="22"/>
        </w:rPr>
        <w:t xml:space="preserve">Select the file for this report from theme/ in the clone. Do not point at another report’s file — they differ.</w:t>
      </w:r>
    </w:p>
    <w:p>
      <w:pPr>
        <w:pStyle w:val="ListParagraph"/>
        <w:numPr>
          <w:ilvl w:val="0"/>
          <w:numId w:val="5"/>
        </w:numPr>
        <w:spacing w:after="60" w:line="276"/>
      </w:pPr>
      <w:r>
        <w:rPr>
          <w:rFonts w:ascii="Times New Roman" w:cs="Times New Roman" w:eastAsia="Times New Roman" w:hAnsi="Times New Roman"/>
          <w:sz w:val="22"/>
          <w:szCs w:val="22"/>
        </w:rPr>
        <w:t xml:space="preserve">Confirm the theme name appears in the Themes gallery as the selected theme. The name inside each file starts “Retail Sector Health -” followed by the report.</w:t>
      </w:r>
    </w:p>
    <w:p>
      <w:pPr>
        <w:pStyle w:val="Heading3"/>
        <w:spacing w:after="100" w:before="220"/>
      </w:pPr>
      <w:r>
        <w:rPr>
          <w:rFonts w:ascii="Times New Roman" w:cs="Times New Roman" w:eastAsia="Times New Roman" w:hAnsi="Times New Roman"/>
          <w:b/>
          <w:bCs/>
          <w:color w:val="404040"/>
          <w:sz w:val="23"/>
          <w:szCs w:val="23"/>
        </w:rPr>
        <w:t xml:space="preserve">What the theme sets — do not set these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3182"/>
        <w:gridCol w:w="3744"/>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Area</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Set by the theme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that means when you build</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Series colour</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dataColors, in order</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first series in any visual is navy, the second blue, the third teal. Only re-colour a series where a spec row names a specific hex</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Conditional extremes</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good, neutral, bad, minimum, center, maximum</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Matrix and card conditional formatting pick these up as defaults. A spec row that names different colours still overrides them</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Text</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twelve text classes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Title, header, label and callout fonts, sizes and colours. Do not set a font on a visual</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 chrome</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Background, border, visual header</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White fill, #E1DFDD border with 6 px rounding, header hidden. The chrome instructions in §2.2 are still worth reading; you just will not have to repeat them</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Axes and gridlines</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 and value axis labels, gridline colour and dotted style, axis titles off</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Set axis ranges, constant lines and number formats by hand — the theme cannot know them</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Legend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Position Top, title off</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Move or hide a legend only where a spec row says to</w:t>
            </w:r>
          </w:p>
        </w:tc>
      </w:tr>
    </w:tbl>
    <w:p>
      <w:pPr>
        <w:spacing w:after="200" w:before="40"/>
      </w:pPr>
      <w:r>
        <w:rPr>
          <w:rFonts w:ascii="Times New Roman" w:cs="Times New Roman" w:eastAsia="Times New Roman" w:hAnsi="Times New Roman"/>
          <w:i/>
          <w:iCs/>
          <w:color w:val="595959"/>
          <w:sz w:val="19"/>
          <w:szCs w:val="19"/>
        </w:rPr>
        <w:t xml:space="preserve">Table 3.2 — Theme-set properties. Everything not in this table is still specified visual by visual in §5 to §7.</w:t>
      </w:r>
    </w:p>
    <w:p>
      <w:pPr>
        <w:pStyle w:val="Heading3"/>
        <w:spacing w:after="100" w:before="220"/>
      </w:pPr>
      <w:r>
        <w:rPr>
          <w:rFonts w:ascii="Times New Roman" w:cs="Times New Roman" w:eastAsia="Times New Roman" w:hAnsi="Times New Roman"/>
          <w:b/>
          <w:bCs/>
          <w:color w:val="404040"/>
          <w:sz w:val="23"/>
          <w:szCs w:val="23"/>
        </w:rPr>
        <w:t xml:space="preserve">What the theme cannot set</w:t>
      </w:r>
    </w:p>
    <w:p>
      <w:pPr>
        <w:pStyle w:val="ListParagraph"/>
        <w:numPr>
          <w:ilvl w:val="0"/>
          <w:numId w:val="2"/>
        </w:numPr>
        <w:spacing w:after="60" w:line="276"/>
      </w:pPr>
      <w:r>
        <w:rPr>
          <w:rFonts w:ascii="Times New Roman" w:cs="Times New Roman" w:eastAsia="Times New Roman" w:hAnsi="Times New Roman"/>
          <w:sz w:val="22"/>
          <w:szCs w:val="22"/>
        </w:rPr>
        <w:t xml:space="preserve">Position and size. Every X · Y · W · H in this document is set by hand or typed into Format → General → Properties.</w:t>
      </w:r>
    </w:p>
    <w:p>
      <w:pPr>
        <w:pStyle w:val="ListParagraph"/>
        <w:numPr>
          <w:ilvl w:val="0"/>
          <w:numId w:val="2"/>
        </w:numPr>
        <w:spacing w:after="60" w:line="276"/>
      </w:pPr>
      <w:r>
        <w:rPr>
          <w:rFonts w:ascii="Times New Roman" w:cs="Times New Roman" w:eastAsia="Times New Roman" w:hAnsi="Times New Roman"/>
          <w:sz w:val="22"/>
          <w:szCs w:val="22"/>
        </w:rPr>
        <w:t xml:space="preserve">Fields. Which column goes on which axis is the specification, not a default.</w:t>
      </w:r>
    </w:p>
    <w:p>
      <w:pPr>
        <w:pStyle w:val="ListParagraph"/>
        <w:numPr>
          <w:ilvl w:val="0"/>
          <w:numId w:val="2"/>
        </w:numPr>
        <w:spacing w:after="60" w:line="276"/>
      </w:pPr>
      <w:r>
        <w:rPr>
          <w:rFonts w:ascii="Times New Roman" w:cs="Times New Roman" w:eastAsia="Times New Roman" w:hAnsi="Times New Roman"/>
          <w:sz w:val="22"/>
          <w:szCs w:val="22"/>
        </w:rPr>
        <w:t xml:space="preserve">Axis ranges, constant lines, reference lines and their labels — including every Y-axis constant line at 0 and the Mar-2020 marker.</w:t>
      </w:r>
    </w:p>
    <w:p>
      <w:pPr>
        <w:pStyle w:val="ListParagraph"/>
        <w:numPr>
          <w:ilvl w:val="0"/>
          <w:numId w:val="2"/>
        </w:numPr>
        <w:spacing w:after="60" w:line="276"/>
      </w:pPr>
      <w:r>
        <w:rPr>
          <w:rFonts w:ascii="Times New Roman" w:cs="Times New Roman" w:eastAsia="Times New Roman" w:hAnsi="Times New Roman"/>
          <w:sz w:val="22"/>
          <w:szCs w:val="22"/>
        </w:rPr>
        <w:t xml:space="preserve">Number formats. These come from the model, set once per measure; see document 20.</w:t>
      </w:r>
    </w:p>
    <w:p>
      <w:pPr>
        <w:pStyle w:val="ListParagraph"/>
        <w:numPr>
          <w:ilvl w:val="0"/>
          <w:numId w:val="2"/>
        </w:numPr>
        <w:spacing w:after="60" w:line="276"/>
      </w:pPr>
      <w:r>
        <w:rPr>
          <w:rFonts w:ascii="Times New Roman" w:cs="Times New Roman" w:eastAsia="Times New Roman" w:hAnsi="Times New Roman"/>
          <w:sz w:val="22"/>
          <w:szCs w:val="22"/>
        </w:rPr>
        <w:t xml:space="preserve">Anything a spec row names explicitly. A named hex in §5 to §7 beats the theme, always.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A theme key Power BI does not recognise is ignored in silence.  </w:t>
      </w:r>
      <w:r>
        <w:rPr>
          <w:rFonts w:ascii="Times New Roman" w:cs="Times New Roman" w:eastAsia="Times New Roman" w:hAnsi="Times New Roman"/>
          <w:sz w:val="21"/>
          <w:szCs w:val="21"/>
        </w:rPr>
        <w:t xml:space="preserve">No error, no warning, no entry in any log — the property simply keeps its default. That is why the check below is visual rather than mechanical, and why a theme is never assumed to have worked because the file loaded.</w:t>
      </w:r>
    </w:p>
    <w:p>
      <w:pPr>
        <w:pStyle w:val="Heading3"/>
        <w:spacing w:after="100" w:before="220"/>
      </w:pPr>
      <w:r>
        <w:rPr>
          <w:rFonts w:ascii="Times New Roman" w:cs="Times New Roman" w:eastAsia="Times New Roman" w:hAnsi="Times New Roman"/>
          <w:b/>
          <w:bCs/>
          <w:color w:val="404040"/>
          <w:sz w:val="23"/>
          <w:szCs w:val="23"/>
        </w:rPr>
        <w:t xml:space="preserve">Verify the theme applied — three checks, thirty seconds</w:t>
      </w:r>
    </w:p>
    <w:p>
      <w:pPr>
        <w:pStyle w:val="ListParagraph"/>
        <w:numPr>
          <w:ilvl w:val="0"/>
          <w:numId w:val="6"/>
        </w:numPr>
        <w:spacing w:after="60" w:line="276"/>
      </w:pPr>
      <w:r>
        <w:rPr>
          <w:rFonts w:ascii="Times New Roman" w:cs="Times New Roman" w:eastAsia="Times New Roman" w:hAnsi="Times New Roman"/>
          <w:sz w:val="22"/>
          <w:szCs w:val="22"/>
        </w:rPr>
        <w:t xml:space="preserve">Drop any line chart onto a blank page with two series. The first line must be navy #1F3864 and the second blue #2E74B5, with no markers and a stroke noticeably heavier than the Power BI default. If the lines are the default blue and orange, the theme did not apply.</w:t>
      </w:r>
    </w:p>
    <w:p>
      <w:pPr>
        <w:pStyle w:val="ListParagraph"/>
        <w:numPr>
          <w:ilvl w:val="0"/>
          <w:numId w:val="6"/>
        </w:numPr>
        <w:spacing w:after="60" w:line="276"/>
      </w:pPr>
      <w:r>
        <w:rPr>
          <w:rFonts w:ascii="Times New Roman" w:cs="Times New Roman" w:eastAsia="Times New Roman" w:hAnsi="Times New Roman"/>
          <w:sz w:val="22"/>
          <w:szCs w:val="22"/>
        </w:rPr>
        <w:t xml:space="preserve">Look at the visual border: a thin #E1DFDD line with rounded corners, and no visual header showing on hover. If the corners are square, the border block was ignored.</w:t>
      </w:r>
    </w:p>
    <w:p>
      <w:pPr>
        <w:pStyle w:val="ListParagraph"/>
        <w:numPr>
          <w:ilvl w:val="0"/>
          <w:numId w:val="6"/>
        </w:numPr>
        <w:spacing w:after="60" w:line="276"/>
      </w:pPr>
      <w:r>
        <w:rPr>
          <w:rFonts w:ascii="Times New Roman" w:cs="Times New Roman" w:eastAsia="Times New Roman" w:hAnsi="Times New Roman"/>
          <w:sz w:val="22"/>
          <w:szCs w:val="22"/>
        </w:rPr>
        <w:t xml:space="preserve">Check the page background is #FAFAFA against a white visual fill. If the page is white, the theme did not apply — or the page has a background set by hand that is overriding it.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Re-apply the theme after any edit to the JSON.  </w:t>
      </w:r>
      <w:r>
        <w:rPr>
          <w:rFonts w:ascii="Times New Roman" w:cs="Times New Roman" w:eastAsia="Times New Roman" w:hAnsi="Times New Roman"/>
          <w:sz w:val="21"/>
          <w:szCs w:val="21"/>
        </w:rPr>
        <w:t xml:space="preserve">Power BI embeds a copy of the theme in the report file at the moment it is applied. Editing the file in theme/ afterwards changes nothing until you browse to it again. This is the single most common reason a theme change “does not work”.</w:t>
      </w:r>
    </w:p>
    <w:p>
      <w:pPr>
        <w:pStyle w:val="Heading1"/>
        <w:spacing w:after="160" w:before="360"/>
      </w:pPr>
      <w:r>
        <w:rPr>
          <w:rFonts w:ascii="Times New Roman" w:cs="Times New Roman" w:eastAsia="Times New Roman" w:hAnsi="Times New Roman"/>
          <w:b/>
          <w:bCs/>
          <w:color w:val="1F3864"/>
          <w:sz w:val="30"/>
          <w:szCs w:val="30"/>
        </w:rPr>
        <w:t xml:space="preserve">4. Visual Pattern Library</w:t>
      </w:r>
    </w:p>
    <w:p>
      <w:pPr>
        <w:spacing w:after="120" w:line="276"/>
      </w:pPr>
      <w:r>
        <w:rPr>
          <w:rFonts w:ascii="Times New Roman" w:cs="Times New Roman" w:eastAsia="Times New Roman" w:hAnsi="Times New Roman"/>
          <w:sz w:val="22"/>
          <w:szCs w:val="22"/>
        </w:rPr>
        <w:t xml:space="preserve">Eleven patterns cover all eighty-seven visuals. Build each one once here, with the spec number given as the worked example, then apply it by reference in sections 5 to 7.</w:t>
      </w:r>
    </w:p>
    <w:p>
      <w:pPr>
        <w:pStyle w:val="Heading2"/>
        <w:spacing w:after="120" w:before="280"/>
      </w:pPr>
      <w:r>
        <w:rPr>
          <w:rFonts w:ascii="Times New Roman" w:cs="Times New Roman" w:eastAsia="Times New Roman" w:hAnsi="Times New Roman"/>
          <w:b/>
          <w:bCs/>
          <w:color w:val="2E5496"/>
          <w:sz w:val="25"/>
          <w:szCs w:val="25"/>
        </w:rPr>
        <w:t xml:space="preserve">4.1 Pattern A — KPI card with sparkline (worked example: spec 1.1)</w:t>
      </w:r>
    </w:p>
    <w:p>
      <w:pPr>
        <w:pStyle w:val="ListParagraph"/>
        <w:numPr>
          <w:ilvl w:val="0"/>
          <w:numId w:val="7"/>
        </w:numPr>
        <w:spacing w:after="60" w:line="276"/>
      </w:pPr>
      <w:r>
        <w:rPr>
          <w:rFonts w:ascii="Times New Roman" w:cs="Times New Roman" w:eastAsia="Times New Roman" w:hAnsi="Times New Roman"/>
          <w:sz w:val="22"/>
          <w:szCs w:val="22"/>
        </w:rPr>
        <w:t xml:space="preserve">Empty canvas → Card icon (the large-number icon). This is the standard Card visual since the November 2025 release.</w:t>
      </w:r>
    </w:p>
    <w:p>
      <w:pPr>
        <w:pStyle w:val="ListParagraph"/>
        <w:numPr>
          <w:ilvl w:val="0"/>
          <w:numId w:val="7"/>
        </w:numPr>
        <w:spacing w:after="60" w:line="276"/>
      </w:pPr>
      <w:r>
        <w:rPr>
          <w:rFonts w:ascii="Times New Roman" w:cs="Times New Roman" w:eastAsia="Times New Roman" w:hAnsi="Times New Roman"/>
          <w:sz w:val="22"/>
          <w:szCs w:val="22"/>
        </w:rPr>
        <w:t xml:space="preserve">Data pane → _Measures → folder 01 Macro → drag CPI YoY % into the Values well.</w:t>
      </w:r>
    </w:p>
    <w:p>
      <w:pPr>
        <w:pStyle w:val="ListParagraph"/>
        <w:numPr>
          <w:ilvl w:val="0"/>
          <w:numId w:val="7"/>
        </w:numPr>
        <w:spacing w:after="60" w:line="276"/>
      </w:pPr>
      <w:r>
        <w:rPr>
          <w:rFonts w:ascii="Times New Roman" w:cs="Times New Roman" w:eastAsia="Times New Roman" w:hAnsi="Times New Roman"/>
          <w:sz w:val="22"/>
          <w:szCs w:val="22"/>
        </w:rPr>
        <w:t xml:space="preserve">Reference label: with the card selected → Format → Visual → Reference labels → Apply settings to: CPI YoY % → drag the comparison measure into Add label, then select it in the Add label dropdown. It renders as the small delta line under the big number.</w:t>
      </w:r>
    </w:p>
    <w:p>
      <w:pPr>
        <w:pStyle w:val="ListParagraph"/>
        <w:numPr>
          <w:ilvl w:val="0"/>
          <w:numId w:val="7"/>
        </w:numPr>
        <w:spacing w:after="60" w:line="276"/>
      </w:pPr>
      <w:r>
        <w:rPr>
          <w:rFonts w:ascii="Times New Roman" w:cs="Times New Roman" w:eastAsia="Times New Roman" w:hAnsi="Times New Roman"/>
          <w:sz w:val="22"/>
          <w:szCs w:val="22"/>
        </w:rPr>
        <w:t xml:space="preserve">Position: Format → General → Properties → X 16, Y 88, W 302, H 112.</w:t>
      </w:r>
    </w:p>
    <w:p>
      <w:pPr>
        <w:pStyle w:val="ListParagraph"/>
        <w:numPr>
          <w:ilvl w:val="0"/>
          <w:numId w:val="7"/>
        </w:numPr>
        <w:spacing w:after="60" w:line="276"/>
      </w:pPr>
      <w:r>
        <w:rPr>
          <w:rFonts w:ascii="Times New Roman" w:cs="Times New Roman" w:eastAsia="Times New Roman" w:hAnsi="Times New Roman"/>
          <w:sz w:val="22"/>
          <w:szCs w:val="22"/>
        </w:rPr>
        <w:t xml:space="preserve">Format → Visual → Callout value: size 24, Bold On, colour #252423. Callout label: size 11, colour #605E5C, Position above value. General → Title: Off — on cards the callout label is the title.</w:t>
      </w:r>
    </w:p>
    <w:p>
      <w:pPr>
        <w:pStyle w:val="ListParagraph"/>
        <w:numPr>
          <w:ilvl w:val="0"/>
          <w:numId w:val="7"/>
        </w:numPr>
        <w:spacing w:after="60" w:line="276"/>
      </w:pPr>
      <w:r>
        <w:rPr>
          <w:rFonts w:ascii="Times New Roman" w:cs="Times New Roman" w:eastAsia="Times New Roman" w:hAnsi="Times New Roman"/>
          <w:sz w:val="22"/>
          <w:szCs w:val="22"/>
        </w:rPr>
        <w:t xml:space="preserve">Colour the delta by sign: Format → Visual → Reference labels → Apply settings to the value → Values → Colour → fx → Format style: Rules → based on the delta measure → Rule 1: if value &gt;= 0 then #1E7B34 · Rule 2: if value &lt; 0 then #C0392B.</w:t>
      </w:r>
    </w:p>
    <w:p>
      <w:pPr>
        <w:pStyle w:val="ListParagraph"/>
        <w:numPr>
          <w:ilvl w:val="0"/>
          <w:numId w:val="7"/>
        </w:numPr>
        <w:spacing w:after="60" w:line="276"/>
      </w:pPr>
      <w:r>
        <w:rPr>
          <w:rFonts w:ascii="Times New Roman" w:cs="Times New Roman" w:eastAsia="Times New Roman" w:hAnsi="Times New Roman"/>
          <w:sz w:val="22"/>
          <w:szCs w:val="22"/>
        </w:rPr>
        <w:t xml:space="preserve">Sparkline: the card visual does not draw one, so overlay a tiny line chart. Empty canvas → Line chart → X-axis DimDate[Date], Y-axis the same measure. Position it inside the card footprint: X 30, Y 166, W 270, H 28. Then strip it: Format → Visual → X-axis Off, Y-axis Off, Legend Off; General → Title Off, Effects → Background Off; Lines → Width 2, Colour #2E74B5.</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Cards showing a case measure need their unit on the label.  </w:t>
      </w:r>
      <w:r>
        <w:rPr>
          <w:rFonts w:ascii="Times New Roman" w:cs="Times New Roman" w:eastAsia="Times New Roman" w:hAnsi="Times New Roman"/>
          <w:sz w:val="21"/>
          <w:szCs w:val="21"/>
        </w:rPr>
        <w:t xml:space="preserve">On every R1 Page 3 and R3 card, set the callout label text to include “(cases)” — for example “Total Cases (cases)” reads redundantly but “Total Cases” beside a Census dollar card does not read at all. Document 01 §8.1 is the rule this enforces.</w:t>
      </w:r>
    </w:p>
    <w:p>
      <w:pPr>
        <w:pStyle w:val="Heading2"/>
        <w:spacing w:after="120" w:before="280"/>
      </w:pPr>
      <w:r>
        <w:rPr>
          <w:rFonts w:ascii="Times New Roman" w:cs="Times New Roman" w:eastAsia="Times New Roman" w:hAnsi="Times New Roman"/>
          <w:b/>
          <w:bCs/>
          <w:color w:val="2E5496"/>
          <w:sz w:val="25"/>
          <w:szCs w:val="25"/>
        </w:rPr>
        <w:t xml:space="preserve">4.2 Pattern B — Line chart on a continuous axis (worked example: spec 3.5)</w:t>
      </w:r>
    </w:p>
    <w:p>
      <w:pPr>
        <w:pStyle w:val="ListParagraph"/>
        <w:numPr>
          <w:ilvl w:val="0"/>
          <w:numId w:val="8"/>
        </w:numPr>
        <w:spacing w:after="60" w:line="276"/>
      </w:pPr>
      <w:r>
        <w:rPr>
          <w:rFonts w:ascii="Times New Roman" w:cs="Times New Roman" w:eastAsia="Times New Roman" w:hAnsi="Times New Roman"/>
          <w:sz w:val="22"/>
          <w:szCs w:val="22"/>
        </w:rPr>
        <w:t xml:space="preserve">Empty canvas → Line chart. X-axis well: DimDate[Date]. If it drops in as a date hierarchy, click the field’s dropdown in the well and choose Date rather than Date Hierarchy.</w:t>
      </w:r>
    </w:p>
    <w:p>
      <w:pPr>
        <w:pStyle w:val="ListParagraph"/>
        <w:numPr>
          <w:ilvl w:val="0"/>
          <w:numId w:val="8"/>
        </w:numPr>
        <w:spacing w:after="60" w:line="276"/>
      </w:pPr>
      <w:r>
        <w:rPr>
          <w:rFonts w:ascii="Times New Roman" w:cs="Times New Roman" w:eastAsia="Times New Roman" w:hAnsi="Times New Roman"/>
          <w:sz w:val="22"/>
          <w:szCs w:val="22"/>
        </w:rPr>
        <w:t xml:space="preserve">Format → Visual → X-axis → Type → Continuous. This is mandatory wherever an X-axis constant line is specified, and it is what most often gets missed.</w:t>
      </w:r>
    </w:p>
    <w:p>
      <w:pPr>
        <w:pStyle w:val="ListParagraph"/>
        <w:numPr>
          <w:ilvl w:val="0"/>
          <w:numId w:val="8"/>
        </w:numPr>
        <w:spacing w:after="60" w:line="276"/>
      </w:pPr>
      <w:r>
        <w:rPr>
          <w:rFonts w:ascii="Times New Roman" w:cs="Times New Roman" w:eastAsia="Times New Roman" w:hAnsi="Times New Roman"/>
          <w:sz w:val="22"/>
          <w:szCs w:val="22"/>
        </w:rPr>
        <w:t xml:space="preserve">Y-axis well: the measures, in the order you want the legend.</w:t>
      </w:r>
    </w:p>
    <w:p>
      <w:pPr>
        <w:pStyle w:val="ListParagraph"/>
        <w:numPr>
          <w:ilvl w:val="0"/>
          <w:numId w:val="8"/>
        </w:numPr>
        <w:spacing w:after="60" w:line="276"/>
      </w:pPr>
      <w:r>
        <w:rPr>
          <w:rFonts w:ascii="Times New Roman" w:cs="Times New Roman" w:eastAsia="Times New Roman" w:hAnsi="Times New Roman"/>
          <w:sz w:val="22"/>
          <w:szCs w:val="22"/>
        </w:rPr>
        <w:t xml:space="preserve">Per-series styling: Format → Visual → Lines → Apply settings to → Series: pick each series in turn and set Colour and Width. Primary #1F3864 width 3; comparison #1B9E8F width 2.</w:t>
      </w:r>
    </w:p>
    <w:p>
      <w:pPr>
        <w:pStyle w:val="ListParagraph"/>
        <w:numPr>
          <w:ilvl w:val="0"/>
          <w:numId w:val="8"/>
        </w:numPr>
        <w:spacing w:after="60" w:line="276"/>
      </w:pPr>
      <w:r>
        <w:rPr>
          <w:rFonts w:ascii="Times New Roman" w:cs="Times New Roman" w:eastAsia="Times New Roman" w:hAnsi="Times New Roman"/>
          <w:sz w:val="22"/>
          <w:szCs w:val="22"/>
        </w:rPr>
        <w:t xml:space="preserve">Markers Off, Data labels Off, Legend On at Top with no title.</w:t>
      </w:r>
    </w:p>
    <w:p>
      <w:pPr>
        <w:pStyle w:val="ListParagraph"/>
        <w:numPr>
          <w:ilvl w:val="0"/>
          <w:numId w:val="8"/>
        </w:numPr>
        <w:spacing w:after="60" w:line="276"/>
      </w:pPr>
      <w:r>
        <w:rPr>
          <w:rFonts w:ascii="Times New Roman" w:cs="Times New Roman" w:eastAsia="Times New Roman" w:hAnsi="Times New Roman"/>
          <w:sz w:val="22"/>
          <w:szCs w:val="22"/>
        </w:rPr>
        <w:t xml:space="preserve">X-axis constant line where specified: Format → Visual → Reference lines → + Add → X-Axis Constant Line → Value: the date → Line colour #C8860A, Style Dashed, Transparency 0 → Data label On, text as given, Position Above.</w:t>
      </w:r>
    </w:p>
    <w:p>
      <w:pPr>
        <w:pStyle w:val="ListParagraph"/>
        <w:numPr>
          <w:ilvl w:val="0"/>
          <w:numId w:val="8"/>
        </w:numPr>
        <w:spacing w:after="60" w:line="276"/>
      </w:pPr>
      <w:r>
        <w:rPr>
          <w:rFonts w:ascii="Times New Roman" w:cs="Times New Roman" w:eastAsia="Times New Roman" w:hAnsi="Times New Roman"/>
          <w:sz w:val="22"/>
          <w:szCs w:val="22"/>
        </w:rPr>
        <w:t xml:space="preserve">Y-axis constant line at zero where specified: same card → Y-Axis Constant Line → Value 0 → colour #B3B0AD, Style Dashed, Data label Off.</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the X-Axis Constant Line option is missing, the axis is categorical.  </w:t>
      </w:r>
      <w:r>
        <w:rPr>
          <w:rFonts w:ascii="Times New Roman" w:cs="Times New Roman" w:eastAsia="Times New Roman" w:hAnsi="Times New Roman"/>
          <w:sz w:val="21"/>
          <w:szCs w:val="21"/>
        </w:rPr>
        <w:t xml:space="preserve">Reference lines offer only Y-axis options on a text axis. Go back to step 2. This is the constraint recorded in document 01 §6.1, and it affects specs 3.9 through 3.12, 6.5 through 6.7 and 10.5.</w:t>
      </w:r>
    </w:p>
    <w:p>
      <w:pPr>
        <w:pStyle w:val="Heading2"/>
        <w:spacing w:after="120" w:before="280"/>
      </w:pPr>
      <w:r>
        <w:rPr>
          <w:rFonts w:ascii="Times New Roman" w:cs="Times New Roman" w:eastAsia="Times New Roman" w:hAnsi="Times New Roman"/>
          <w:b/>
          <w:bCs/>
          <w:color w:val="2E5496"/>
          <w:sz w:val="25"/>
          <w:szCs w:val="25"/>
        </w:rPr>
        <w:t xml:space="preserve">4.3 Pattern C — Line and clustered column, dual axis (worked example: spec 1.6)</w:t>
      </w:r>
    </w:p>
    <w:p>
      <w:pPr>
        <w:pStyle w:val="ListParagraph"/>
        <w:numPr>
          <w:ilvl w:val="0"/>
          <w:numId w:val="9"/>
        </w:numPr>
        <w:spacing w:after="60" w:line="276"/>
      </w:pPr>
      <w:r>
        <w:rPr>
          <w:rFonts w:ascii="Times New Roman" w:cs="Times New Roman" w:eastAsia="Times New Roman" w:hAnsi="Times New Roman"/>
          <w:sz w:val="22"/>
          <w:szCs w:val="22"/>
        </w:rPr>
        <w:t xml:space="preserve">Empty canvas → Line and clustered column chart.</w:t>
      </w:r>
    </w:p>
    <w:p>
      <w:pPr>
        <w:pStyle w:val="ListParagraph"/>
        <w:numPr>
          <w:ilvl w:val="0"/>
          <w:numId w:val="9"/>
        </w:numPr>
        <w:spacing w:after="60" w:line="276"/>
      </w:pPr>
      <w:r>
        <w:rPr>
          <w:rFonts w:ascii="Times New Roman" w:cs="Times New Roman" w:eastAsia="Times New Roman" w:hAnsi="Times New Roman"/>
          <w:sz w:val="22"/>
          <w:szCs w:val="22"/>
        </w:rPr>
        <w:t xml:space="preserve">X-axis: DimDate[Date], set to Continuous as in Pattern B.</w:t>
      </w:r>
    </w:p>
    <w:p>
      <w:pPr>
        <w:pStyle w:val="ListParagraph"/>
        <w:numPr>
          <w:ilvl w:val="0"/>
          <w:numId w:val="9"/>
        </w:numPr>
        <w:spacing w:after="60" w:line="276"/>
      </w:pPr>
      <w:r>
        <w:rPr>
          <w:rFonts w:ascii="Times New Roman" w:cs="Times New Roman" w:eastAsia="Times New Roman" w:hAnsi="Times New Roman"/>
          <w:sz w:val="22"/>
          <w:szCs w:val="22"/>
        </w:rPr>
        <w:t xml:space="preserve">Column y-axis well: the level measure. Line y-axis well: the rate measure. Getting these the wrong way round produces a chart that is technically correct and unreadable.</w:t>
      </w:r>
    </w:p>
    <w:p>
      <w:pPr>
        <w:pStyle w:val="ListParagraph"/>
        <w:numPr>
          <w:ilvl w:val="0"/>
          <w:numId w:val="9"/>
        </w:numPr>
        <w:spacing w:after="60" w:line="276"/>
      </w:pPr>
      <w:r>
        <w:rPr>
          <w:rFonts w:ascii="Times New Roman" w:cs="Times New Roman" w:eastAsia="Times New Roman" w:hAnsi="Times New Roman"/>
          <w:sz w:val="22"/>
          <w:szCs w:val="22"/>
        </w:rPr>
        <w:t xml:space="preserve">Format → Visual → Columns → Colour #1F3864. Lines → Colour #C0392B, Width 2.5.</w:t>
      </w:r>
    </w:p>
    <w:p>
      <w:pPr>
        <w:pStyle w:val="ListParagraph"/>
        <w:numPr>
          <w:ilvl w:val="0"/>
          <w:numId w:val="9"/>
        </w:numPr>
        <w:spacing w:after="60" w:line="276"/>
      </w:pPr>
      <w:r>
        <w:rPr>
          <w:rFonts w:ascii="Times New Roman" w:cs="Times New Roman" w:eastAsia="Times New Roman" w:hAnsi="Times New Roman"/>
          <w:sz w:val="22"/>
          <w:szCs w:val="22"/>
        </w:rPr>
        <w:t xml:space="preserve">Format → Visual → Y-axis (secondary): Show On; set its format to match the line measure — percentage with one decimal for a rate.</w:t>
      </w:r>
    </w:p>
    <w:p>
      <w:pPr>
        <w:pStyle w:val="ListParagraph"/>
        <w:numPr>
          <w:ilvl w:val="0"/>
          <w:numId w:val="9"/>
        </w:numPr>
        <w:spacing w:after="60" w:line="276"/>
      </w:pPr>
      <w:r>
        <w:rPr>
          <w:rFonts w:ascii="Times New Roman" w:cs="Times New Roman" w:eastAsia="Times New Roman" w:hAnsi="Times New Roman"/>
          <w:sz w:val="22"/>
          <w:szCs w:val="22"/>
        </w:rPr>
        <w:t xml:space="preserve">Both axes need a title when the units differ: Y-axis → Title On, Secondary Y-axis → Title On. Two unlabelled axes carrying different units is the fastest way to be misread.</w:t>
      </w:r>
    </w:p>
    <w:p>
      <w:pPr>
        <w:pStyle w:val="Heading2"/>
        <w:spacing w:after="120" w:before="280"/>
      </w:pPr>
      <w:r>
        <w:rPr>
          <w:rFonts w:ascii="Times New Roman" w:cs="Times New Roman" w:eastAsia="Times New Roman" w:hAnsi="Times New Roman"/>
          <w:b/>
          <w:bCs/>
          <w:color w:val="2E5496"/>
          <w:sz w:val="25"/>
          <w:szCs w:val="25"/>
        </w:rPr>
        <w:t xml:space="preserve">4.4 Pattern D — Stacked area to 100% (worked example: spec 2.3)</w:t>
      </w:r>
    </w:p>
    <w:p>
      <w:pPr>
        <w:pStyle w:val="ListParagraph"/>
        <w:numPr>
          <w:ilvl w:val="0"/>
          <w:numId w:val="10"/>
        </w:numPr>
        <w:spacing w:after="60" w:line="276"/>
      </w:pPr>
      <w:r>
        <w:rPr>
          <w:rFonts w:ascii="Times New Roman" w:cs="Times New Roman" w:eastAsia="Times New Roman" w:hAnsi="Times New Roman"/>
          <w:sz w:val="22"/>
          <w:szCs w:val="22"/>
        </w:rPr>
        <w:t xml:space="preserve">Empty canvas → Stacked area chart.</w:t>
      </w:r>
    </w:p>
    <w:p>
      <w:pPr>
        <w:pStyle w:val="ListParagraph"/>
        <w:numPr>
          <w:ilvl w:val="0"/>
          <w:numId w:val="10"/>
        </w:numPr>
        <w:spacing w:after="60" w:line="276"/>
      </w:pPr>
      <w:r>
        <w:rPr>
          <w:rFonts w:ascii="Times New Roman" w:cs="Times New Roman" w:eastAsia="Times New Roman" w:hAnsi="Times New Roman"/>
          <w:sz w:val="22"/>
          <w:szCs w:val="22"/>
        </w:rPr>
        <w:t xml:space="preserve">X-axis: DimDate[Date], Continuous. Y-axis: the share measure. Legend: the category column.</w:t>
      </w:r>
    </w:p>
    <w:p>
      <w:pPr>
        <w:pStyle w:val="ListParagraph"/>
        <w:numPr>
          <w:ilvl w:val="0"/>
          <w:numId w:val="10"/>
        </w:numPr>
        <w:spacing w:after="60" w:line="276"/>
      </w:pPr>
      <w:r>
        <w:rPr>
          <w:rFonts w:ascii="Times New Roman" w:cs="Times New Roman" w:eastAsia="Times New Roman" w:hAnsi="Times New Roman"/>
          <w:sz w:val="22"/>
          <w:szCs w:val="22"/>
        </w:rPr>
        <w:t xml:space="preserve">Format → Visual → Y-axis → set Minimum 0 and Maximum 1, and format as percentage. A share chart whose axis floats is a share chart nobody can compare across periods.</w:t>
      </w:r>
    </w:p>
    <w:p>
      <w:pPr>
        <w:pStyle w:val="ListParagraph"/>
        <w:numPr>
          <w:ilvl w:val="0"/>
          <w:numId w:val="10"/>
        </w:numPr>
        <w:spacing w:after="60" w:line="276"/>
      </w:pPr>
      <w:r>
        <w:rPr>
          <w:rFonts w:ascii="Times New Roman" w:cs="Times New Roman" w:eastAsia="Times New Roman" w:hAnsi="Times New Roman"/>
          <w:sz w:val="22"/>
          <w:szCs w:val="22"/>
        </w:rPr>
        <w:t xml:space="preserve">Colours: Format → Visual → Colours → assign the palette in legend order, ending with #B3B0AD for the residual.</w:t>
      </w:r>
    </w:p>
    <w:p>
      <w:pPr>
        <w:pStyle w:val="ListParagraph"/>
        <w:numPr>
          <w:ilvl w:val="0"/>
          <w:numId w:val="10"/>
        </w:numPr>
        <w:spacing w:after="60" w:line="276"/>
      </w:pPr>
      <w:r>
        <w:rPr>
          <w:rFonts w:ascii="Times New Roman" w:cs="Times New Roman" w:eastAsia="Times New Roman" w:hAnsi="Times New Roman"/>
          <w:sz w:val="22"/>
          <w:szCs w:val="22"/>
        </w:rPr>
        <w:t xml:space="preserve">Legend On at Bottom, no title.</w:t>
      </w:r>
    </w:p>
    <w:p>
      <w:pPr>
        <w:pStyle w:val="Heading2"/>
        <w:spacing w:after="120" w:before="280"/>
      </w:pPr>
      <w:r>
        <w:rPr>
          <w:rFonts w:ascii="Times New Roman" w:cs="Times New Roman" w:eastAsia="Times New Roman" w:hAnsi="Times New Roman"/>
          <w:b/>
          <w:bCs/>
          <w:color w:val="2E5496"/>
          <w:sz w:val="25"/>
          <w:szCs w:val="25"/>
        </w:rPr>
        <w:t xml:space="preserve">4.5 Pattern E — Clustered bar diverging by sign (worked example: spec 3.6)</w:t>
      </w:r>
    </w:p>
    <w:p>
      <w:pPr>
        <w:pStyle w:val="ListParagraph"/>
        <w:numPr>
          <w:ilvl w:val="0"/>
          <w:numId w:val="11"/>
        </w:numPr>
        <w:spacing w:after="60" w:line="276"/>
      </w:pPr>
      <w:r>
        <w:rPr>
          <w:rFonts w:ascii="Times New Roman" w:cs="Times New Roman" w:eastAsia="Times New Roman" w:hAnsi="Times New Roman"/>
          <w:sz w:val="22"/>
          <w:szCs w:val="22"/>
        </w:rPr>
        <w:t xml:space="preserve">Empty canvas → Clustered bar chart (horizontal).</w:t>
      </w:r>
    </w:p>
    <w:p>
      <w:pPr>
        <w:pStyle w:val="ListParagraph"/>
        <w:numPr>
          <w:ilvl w:val="0"/>
          <w:numId w:val="11"/>
        </w:numPr>
        <w:spacing w:after="60" w:line="276"/>
      </w:pPr>
      <w:r>
        <w:rPr>
          <w:rFonts w:ascii="Times New Roman" w:cs="Times New Roman" w:eastAsia="Times New Roman" w:hAnsi="Times New Roman"/>
          <w:sz w:val="22"/>
          <w:szCs w:val="22"/>
        </w:rPr>
        <w:t xml:space="preserve">Y-axis: the category column. X-axis: the signed measure.</w:t>
      </w:r>
    </w:p>
    <w:p>
      <w:pPr>
        <w:pStyle w:val="ListParagraph"/>
        <w:numPr>
          <w:ilvl w:val="0"/>
          <w:numId w:val="11"/>
        </w:numPr>
        <w:spacing w:after="60" w:line="276"/>
      </w:pPr>
      <w:r>
        <w:rPr>
          <w:rFonts w:ascii="Times New Roman" w:cs="Times New Roman" w:eastAsia="Times New Roman" w:hAnsi="Times New Roman"/>
          <w:sz w:val="22"/>
          <w:szCs w:val="22"/>
        </w:rPr>
        <w:t xml:space="preserve">Sort: hover the visual → ‘…’ → Sort axis → the measure → Sort ascending, so the most negative sits at the top.</w:t>
      </w:r>
    </w:p>
    <w:p>
      <w:pPr>
        <w:pStyle w:val="ListParagraph"/>
        <w:numPr>
          <w:ilvl w:val="0"/>
          <w:numId w:val="11"/>
        </w:numPr>
        <w:spacing w:after="60" w:line="276"/>
      </w:pPr>
      <w:r>
        <w:rPr>
          <w:rFonts w:ascii="Times New Roman" w:cs="Times New Roman" w:eastAsia="Times New Roman" w:hAnsi="Times New Roman"/>
          <w:sz w:val="22"/>
          <w:szCs w:val="22"/>
        </w:rPr>
        <w:t xml:space="preserve">Colour by sign: Format → Visual → Bars → Colours → fx → Format style: Rules → based on the same measure → Rule 1: if value &gt;= 0 then #1E7B34 · Rule 2: if value &lt; 0 then #C0392B.</w:t>
      </w:r>
    </w:p>
    <w:p>
      <w:pPr>
        <w:pStyle w:val="ListParagraph"/>
        <w:numPr>
          <w:ilvl w:val="0"/>
          <w:numId w:val="11"/>
        </w:numPr>
        <w:spacing w:after="60" w:line="276"/>
      </w:pPr>
      <w:r>
        <w:rPr>
          <w:rFonts w:ascii="Times New Roman" w:cs="Times New Roman" w:eastAsia="Times New Roman" w:hAnsi="Times New Roman"/>
          <w:sz w:val="22"/>
          <w:szCs w:val="22"/>
        </w:rPr>
        <w:t xml:space="preserve">Zero line: Format → Visual → Reference lines → X-Axis Constant Line → Value 0 → colour #B3B0AD, Style Solid, Width 1.</w:t>
      </w:r>
    </w:p>
    <w:p>
      <w:pPr>
        <w:pStyle w:val="ListParagraph"/>
        <w:numPr>
          <w:ilvl w:val="0"/>
          <w:numId w:val="11"/>
        </w:numPr>
        <w:spacing w:after="60" w:line="276"/>
      </w:pPr>
      <w:r>
        <w:rPr>
          <w:rFonts w:ascii="Times New Roman" w:cs="Times New Roman" w:eastAsia="Times New Roman" w:hAnsi="Times New Roman"/>
          <w:sz w:val="22"/>
          <w:szCs w:val="22"/>
        </w:rPr>
        <w:t xml:space="preserve">Data labels On, positioned Outside end, one decimal.</w:t>
      </w:r>
    </w:p>
    <w:p>
      <w:pPr>
        <w:pStyle w:val="Heading2"/>
        <w:spacing w:after="120" w:before="280"/>
      </w:pPr>
      <w:r>
        <w:rPr>
          <w:rFonts w:ascii="Times New Roman" w:cs="Times New Roman" w:eastAsia="Times New Roman" w:hAnsi="Times New Roman"/>
          <w:b/>
          <w:bCs/>
          <w:color w:val="2E5496"/>
          <w:sz w:val="25"/>
          <w:szCs w:val="25"/>
        </w:rPr>
        <w:t xml:space="preserve">4.6 Pattern F — Matrix with conditional formatting (worked example: spec 2.4)</w:t>
      </w:r>
    </w:p>
    <w:p>
      <w:pPr>
        <w:pStyle w:val="ListParagraph"/>
        <w:numPr>
          <w:ilvl w:val="0"/>
          <w:numId w:val="12"/>
        </w:numPr>
        <w:spacing w:after="60" w:line="276"/>
      </w:pPr>
      <w:r>
        <w:rPr>
          <w:rFonts w:ascii="Times New Roman" w:cs="Times New Roman" w:eastAsia="Times New Roman" w:hAnsi="Times New Roman"/>
          <w:sz w:val="22"/>
          <w:szCs w:val="22"/>
        </w:rPr>
        <w:t xml:space="preserve">Empty canvas → Matrix. Rows well: the dimension, and a second field beneath it where a hierarchy is specified. Values well: the measures in the order given.</w:t>
      </w:r>
    </w:p>
    <w:p>
      <w:pPr>
        <w:pStyle w:val="ListParagraph"/>
        <w:numPr>
          <w:ilvl w:val="0"/>
          <w:numId w:val="12"/>
        </w:numPr>
        <w:spacing w:after="60" w:line="276"/>
      </w:pPr>
      <w:r>
        <w:rPr>
          <w:rFonts w:ascii="Times New Roman" w:cs="Times New Roman" w:eastAsia="Times New Roman" w:hAnsi="Times New Roman"/>
          <w:sz w:val="22"/>
          <w:szCs w:val="22"/>
        </w:rPr>
        <w:t xml:space="preserve">Format → Visual → Row headers → +/− icons: On. Leave collapsed to the top level; a reviewer expands what interests them.</w:t>
      </w:r>
    </w:p>
    <w:p>
      <w:pPr>
        <w:pStyle w:val="ListParagraph"/>
        <w:numPr>
          <w:ilvl w:val="0"/>
          <w:numId w:val="12"/>
        </w:numPr>
        <w:spacing w:after="60" w:line="276"/>
      </w:pPr>
      <w:r>
        <w:rPr>
          <w:rFonts w:ascii="Times New Roman" w:cs="Times New Roman" w:eastAsia="Times New Roman" w:hAnsi="Times New Roman"/>
          <w:sz w:val="22"/>
          <w:szCs w:val="22"/>
        </w:rPr>
        <w:t xml:space="preserve">Data bars: in the VALUES WELL, not on the canvas, right-click the measure → Conditional formatting → Data bars → Positive bar #ABC7E1 → OK.</w:t>
      </w:r>
    </w:p>
    <w:p>
      <w:pPr>
        <w:pStyle w:val="ListParagraph"/>
        <w:numPr>
          <w:ilvl w:val="0"/>
          <w:numId w:val="12"/>
        </w:numPr>
        <w:spacing w:after="60" w:line="276"/>
      </w:pPr>
      <w:r>
        <w:rPr>
          <w:rFonts w:ascii="Times New Roman" w:cs="Times New Roman" w:eastAsia="Times New Roman" w:hAnsi="Times New Roman"/>
          <w:sz w:val="22"/>
          <w:szCs w:val="22"/>
        </w:rPr>
        <w:t xml:space="preserve">Diverging colour scale: right-click the measure in the well → Conditional formatting → Background colour → Format style: Gradient → tick Diverging → Minimum #C0392B, Centre #FFFFFF, Maximum #1E7B34 → set Centre to Number and type the midpoint the spec gives (0 for a signed measure, the overall average where stated).</w:t>
      </w:r>
    </w:p>
    <w:p>
      <w:pPr>
        <w:pStyle w:val="ListParagraph"/>
        <w:numPr>
          <w:ilvl w:val="0"/>
          <w:numId w:val="12"/>
        </w:numPr>
        <w:spacing w:after="60" w:line="276"/>
      </w:pPr>
      <w:r>
        <w:rPr>
          <w:rFonts w:ascii="Times New Roman" w:cs="Times New Roman" w:eastAsia="Times New Roman" w:hAnsi="Times New Roman"/>
          <w:sz w:val="22"/>
          <w:szCs w:val="22"/>
        </w:rPr>
        <w:t xml:space="preserve">Icons: right-click → Conditional formatting → Icons → Format style: Rules → Rule 1: if value &gt;= 0 then a green up arrow · Rule 2: if value &lt; 0 then a red down arrow.</w:t>
      </w:r>
    </w:p>
    <w:p>
      <w:pPr>
        <w:pStyle w:val="ListParagraph"/>
        <w:numPr>
          <w:ilvl w:val="0"/>
          <w:numId w:val="12"/>
        </w:numPr>
        <w:spacing w:after="60" w:line="276"/>
      </w:pPr>
      <w:r>
        <w:rPr>
          <w:rFonts w:ascii="Times New Roman" w:cs="Times New Roman" w:eastAsia="Times New Roman" w:hAnsi="Times New Roman"/>
          <w:sz w:val="22"/>
          <w:szCs w:val="22"/>
        </w:rPr>
        <w:t xml:space="preserve">Compact styling: Format → Visual → Grid → Row padding 2; Values → Font size 9; Column headers → Font size 9, Bold.</w:t>
      </w:r>
    </w:p>
    <w:p>
      <w:pPr>
        <w:pStyle w:val="ListParagraph"/>
        <w:numPr>
          <w:ilvl w:val="0"/>
          <w:numId w:val="12"/>
        </w:numPr>
        <w:spacing w:after="60" w:line="276"/>
      </w:pPr>
      <w:r>
        <w:rPr>
          <w:rFonts w:ascii="Times New Roman" w:cs="Times New Roman" w:eastAsia="Times New Roman" w:hAnsi="Times New Roman"/>
          <w:sz w:val="22"/>
          <w:szCs w:val="22"/>
        </w:rPr>
        <w:t xml:space="preserve">Top N where specified: Filters pane → the row field’s card → Filter type: Top N → Show items Top, n → By value: drag the ranking measure in → Apply filter.</w:t>
      </w:r>
    </w:p>
    <w:p>
      <w:pPr>
        <w:pStyle w:val="Heading2"/>
        <w:spacing w:after="120" w:before="280"/>
      </w:pPr>
      <w:r>
        <w:rPr>
          <w:rFonts w:ascii="Times New Roman" w:cs="Times New Roman" w:eastAsia="Times New Roman" w:hAnsi="Times New Roman"/>
          <w:b/>
          <w:bCs/>
          <w:color w:val="2E5496"/>
          <w:sz w:val="25"/>
          <w:szCs w:val="25"/>
        </w:rPr>
        <w:t xml:space="preserve">4.7 Pattern G — Scatter with quadrant lines (worked example: spec 2.5)</w:t>
      </w:r>
    </w:p>
    <w:p>
      <w:pPr>
        <w:pStyle w:val="ListParagraph"/>
        <w:numPr>
          <w:ilvl w:val="0"/>
          <w:numId w:val="13"/>
        </w:numPr>
        <w:spacing w:after="60" w:line="276"/>
      </w:pPr>
      <w:r>
        <w:rPr>
          <w:rFonts w:ascii="Times New Roman" w:cs="Times New Roman" w:eastAsia="Times New Roman" w:hAnsi="Times New Roman"/>
          <w:sz w:val="22"/>
          <w:szCs w:val="22"/>
        </w:rPr>
        <w:t xml:space="preserve">Empty canvas → Scatter chart.</w:t>
      </w:r>
    </w:p>
    <w:p>
      <w:pPr>
        <w:pStyle w:val="ListParagraph"/>
        <w:numPr>
          <w:ilvl w:val="0"/>
          <w:numId w:val="13"/>
        </w:numPr>
        <w:spacing w:after="60" w:line="276"/>
      </w:pPr>
      <w:r>
        <w:rPr>
          <w:rFonts w:ascii="Times New Roman" w:cs="Times New Roman" w:eastAsia="Times New Roman" w:hAnsi="Times New Roman"/>
          <w:sz w:val="22"/>
          <w:szCs w:val="22"/>
        </w:rPr>
        <w:t xml:space="preserve">X-axis: the first measure. Y-axis: the second. Size: the magnitude measure where specified. Details: the dimension that makes one point per category — without a field in Details, every point collapses into one.</w:t>
      </w:r>
    </w:p>
    <w:p>
      <w:pPr>
        <w:pStyle w:val="ListParagraph"/>
        <w:numPr>
          <w:ilvl w:val="0"/>
          <w:numId w:val="13"/>
        </w:numPr>
        <w:spacing w:after="60" w:line="276"/>
      </w:pPr>
      <w:r>
        <w:rPr>
          <w:rFonts w:ascii="Times New Roman" w:cs="Times New Roman" w:eastAsia="Times New Roman" w:hAnsi="Times New Roman"/>
          <w:sz w:val="22"/>
          <w:szCs w:val="22"/>
        </w:rPr>
        <w:t xml:space="preserve">Quadrant lines: Format → Visual → Reference lines → + Add → X-Axis Constant Line at the specified value; + Add again → Y-Axis Constant Line. Both #B3B0AD, Style Dashed.</w:t>
      </w:r>
    </w:p>
    <w:p>
      <w:pPr>
        <w:pStyle w:val="ListParagraph"/>
        <w:numPr>
          <w:ilvl w:val="0"/>
          <w:numId w:val="13"/>
        </w:numPr>
        <w:spacing w:after="60" w:line="276"/>
      </w:pPr>
      <w:r>
        <w:rPr>
          <w:rFonts w:ascii="Times New Roman" w:cs="Times New Roman" w:eastAsia="Times New Roman" w:hAnsi="Times New Roman"/>
          <w:sz w:val="22"/>
          <w:szCs w:val="22"/>
        </w:rPr>
        <w:t xml:space="preserve">Trend line where specified: Format → Visual → Trend line → On → Colour to match the series, Style Dashed, Combine series Off.</w:t>
      </w:r>
    </w:p>
    <w:p>
      <w:pPr>
        <w:pStyle w:val="ListParagraph"/>
        <w:numPr>
          <w:ilvl w:val="0"/>
          <w:numId w:val="13"/>
        </w:numPr>
        <w:spacing w:after="60" w:line="276"/>
      </w:pPr>
      <w:r>
        <w:rPr>
          <w:rFonts w:ascii="Times New Roman" w:cs="Times New Roman" w:eastAsia="Times New Roman" w:hAnsi="Times New Roman"/>
          <w:sz w:val="22"/>
          <w:szCs w:val="22"/>
        </w:rPr>
        <w:t xml:space="preserve">Data labels On, so each bubble carries its category name. Category labels are what make a scatter readable at a glance.</w:t>
      </w:r>
    </w:p>
    <w:p>
      <w:pPr>
        <w:pStyle w:val="ListParagraph"/>
        <w:numPr>
          <w:ilvl w:val="0"/>
          <w:numId w:val="13"/>
        </w:numPr>
        <w:spacing w:after="60" w:line="276"/>
      </w:pPr>
      <w:r>
        <w:rPr>
          <w:rFonts w:ascii="Times New Roman" w:cs="Times New Roman" w:eastAsia="Times New Roman" w:hAnsi="Times New Roman"/>
          <w:sz w:val="22"/>
          <w:szCs w:val="22"/>
        </w:rPr>
        <w:t xml:space="preserve">Play axis: leave empty. It animates and it is never what a reviewer wants on a static page.</w:t>
      </w:r>
    </w:p>
    <w:p>
      <w:pPr>
        <w:pStyle w:val="Heading2"/>
        <w:spacing w:after="120" w:before="280"/>
      </w:pPr>
      <w:r>
        <w:rPr>
          <w:rFonts w:ascii="Times New Roman" w:cs="Times New Roman" w:eastAsia="Times New Roman" w:hAnsi="Times New Roman"/>
          <w:b/>
          <w:bCs/>
          <w:color w:val="2E5496"/>
          <w:sz w:val="25"/>
          <w:szCs w:val="25"/>
        </w:rPr>
        <w:t xml:space="preserve">4.8 Pattern H — Small multiples (worked example: spec 2.2)</w:t>
      </w:r>
    </w:p>
    <w:p>
      <w:pPr>
        <w:pStyle w:val="ListParagraph"/>
        <w:numPr>
          <w:ilvl w:val="0"/>
          <w:numId w:val="14"/>
        </w:numPr>
        <w:spacing w:after="60" w:line="276"/>
      </w:pPr>
      <w:r>
        <w:rPr>
          <w:rFonts w:ascii="Times New Roman" w:cs="Times New Roman" w:eastAsia="Times New Roman" w:hAnsi="Times New Roman"/>
          <w:sz w:val="22"/>
          <w:szCs w:val="22"/>
        </w:rPr>
        <w:t xml:space="preserve">Build the visual as a normal single line, bar, column or area chart first, and confirm it reads correctly.</w:t>
      </w:r>
    </w:p>
    <w:p>
      <w:pPr>
        <w:pStyle w:val="ListParagraph"/>
        <w:numPr>
          <w:ilvl w:val="0"/>
          <w:numId w:val="14"/>
        </w:numPr>
        <w:spacing w:after="60" w:line="276"/>
      </w:pPr>
      <w:r>
        <w:rPr>
          <w:rFonts w:ascii="Times New Roman" w:cs="Times New Roman" w:eastAsia="Times New Roman" w:hAnsi="Times New Roman"/>
          <w:sz w:val="22"/>
          <w:szCs w:val="22"/>
        </w:rPr>
        <w:t xml:space="preserve">Drag the splitting dimension into the Small multiples well.</w:t>
      </w:r>
    </w:p>
    <w:p>
      <w:pPr>
        <w:pStyle w:val="ListParagraph"/>
        <w:numPr>
          <w:ilvl w:val="0"/>
          <w:numId w:val="14"/>
        </w:numPr>
        <w:spacing w:after="60" w:line="276"/>
      </w:pPr>
      <w:r>
        <w:rPr>
          <w:rFonts w:ascii="Times New Roman" w:cs="Times New Roman" w:eastAsia="Times New Roman" w:hAnsi="Times New Roman"/>
          <w:sz w:val="22"/>
          <w:szCs w:val="22"/>
        </w:rPr>
        <w:t xml:space="preserve">Format → Visual → Small multiples → Layout → set Rows and Columns to the grid the spec gives. Style → Background Off, Border On #E1DFDD.</w:t>
      </w:r>
    </w:p>
    <w:p>
      <w:pPr>
        <w:pStyle w:val="ListParagraph"/>
        <w:numPr>
          <w:ilvl w:val="0"/>
          <w:numId w:val="14"/>
        </w:numPr>
        <w:spacing w:after="60" w:line="276"/>
      </w:pPr>
      <w:r>
        <w:rPr>
          <w:rFonts w:ascii="Times New Roman" w:cs="Times New Roman" w:eastAsia="Times New Roman" w:hAnsi="Times New Roman"/>
          <w:sz w:val="22"/>
          <w:szCs w:val="22"/>
        </w:rPr>
        <w:t xml:space="preserve">Format → Visual → Y-axis → Scale: Shared. Independent scales make each panel look the same and hide exactly the difference the visual exists to show.</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Small multiples do not exist on scatter charts.  </w:t>
      </w:r>
      <w:r>
        <w:rPr>
          <w:rFonts w:ascii="Times New Roman" w:cs="Times New Roman" w:eastAsia="Times New Roman" w:hAnsi="Times New Roman"/>
          <w:sz w:val="21"/>
          <w:szCs w:val="21"/>
        </w:rPr>
        <w:t xml:space="preserve">Line, bar, column and area only. Spec 4.6 needs four per-type scatters and is therefore built as four separate visuals, each with its own visual-level filter — section 6.1 step 6 gives the method. This is the second constraint in document 01 §6.1.</w:t>
      </w:r>
    </w:p>
    <w:p>
      <w:pPr>
        <w:pStyle w:val="Heading2"/>
        <w:spacing w:after="120" w:before="280"/>
      </w:pPr>
      <w:r>
        <w:rPr>
          <w:rFonts w:ascii="Times New Roman" w:cs="Times New Roman" w:eastAsia="Times New Roman" w:hAnsi="Times New Roman"/>
          <w:b/>
          <w:bCs/>
          <w:color w:val="2E5496"/>
          <w:sz w:val="25"/>
          <w:szCs w:val="25"/>
        </w:rPr>
        <w:t xml:space="preserve">4.9 Pattern I — Pareto, line and stacked column (worked example: spec 7.5)</w:t>
      </w:r>
    </w:p>
    <w:p>
      <w:pPr>
        <w:pStyle w:val="ListParagraph"/>
        <w:numPr>
          <w:ilvl w:val="0"/>
          <w:numId w:val="15"/>
        </w:numPr>
        <w:spacing w:after="60" w:line="276"/>
      </w:pPr>
      <w:r>
        <w:rPr>
          <w:rFonts w:ascii="Times New Roman" w:cs="Times New Roman" w:eastAsia="Times New Roman" w:hAnsi="Times New Roman"/>
          <w:sz w:val="22"/>
          <w:szCs w:val="22"/>
        </w:rPr>
        <w:t xml:space="preserve">Empty canvas → Line and stacked column chart.</w:t>
      </w:r>
    </w:p>
    <w:p>
      <w:pPr>
        <w:pStyle w:val="ListParagraph"/>
        <w:numPr>
          <w:ilvl w:val="0"/>
          <w:numId w:val="15"/>
        </w:numPr>
        <w:spacing w:after="60" w:line="276"/>
      </w:pPr>
      <w:r>
        <w:rPr>
          <w:rFonts w:ascii="Times New Roman" w:cs="Times New Roman" w:eastAsia="Times New Roman" w:hAnsi="Times New Roman"/>
          <w:sz w:val="22"/>
          <w:szCs w:val="22"/>
        </w:rPr>
        <w:t xml:space="preserve">X-axis: DimItem[ItemDescription]. Column y-axis: Total Cases. Line y-axis: Cumulative Cases %.</w:t>
      </w:r>
    </w:p>
    <w:p>
      <w:pPr>
        <w:pStyle w:val="ListParagraph"/>
        <w:numPr>
          <w:ilvl w:val="0"/>
          <w:numId w:val="15"/>
        </w:numPr>
        <w:spacing w:after="60" w:line="276"/>
      </w:pPr>
      <w:r>
        <w:rPr>
          <w:rFonts w:ascii="Times New Roman" w:cs="Times New Roman" w:eastAsia="Times New Roman" w:hAnsi="Times New Roman"/>
          <w:sz w:val="22"/>
          <w:szCs w:val="22"/>
        </w:rPr>
        <w:t xml:space="preserve">Sort: ‘…’ → Sort axis → Total Cases → Sort descending. The accumulation is meaningless in any other order.</w:t>
      </w:r>
    </w:p>
    <w:p>
      <w:pPr>
        <w:pStyle w:val="ListParagraph"/>
        <w:numPr>
          <w:ilvl w:val="0"/>
          <w:numId w:val="15"/>
        </w:numPr>
        <w:spacing w:after="60" w:line="276"/>
      </w:pPr>
      <w:r>
        <w:rPr>
          <w:rFonts w:ascii="Times New Roman" w:cs="Times New Roman" w:eastAsia="Times New Roman" w:hAnsi="Times New Roman"/>
          <w:sz w:val="22"/>
          <w:szCs w:val="22"/>
        </w:rPr>
        <w:t xml:space="preserve">Top N: Filters pane → ItemDescription card → Top N → Top 100 → By value: Total Cases → Apply filter.</w:t>
      </w:r>
    </w:p>
    <w:p>
      <w:pPr>
        <w:pStyle w:val="ListParagraph"/>
        <w:numPr>
          <w:ilvl w:val="0"/>
          <w:numId w:val="15"/>
        </w:numPr>
        <w:spacing w:after="60" w:line="276"/>
      </w:pPr>
      <w:r>
        <w:rPr>
          <w:rFonts w:ascii="Times New Roman" w:cs="Times New Roman" w:eastAsia="Times New Roman" w:hAnsi="Times New Roman"/>
          <w:sz w:val="22"/>
          <w:szCs w:val="22"/>
        </w:rPr>
        <w:t xml:space="preserve">Secondary axis: Format → Visual → Y-axis (secondary) → Show On, Minimum 0, Maximum 1, format percentage.</w:t>
      </w:r>
    </w:p>
    <w:p>
      <w:pPr>
        <w:pStyle w:val="ListParagraph"/>
        <w:numPr>
          <w:ilvl w:val="0"/>
          <w:numId w:val="15"/>
        </w:numPr>
        <w:spacing w:after="60" w:line="276"/>
      </w:pPr>
      <w:r>
        <w:rPr>
          <w:rFonts w:ascii="Times New Roman" w:cs="Times New Roman" w:eastAsia="Times New Roman" w:hAnsi="Times New Roman"/>
          <w:sz w:val="22"/>
          <w:szCs w:val="22"/>
        </w:rPr>
        <w:t xml:space="preserve">The 80% line: Reference lines → + Add → Y-Axis Constant Line → Measure axis: Secondary → Value 0.8 → colour #C8860A, Style Dashed → Data label On, text “80% of volume”.</w:t>
      </w:r>
    </w:p>
    <w:p>
      <w:pPr>
        <w:pStyle w:val="ListParagraph"/>
        <w:numPr>
          <w:ilvl w:val="0"/>
          <w:numId w:val="15"/>
        </w:numPr>
        <w:spacing w:after="60" w:line="276"/>
      </w:pPr>
      <w:r>
        <w:rPr>
          <w:rFonts w:ascii="Times New Roman" w:cs="Times New Roman" w:eastAsia="Times New Roman" w:hAnsi="Times New Roman"/>
          <w:sz w:val="22"/>
          <w:szCs w:val="22"/>
        </w:rPr>
        <w:t xml:space="preserve">Format → Visual → X-axis → turn Title Off and set Font size 8; one hundred item names will not be legible and are not meant to be — the shape is the message.</w:t>
      </w:r>
    </w:p>
    <w:p>
      <w:pPr>
        <w:pStyle w:val="Heading2"/>
        <w:spacing w:after="120" w:before="280"/>
      </w:pPr>
      <w:r>
        <w:rPr>
          <w:rFonts w:ascii="Times New Roman" w:cs="Times New Roman" w:eastAsia="Times New Roman" w:hAnsi="Times New Roman"/>
          <w:b/>
          <w:bCs/>
          <w:color w:val="2E5496"/>
          <w:sz w:val="25"/>
          <w:szCs w:val="25"/>
        </w:rPr>
        <w:t xml:space="preserve">4.10 Pattern J — Binned column, the histogram substitute (worked example: spec 8.5)</w:t>
      </w:r>
    </w:p>
    <w:p>
      <w:pPr>
        <w:spacing w:after="120" w:line="276"/>
      </w:pPr>
      <w:r>
        <w:rPr>
          <w:rFonts w:ascii="Times New Roman" w:cs="Times New Roman" w:eastAsia="Times New Roman" w:hAnsi="Times New Roman"/>
          <w:sz w:val="22"/>
          <w:szCs w:val="22"/>
        </w:rPr>
        <w:t xml:space="preserve">Power BI has no native histogram visual. A bin group on the numeric column plus a clustered column chart is how this is built, and it is worth knowing because the question comes up in interviews.</w:t>
      </w:r>
    </w:p>
    <w:p>
      <w:pPr>
        <w:pStyle w:val="ListParagraph"/>
        <w:numPr>
          <w:ilvl w:val="0"/>
          <w:numId w:val="16"/>
        </w:numPr>
        <w:spacing w:after="60" w:line="276"/>
      </w:pPr>
      <w:r>
        <w:rPr>
          <w:rFonts w:ascii="Times New Roman" w:cs="Times New Roman" w:eastAsia="Times New Roman" w:hAnsi="Times New Roman"/>
          <w:sz w:val="22"/>
          <w:szCs w:val="22"/>
        </w:rPr>
        <w:t xml:space="preserve">Data pane → right-click DimItem[MonthsActive] → New group.</w:t>
      </w:r>
    </w:p>
    <w:p>
      <w:pPr>
        <w:pStyle w:val="ListParagraph"/>
        <w:numPr>
          <w:ilvl w:val="0"/>
          <w:numId w:val="16"/>
        </w:numPr>
        <w:spacing w:after="60" w:line="276"/>
      </w:pPr>
      <w:r>
        <w:rPr>
          <w:rFonts w:ascii="Times New Roman" w:cs="Times New Roman" w:eastAsia="Times New Roman" w:hAnsi="Times New Roman"/>
          <w:sz w:val="22"/>
          <w:szCs w:val="22"/>
        </w:rPr>
        <w:t xml:space="preserve">Group type: Bin. Bin type: Size of bins. Bin size: 3. → OK. A new field appears named “MonthsActive (bins)”.</w:t>
      </w:r>
    </w:p>
    <w:p>
      <w:pPr>
        <w:pStyle w:val="ListParagraph"/>
        <w:numPr>
          <w:ilvl w:val="0"/>
          <w:numId w:val="16"/>
        </w:numPr>
        <w:spacing w:after="60" w:line="276"/>
      </w:pPr>
      <w:r>
        <w:rPr>
          <w:rFonts w:ascii="Times New Roman" w:cs="Times New Roman" w:eastAsia="Times New Roman" w:hAnsi="Times New Roman"/>
          <w:sz w:val="22"/>
          <w:szCs w:val="22"/>
        </w:rPr>
        <w:t xml:space="preserve">Empty canvas → Clustered column chart. X-axis: MonthsActive (bins). Y-axis: drag DimItem[ItemKey] in and set its aggregation to Count (click the field’s dropdown in the well → Count).</w:t>
      </w:r>
    </w:p>
    <w:p>
      <w:pPr>
        <w:pStyle w:val="ListParagraph"/>
        <w:numPr>
          <w:ilvl w:val="0"/>
          <w:numId w:val="16"/>
        </w:numPr>
        <w:spacing w:after="60" w:line="276"/>
      </w:pPr>
      <w:r>
        <w:rPr>
          <w:rFonts w:ascii="Times New Roman" w:cs="Times New Roman" w:eastAsia="Times New Roman" w:hAnsi="Times New Roman"/>
          <w:sz w:val="22"/>
          <w:szCs w:val="22"/>
        </w:rPr>
        <w:t xml:space="preserve">Format → Visual → X-axis → Type: Categorical. Bins are categories, not a continuous scale.</w:t>
      </w:r>
    </w:p>
    <w:p>
      <w:pPr>
        <w:pStyle w:val="ListParagraph"/>
        <w:numPr>
          <w:ilvl w:val="0"/>
          <w:numId w:val="16"/>
        </w:numPr>
        <w:spacing w:after="60" w:line="276"/>
      </w:pPr>
      <w:r>
        <w:rPr>
          <w:rFonts w:ascii="Times New Roman" w:cs="Times New Roman" w:eastAsia="Times New Roman" w:hAnsi="Times New Roman"/>
          <w:sz w:val="22"/>
          <w:szCs w:val="22"/>
        </w:rPr>
        <w:t xml:space="preserve">Colour the first two bins to draw the eye: Columns → Colours → fx → Rules → based on the count → the tall short-tenure bins take #C0392B, the rest #1F3864. Alternatively colour all bars navy and add a text annotation — either satisfies the spec.</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This is a report-local calculated column, and that is allowed.  </w:t>
      </w:r>
      <w:r>
        <w:rPr>
          <w:rFonts w:ascii="Times New Roman" w:cs="Times New Roman" w:eastAsia="Times New Roman" w:hAnsi="Times New Roman"/>
          <w:sz w:val="21"/>
          <w:szCs w:val="21"/>
        </w:rPr>
        <w:t xml:space="preserve">A bin group is a local calculated column, which a live-connected report can create (§2.3). It exists only in R3 — which is correct, because only R3 uses it. Anything two reports need goes in the model instead.</w:t>
      </w:r>
    </w:p>
    <w:p>
      <w:pPr>
        <w:pStyle w:val="Heading2"/>
        <w:spacing w:after="120" w:before="280"/>
      </w:pPr>
      <w:r>
        <w:rPr>
          <w:rFonts w:ascii="Times New Roman" w:cs="Times New Roman" w:eastAsia="Times New Roman" w:hAnsi="Times New Roman"/>
          <w:b/>
          <w:bCs/>
          <w:color w:val="2E5496"/>
          <w:sz w:val="25"/>
          <w:szCs w:val="25"/>
        </w:rPr>
        <w:t xml:space="preserve">4.11 Pattern K — Narrative text box</w:t>
      </w:r>
    </w:p>
    <w:p>
      <w:pPr>
        <w:pStyle w:val="ListParagraph"/>
        <w:numPr>
          <w:ilvl w:val="0"/>
          <w:numId w:val="17"/>
        </w:numPr>
        <w:spacing w:after="60" w:line="276"/>
      </w:pPr>
      <w:r>
        <w:rPr>
          <w:rFonts w:ascii="Times New Roman" w:cs="Times New Roman" w:eastAsia="Times New Roman" w:hAnsi="Times New Roman"/>
          <w:sz w:val="22"/>
          <w:szCs w:val="22"/>
        </w:rPr>
        <w:t xml:space="preserve">Insert ribbon → Text box. Position per the page table.</w:t>
      </w:r>
    </w:p>
    <w:p>
      <w:pPr>
        <w:pStyle w:val="ListParagraph"/>
        <w:numPr>
          <w:ilvl w:val="0"/>
          <w:numId w:val="17"/>
        </w:numPr>
        <w:spacing w:after="60" w:line="276"/>
      </w:pPr>
      <w:r>
        <w:rPr>
          <w:rFonts w:ascii="Times New Roman" w:cs="Times New Roman" w:eastAsia="Times New Roman" w:hAnsi="Times New Roman"/>
          <w:sz w:val="22"/>
          <w:szCs w:val="22"/>
        </w:rPr>
        <w:t xml:space="preserve">Line 1: the heading, 11 pt Bold, #252423. Body: 10 pt, #605E5C, line spacing 1.2.</w:t>
      </w:r>
    </w:p>
    <w:p>
      <w:pPr>
        <w:pStyle w:val="ListParagraph"/>
        <w:numPr>
          <w:ilvl w:val="0"/>
          <w:numId w:val="17"/>
        </w:numPr>
        <w:spacing w:after="60" w:line="276"/>
      </w:pPr>
      <w:r>
        <w:rPr>
          <w:rFonts w:ascii="Times New Roman" w:cs="Times New Roman" w:eastAsia="Times New Roman" w:hAnsi="Times New Roman"/>
          <w:sz w:val="22"/>
          <w:szCs w:val="22"/>
        </w:rPr>
        <w:t xml:space="preserve">Format → General → Effects → Background: On, #FFFFFF; Visual border On, #E1DFDD, rounded corners 6.</w:t>
      </w:r>
    </w:p>
    <w:p>
      <w:pPr>
        <w:pStyle w:val="ListParagraph"/>
        <w:numPr>
          <w:ilvl w:val="0"/>
          <w:numId w:val="17"/>
        </w:numPr>
        <w:spacing w:after="60" w:line="276"/>
      </w:pPr>
      <w:r>
        <w:rPr>
          <w:rFonts w:ascii="Times New Roman" w:cs="Times New Roman" w:eastAsia="Times New Roman" w:hAnsi="Times New Roman"/>
          <w:sz w:val="22"/>
          <w:szCs w:val="22"/>
        </w:rPr>
        <w:t xml:space="preserve">Write one paragraph and no bullet lists. A narrative box exists to state a conclusion; a bullet list in it is a second chart nobody reads.</w:t>
      </w:r>
    </w:p>
    <w:p>
      <w:pPr>
        <w:pStyle w:val="Heading1"/>
        <w:spacing w:after="160" w:before="360"/>
      </w:pPr>
      <w:r>
        <w:rPr>
          <w:rFonts w:ascii="Times New Roman" w:cs="Times New Roman" w:eastAsia="Times New Roman" w:hAnsi="Times New Roman"/>
          <w:b/>
          <w:bCs/>
          <w:color w:val="1F3864"/>
          <w:sz w:val="30"/>
          <w:szCs w:val="30"/>
        </w:rPr>
        <w:t xml:space="preserve">5. Report 1 — Retail Sector Health</w:t>
      </w:r>
    </w:p>
    <w:p>
      <w:pPr>
        <w:spacing w:after="120" w:line="276"/>
      </w:pPr>
      <w:r>
        <w:rPr>
          <w:rFonts w:ascii="Times New Roman" w:cs="Times New Roman" w:eastAsia="Times New Roman" w:hAnsi="Times New Roman"/>
          <w:sz w:val="22"/>
          <w:szCs w:val="22"/>
        </w:rPr>
        <w:t xml:space="preserve">Three pages, specs 1.1 to 3.12. Open document 12 alongside. Create the file first: new Power BI Desktop file → Get data → Power BI semantic models → select RetailEconomics_Model → Connect. Save as pbip/R1_Retail_Sector_Health.</w:t>
      </w:r>
    </w:p>
    <w:p>
      <w:pPr>
        <w:pStyle w:val="Heading2"/>
        <w:spacing w:after="120" w:before="280"/>
      </w:pPr>
      <w:r>
        <w:rPr>
          <w:rFonts w:ascii="Times New Roman" w:cs="Times New Roman" w:eastAsia="Times New Roman" w:hAnsi="Times New Roman"/>
          <w:b/>
          <w:bCs/>
          <w:color w:val="2E5496"/>
          <w:sz w:val="25"/>
          <w:szCs w:val="25"/>
        </w:rPr>
        <w:t xml:space="preserve">5.1 Page 1 — Macro Environment</w:t>
      </w:r>
    </w:p>
    <w:p>
      <w:pPr>
        <w:spacing w:after="120" w:line="276"/>
      </w:pPr>
      <w:r>
        <w:rPr>
          <w:rFonts w:ascii="Times New Roman" w:cs="Times New Roman" w:eastAsia="Times New Roman" w:hAnsi="Times New Roman"/>
          <w:sz w:val="22"/>
          <w:szCs w:val="22"/>
        </w:rPr>
        <w:t xml:space="preserve">Header subtitle: “U.S. Retail Sector Health · Report 1 of 3 · all figures in USD”. Build order: KPI row left to right, then the indexed chart, then the right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CPI YoY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CPI YoY %; reference label: prior-month delta</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302 · 112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overlay at 30 · 166 · 270 · 28. Delta coloured by sign.</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Fed Funds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Fed Funds Rate; reference: change vs 12 months prior</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338 · 88 · 302 · 112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enabled.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Consumer Sentiment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Consumer Sentiment; reference: prior-month delta</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660 · 88 · 302 · 112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Callout value fx → Rules: &lt; 70 → #C8860A, else #252423.</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Saving Rate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Personal Saving Rate; reference: prior-month delta</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982 · 88 · 302 · 112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 conditional colour, no sparkline.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Macro Indicators, Indexed</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Macro Indexed to 100; Legend: DimIndicator[IndicatorName]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216 · 744 · 360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Rebasing to 100 is what lets a percentage, an index and a dollar series share one axis. Y-axis constant line at 100 labelled “base = 100”. Markers off; zoom slider On, X only.</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Retail Sales vs Inflation</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and clustered column · Pattern C</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Column: Sector Sales, filtered to 44X72 in the Filters pane; Line: CPI YoY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776 · 216 · 488 · 232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on the secondary axis, formatted as a percentage. Separates price from volume.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1.7</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Real vs Nominal Retail Sales</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Area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Y: Sector Sales, Real Sector Sales</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776 · 464 · 488 · 240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Fill transparency 70%. The gap between the two series is the inflation wedge — label it on the visual.</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1.8</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Narrative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Text box · Pattern K</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Static text</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592 · 744 · 112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One paragraph on what changed this period and why. No bullet lists.</w:t>
            </w:r>
          </w:p>
        </w:tc>
      </w:tr>
    </w:tbl>
    <w:p>
      <w:pPr>
        <w:spacing w:after="120" w:line="276"/>
      </w:pPr>
      <w:r>
        <w:rPr>
          <w:rFonts w:ascii="Times New Roman" w:cs="Times New Roman" w:eastAsia="Times New Roman" w:hAnsi="Times New Roman"/>
          <w:b/>
          <w:bCs/>
          <w:sz w:val="22"/>
          <w:szCs w:val="22"/>
        </w:rPr>
        <w:t xml:space="preserve">Interactions: </w:t>
      </w:r>
      <w:r>
        <w:rPr>
          <w:rFonts w:ascii="Times New Roman" w:cs="Times New Roman" w:eastAsia="Times New Roman" w:hAnsi="Times New Roman"/>
          <w:sz w:val="22"/>
          <w:szCs w:val="22"/>
        </w:rPr>
        <w:t xml:space="preserve">select 1.5 → Format ribbon → Edit interactions → on 1.6 and 1.7 click the funnel (Filter) icon rather than the highlight icon. Exit Edit interactions.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Page 1 done — compare against document 12 tab 1</w:t>
            </w:r>
          </w:p>
          <w:p>
            <w:pPr>
              <w:spacing w:after="100" w:line="276"/>
            </w:pPr>
            <w:r>
              <w:rPr>
                <w:rFonts w:ascii="Times New Roman" w:cs="Times New Roman" w:eastAsia="Times New Roman" w:hAnsi="Times New Roman"/>
                <w:sz w:val="21"/>
                <w:szCs w:val="21"/>
              </w:rPr>
              <w:t xml:space="preserve">Four KPI cards with one sparkline · four series rebased to 100 crossing a dashed baseline · columns with a red inflation line on a secondary axis · two areas diverging into the inflation wedge.</w:t>
            </w:r>
          </w:p>
          <w:p>
            <w:pPr>
              <w:spacing w:after="0" w:line="276"/>
            </w:pPr>
            <w:r>
              <w:rPr>
                <w:rFonts w:ascii="Times New Roman" w:cs="Times New Roman" w:eastAsia="Times New Roman" w:hAnsi="Times New Roman"/>
                <w:sz w:val="21"/>
                <w:szCs w:val="21"/>
              </w:rPr>
              <w:t xml:space="preserve">If the four series on 1.5 do not share a readable scale, Macro Indexed to 100 is not in the Y well — the raw Macro Value cannot put a percentage and an index on one axis.</w:t>
            </w:r>
          </w:p>
        </w:tc>
      </w:tr>
    </w:tbl>
    <w:p>
      <w:pPr>
        <w:pStyle w:val="Heading2"/>
        <w:spacing w:after="120" w:before="280"/>
      </w:pPr>
      <w:r>
        <w:rPr>
          <w:rFonts w:ascii="Times New Roman" w:cs="Times New Roman" w:eastAsia="Times New Roman" w:hAnsi="Times New Roman"/>
          <w:b/>
          <w:bCs/>
          <w:color w:val="2E5496"/>
          <w:sz w:val="25"/>
          <w:szCs w:val="25"/>
        </w:rPr>
        <w:t xml:space="preserve">5.2 Page 2 — Sector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2.1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Category group slicer</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Slicer</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DimCategory[CategoryGroup]</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1248 · 56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Tile style, horizontal. Discretionary / Staples / Services. Do NOT sync across pages.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2.2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Sector Growth by Category</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small multiples · Pattern H</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Y: Sector Sales YoY %; Small multiples: DimCategory[CategoryName]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156 · 624 · 272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Layout 3 × 3, shared Y scale. Small multiples ARE supported on line charts.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2.3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Share of Total Retail</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Stacked area · Pattern D</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Y: Share of Total Retail %; Legend: CategoryName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156 · 608 · 272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 axis fixed 0 to 100%. Aggregates drop out automatically — the measure returns blank for them.</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2.4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Category Detail</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Matrix · Pattern F</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Rows: CategoryName; Values: Sector Sales, Sector Sales YoY %, Real Sector Sales YoY %, Nominal less Real YoY (pp)</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440 · 624 · 264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Data bars on Sector Sales. Diverging colour scale on the final column, centred at zero.</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2.5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Price vs Volume Growth</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Scatter · Pattern G</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Sector Sales YoY %; Y: Nominal less Real YoY (pp); Size: Sector Sales; Details: CategoryName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440 · 432 · 264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Quadrant constant lines at X 0 and Y 0. Play axis off.</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2.6</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Inflation Wedge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Nominal less Real YoY (pp), filtered to 44X72</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1104 · 440 · 160 · 264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 sparkline. Callout size 28, colour #C0392B. Reads: “X points of headline growth was price, not volume.”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Page 2 done — compare against document 12 tab 2</w:t>
            </w:r>
          </w:p>
          <w:p>
            <w:pPr>
              <w:spacing w:after="100" w:line="276"/>
            </w:pPr>
            <w:r>
              <w:rPr>
                <w:rFonts w:ascii="Times New Roman" w:cs="Times New Roman" w:eastAsia="Times New Roman" w:hAnsi="Times New Roman"/>
                <w:sz w:val="21"/>
                <w:szCs w:val="21"/>
              </w:rPr>
              <w:t xml:space="preserve">Nine small-multiple panels on one shared scale · a stacked share band pinned to 100% · a matrix whose final column runs red to green through white · a bubble field with two dashed quadrant lines.</w:t>
            </w:r>
          </w:p>
          <w:p>
            <w:pPr>
              <w:spacing w:after="0" w:line="276"/>
            </w:pPr>
            <w:r>
              <w:rPr>
                <w:rFonts w:ascii="Times New Roman" w:cs="Times New Roman" w:eastAsia="Times New Roman" w:hAnsi="Times New Roman"/>
                <w:sz w:val="21"/>
                <w:szCs w:val="21"/>
              </w:rPr>
              <w:t xml:space="preserve">If 2.3 shows a category at 100%, an aggregate is leaking through — check DimCategory[IsAggregate] is TRUE for 44X72 and 44000.</w:t>
            </w:r>
          </w:p>
        </w:tc>
      </w:tr>
    </w:tbl>
    <w:p>
      <w:pPr>
        <w:pStyle w:val="Heading2"/>
        <w:spacing w:after="120" w:before="280"/>
      </w:pPr>
      <w:r>
        <w:rPr>
          <w:rFonts w:ascii="Times New Roman" w:cs="Times New Roman" w:eastAsia="Times New Roman" w:hAnsi="Times New Roman"/>
          <w:b/>
          <w:bCs/>
          <w:color w:val="2E5496"/>
          <w:sz w:val="25"/>
          <w:szCs w:val="25"/>
        </w:rPr>
        <w:t xml:space="preserve">5.3 Page 3 — Item-Level Volume and Channel Shift</w:t>
      </w:r>
    </w:p>
    <w:p>
      <w:pPr>
        <w:spacing w:after="120" w:line="276"/>
      </w:pPr>
      <w:r>
        <w:rPr>
          <w:rFonts w:ascii="Times New Roman" w:cs="Times New Roman" w:eastAsia="Times New Roman" w:hAnsi="Times New Roman"/>
          <w:sz w:val="22"/>
          <w:szCs w:val="22"/>
        </w:rPr>
        <w:t xml:space="preserve">Header subtitle must carry the unit: “Montgomery County MD · Report 1 page 3 · all measures in CASES”. Every axis on this page is labelled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Total Cases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Total Cases; reference: Total Cases YoY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302 · 96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Callout label “Total Cases (cases)”. Sparkline enabled.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On-Premise Share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On-Premise Share %; reference: On-Premise Share vs 2019 (pp)</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338 · 88 · 302 · 96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fx Rules on the reference label: &lt; −5 → #C0392B.</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Volume Gap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Volume Gap vs National (pp)</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660 · 88 · 302 · 96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Green above zero, red below.</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Active Items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Active Items</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982 · 88 · 302 · 96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 sparkline.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Local Volume vs National Real</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Total Cases YoY % (#1F3864), National Liquor Stores Real YoY % (#1B9E8F)</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196 · 664 · 208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Y-axis constant line at 0. The macro-to-micro payoff visual — do NOT substitute the nominal national series.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3.6</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Volume Gap by Class</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Clustered bar · Pattern E</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 DimItem[BeverageClass]; X: Volume Gap vs National (pp)</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696 · 196 · 568 · 208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Diverging colour by sign; constant line at 0; sorted ascending.</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3.7</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Supplier and Item Detail</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Matrix · Pattern F</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Rows: SupplierName → ItemDescription; Values: Retail Cases, Warehouse Cases, Retail Share of Movement %, Transfer to Sales Ratio</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412 · 664 · 144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Top N 25 on Total Cases. +/− expand enabled. Data bars on Retail Cases.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3.8</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Return Rows</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Return Rows</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696 · 412 · 568 · 144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 sparkline, callout #C8860A. Tooltip states that negative values are returns and transfers, retained by design.</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3.9</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Channel split</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Stacked area · Pattern D</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Off-Premise Cases, On-Premise Cases</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564 · 302 · 140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Absolute cases, NOT scaled to 100%. X-axis constant line at 1 Mar 2020, amber dashed, labelled once.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3.10</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On-premise share vs 2019</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On-Premise Share vs 2019 (pp)</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338 · 564 · 302 · 140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Y-axis constant line at 0 labelled “2019 base”; X-axis constant line at Mar 2020. Returning toward zero means transitory; settling below means consumption relocated.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3.11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Keg share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Keg Share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660 · 564 · 302 · 140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Area fill 80% transparency. X-axis constant line at Mar 2020. Kegs are near-pure on-premise — the least contaminated read.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3.12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National validation</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Sector Sales YoY % for categories 722 and 4453</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982 · 564 · 302 · 140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Use CategoryName in the Legend well filtered to those two codes. Confirms the local channel story has a national counterpart.</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Specs 3.9 to 3.12 must not cross-filter the upper grid.  </w:t>
      </w:r>
      <w:r>
        <w:rPr>
          <w:rFonts w:ascii="Times New Roman" w:cs="Times New Roman" w:eastAsia="Times New Roman" w:hAnsi="Times New Roman"/>
          <w:sz w:val="21"/>
          <w:szCs w:val="21"/>
        </w:rPr>
        <w:t xml:space="preserve">Select each in turn → Format ribbon → Edit interactions → set None on visuals 3.5 through 3.8. The channel panel answers a different question and linking them invites a reader to combine two findings that were never measured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Page 3 done — compare against document 12 tab 3</w:t>
            </w:r>
          </w:p>
          <w:p>
            <w:pPr>
              <w:spacing w:after="100" w:line="276"/>
            </w:pPr>
            <w:r>
              <w:rPr>
                <w:rFonts w:ascii="Times New Roman" w:cs="Times New Roman" w:eastAsia="Times New Roman" w:hAnsi="Times New Roman"/>
                <w:sz w:val="21"/>
                <w:szCs w:val="21"/>
              </w:rPr>
              <w:t xml:space="preserve">Four cards labelled in cases · two volume series converging after 2020 · a diverging bar with kegs alone in the red · a four-panel channel strip, each with an amber Mar-2020 line.</w:t>
            </w:r>
          </w:p>
          <w:p>
            <w:pPr>
              <w:spacing w:after="0" w:line="276"/>
            </w:pPr>
            <w:r>
              <w:rPr>
                <w:rFonts w:ascii="Times New Roman" w:cs="Times New Roman" w:eastAsia="Times New Roman" w:hAnsi="Times New Roman"/>
                <w:sz w:val="21"/>
                <w:szCs w:val="21"/>
              </w:rPr>
              <w:t xml:space="preserve">If an X-axis constant line cannot be added to any of 3.9 through 3.12, that visual’s X-axis is still categorical. Pattern B step 2.</w:t>
            </w:r>
          </w:p>
        </w:tc>
      </w:tr>
    </w:tbl>
    <w:p>
      <w:pPr>
        <w:pStyle w:val="Heading1"/>
        <w:spacing w:after="160" w:before="360"/>
      </w:pPr>
      <w:r>
        <w:rPr>
          <w:rFonts w:ascii="Times New Roman" w:cs="Times New Roman" w:eastAsia="Times New Roman" w:hAnsi="Times New Roman"/>
          <w:b/>
          <w:bCs/>
          <w:color w:val="1F3864"/>
          <w:sz w:val="30"/>
          <w:szCs w:val="30"/>
        </w:rPr>
        <w:t xml:space="preserve">6. Report 2 — Consumer Stress and Sector Rotation</w:t>
      </w:r>
    </w:p>
    <w:p>
      <w:pPr>
        <w:spacing w:after="120" w:line="276"/>
      </w:pPr>
      <w:r>
        <w:rPr>
          <w:rFonts w:ascii="Times New Roman" w:cs="Times New Roman" w:eastAsia="Times New Roman" w:hAnsi="Times New Roman"/>
          <w:sz w:val="22"/>
          <w:szCs w:val="22"/>
        </w:rPr>
        <w:t xml:space="preserve">Three pages, specs 4.1 to 6.9. Open document 13 alongside. New Desktop file → Get data → Power BI semantic models → RetailEconomics_Model → Connect. Save as pbip/R2_Consumer_Stress.</w:t>
      </w:r>
    </w:p>
    <w:p>
      <w:pPr>
        <w:pStyle w:val="Heading2"/>
        <w:spacing w:after="120" w:before="280"/>
      </w:pPr>
      <w:r>
        <w:rPr>
          <w:rFonts w:ascii="Times New Roman" w:cs="Times New Roman" w:eastAsia="Times New Roman" w:hAnsi="Times New Roman"/>
          <w:b/>
          <w:bCs/>
          <w:color w:val="2E5496"/>
          <w:sz w:val="25"/>
          <w:szCs w:val="25"/>
        </w:rPr>
        <w:t xml:space="preserve">6.1 Page 1 — Is Alcohol Recession-Resistant?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Consumer Stress Index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Consumer Stress Index</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302 · 112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on. Higher means more stress.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Volume Stress Sensitivity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Volume Stress Sensitivity</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338 · 88 · 302 · 112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 sparkline. Format to three decimals. OLS slope.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Volume Stress Correlation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Volume Stress Correlation</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660 · 88 · 302 · 112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fx Rules on absolute value: &lt; 0.3 → #C8860A with label text “weak”.</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Observation Count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Observation Count</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982 · 88 · 302 · 112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Visible border in #C8860A so it reads as required rather than decorative. Not optional — a coefficient without its sample size is not a finding.</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Stress vs Volume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and clustered column · Pattern C</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Column: Total Cases YoY %; Line: Consumer Stress Index</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212 · 744 · 216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on the secondary axis. The visual question is whether the volume series reacts at all when stress moves.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4.7</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Income Channel</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Y: Total Cases YoY %, Real Disposable Income YoY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776 · 212 · 488 · 216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Y-axis constant line at 0. Tests the income channel separately from the sentiment channel.</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4.8</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Stress Components</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Y: Unemployment Rate, Consumer Sentiment, Personal Saving Rate, each via Macro Indexed to 100</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212 · 744 · 216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Bookmark-layered over 4.5 — same footprint, toggled by a button. Shows what drives the composite; indexing is what puts the three units on one axis.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4.6a</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Wine scatter</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Scatter · Pattern G</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Consumer Stress Index; Y: Total Cases YoY %; Details: DimDate[MonthYear]</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440 · 302 · 152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Analytics-pane trend line On. Visual-level filter: ItemType = Wine.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4.6b</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Liquor scatter</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Scatter · Pattern G</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As 4.6a</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338 · 440 · 302 · 152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Copy 4.6a and change only the Filters-pane entry to Liquor.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4.6c</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Beer scatter</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Scatter · Pattern G</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As 4.6a</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660 · 440 · 302 · 152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Copy → filter Beer.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4.6d</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Kegs scatter</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Scatter · Pattern G</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As 4.6a</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982 · 440 · 302 · 152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Copy → filter Kegs. Border #C8860A — this is the panel that carries the finding.</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4.9</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Findings</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Text box · Pattern K</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Static text</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604 · 1248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States the coefficient, the month count, and whether it supports or undercuts the inelastic-demand claim. Names the limitation in the same paragraph.</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Spec 4.6 is four visuals, not a small multiple.  </w:t>
      </w:r>
      <w:r>
        <w:rPr>
          <w:rFonts w:ascii="Times New Roman" w:cs="Times New Roman" w:eastAsia="Times New Roman" w:hAnsi="Times New Roman"/>
          <w:sz w:val="21"/>
          <w:szCs w:val="21"/>
        </w:rPr>
        <w:t xml:space="preserve">Build 4.6a fully, then copy and change only the Filters-pane entry on each copy. Attempting a small multiple here will not offer the well at all — scatter does not support it. Document 01 §6.1.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Page 1 done — compare against document 13 tab 1</w:t>
            </w:r>
          </w:p>
          <w:p>
            <w:pPr>
              <w:spacing w:after="100" w:line="276"/>
            </w:pPr>
            <w:r>
              <w:rPr>
                <w:rFonts w:ascii="Times New Roman" w:cs="Times New Roman" w:eastAsia="Times New Roman" w:hAnsi="Times New Roman"/>
                <w:sz w:val="21"/>
                <w:szCs w:val="21"/>
              </w:rPr>
              <w:t xml:space="preserve">Four cards with the sample-size card visibly flagged · columns under a red stress line · four scatter panels whose trend lines get steeper left to right, kegs steepest.</w:t>
            </w:r>
          </w:p>
          <w:p>
            <w:pPr>
              <w:spacing w:after="0" w:line="276"/>
            </w:pPr>
            <w:r>
              <w:rPr>
                <w:rFonts w:ascii="Times New Roman" w:cs="Times New Roman" w:eastAsia="Times New Roman" w:hAnsi="Times New Roman"/>
                <w:sz w:val="21"/>
                <w:szCs w:val="21"/>
              </w:rPr>
              <w:t xml:space="preserve">If a trend line will not appear, check that Details holds MonthYear — a scatter with no Details field has one point and nothing to fit.</w:t>
            </w:r>
          </w:p>
        </w:tc>
      </w:tr>
    </w:tbl>
    <w:p>
      <w:pPr>
        <w:pStyle w:val="Heading2"/>
        <w:spacing w:after="120" w:before="280"/>
      </w:pPr>
      <w:r>
        <w:rPr>
          <w:rFonts w:ascii="Times New Roman" w:cs="Times New Roman" w:eastAsia="Times New Roman" w:hAnsi="Times New Roman"/>
          <w:b/>
          <w:bCs/>
          <w:color w:val="2E5496"/>
          <w:sz w:val="25"/>
          <w:szCs w:val="25"/>
        </w:rPr>
        <w:t xml:space="preserve">6.2 Page 2 — Mix Shift Under Stress</w:t>
      </w:r>
    </w:p>
    <w:p>
      <w:pPr>
        <w:spacing w:after="120" w:line="276"/>
      </w:pPr>
      <w:r>
        <w:rPr>
          <w:rFonts w:ascii="Times New Roman" w:cs="Times New Roman" w:eastAsia="Times New Roman" w:hAnsi="Times New Roman"/>
          <w:sz w:val="22"/>
          <w:szCs w:val="22"/>
        </w:rPr>
        <w:t xml:space="preserve">Aggregate volume can hold while the composition moves underneath it. This page looks for that, measured between item types — the source records cases and carries no price, so “trading down” here means the mix moving toward cheaper-to-serve categories, not a measured price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5.1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Slicer rail</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Slicers</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DimItem[ItemType] at 16 · 88 · 616 · 52; DimItem[BeverageClass] at 648 · 88 · 616 · 52</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1248 · 52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Tile style. Not synced across pages.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5.2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Total Cases YoY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Total Cases YoY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152 · 408 · 92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enabled. The total is the control — the finding is what happens underneath it.</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5.3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Keg Share Shift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Item Type Share vs 2019 (pp), visual-level filter ItemType = Kegs</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440 · 152 · 408 · 92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Red when negative. Kegs are the sharpest single mix signal because they are near-pure on-premise.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5.4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Mix Shift Magnitude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Mix Shift Magnitude (pp)</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864 · 152 · 400 · 92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One number for how far the whole composition has moved from 2019. Placed beside 5.2 deliberately — a flat total with a rising magnitude is the finding.</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5.5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Mix Composition</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Stacked area · Pattern D</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Y: Item Type Share %; Legend: ItemType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256 · 624 · 216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 axis fixed 0 to 100%.</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5.6</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Mix Shift vs 2019</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Y: Item Type Share vs 2019 (pp); Legend: ItemType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256 · 608 · 216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Y-axis constant line at 0. Separates genuine mix movement from level movement.</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5.7</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Mix Shift vs Stress</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and clustered column · Pattern C</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Column: Mix Shift Magnitude (pp); Line: Consumer Stress Index</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484 · 624 · 220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on the secondary axis. If composition moves with stress while the total holds, that is the trading-down result stated without needing a price.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5.8</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Mix Detail</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Matrix · Pattern F</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Rows: ItemType; Values: Total Cases, Total Cases YoY %, Item Type Share %, Item Type Share vs 2019 (pp)</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484 · 608 · 220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Diverging colour scale on the final column, centred at zero. No PriceTier child — the source carries no price, so there is no tier to nest.</w:t>
            </w:r>
          </w:p>
        </w:tc>
      </w:tr>
    </w:tbl>
    <w:p>
      <w:pPr>
        <w:pStyle w:val="Heading2"/>
        <w:spacing w:after="120" w:before="280"/>
      </w:pPr>
      <w:r>
        <w:rPr>
          <w:rFonts w:ascii="Times New Roman" w:cs="Times New Roman" w:eastAsia="Times New Roman" w:hAnsi="Times New Roman"/>
          <w:b/>
          <w:bCs/>
          <w:color w:val="2E5496"/>
          <w:sz w:val="25"/>
          <w:szCs w:val="25"/>
        </w:rPr>
        <w:t xml:space="preserve">6.3 Page 3 — Sector Rotation and Rate Sensitivity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E-commerce Share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E-commerce Share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enabled.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Department Store Share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Department Store Share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338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enabled.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Warehouse Club Share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Warehouse Club Share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660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enabled.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Goods to Services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Goods to Services Ratio</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982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 sparkline.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E-commerce Trend</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E-commerce Share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200 · 408 · 228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Area fill 85% transparency. 4541 as a share of 44X72 — the structural trend in one line.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6.6</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Share Transfer</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Department Store Share % (#C0392B), Warehouse Club Share % (#1B9E8F)</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440 · 200 · 408 · 228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The transfer between the two is the story — plot them together or it is invisible.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6.7</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Goods vs Services Rotation</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Goods to Services Ratio</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864 · 200 · 400 · 228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X-axis constant line at 1 Mar 2020. Shows the rotation into goods and the return toward services.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6.8</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Rate Sensitivity by Category</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Clustered bar · Pattern E</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 CategoryName; X: Rate Sensitivity Beta</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440 · 832 · 264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Sorted ascending; diverging colour by sign. Motor vehicles, furniture and building materials should sit at the negative end — if not, check the deflation before publishing.</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6.9</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Exposure vs Performance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Scatter · Pattern G</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Rate Sensitivity Beta; Y: Sector Sales YoY %; Size: Sector Sales; Details: CategoryName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864 · 440 · 400 · 264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Quadrant constant lines at X 0 and Y 0.</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Sanity-check 6.8 before moving on.  </w:t>
      </w:r>
      <w:r>
        <w:rPr>
          <w:rFonts w:ascii="Times New Roman" w:cs="Times New Roman" w:eastAsia="Times New Roman" w:hAnsi="Times New Roman"/>
          <w:sz w:val="21"/>
          <w:szCs w:val="21"/>
        </w:rPr>
        <w:t xml:space="preserve">Motor vehicles, furniture and building materials should land at the negative end. If they do not, the problem is almost certainly that Rate Sensitivity Beta is regressing on the nominal rather than the real growth series — check the measure in document 20 before you trust the chart.</w:t>
      </w:r>
    </w:p>
    <w:p>
      <w:pPr>
        <w:pStyle w:val="Heading1"/>
        <w:spacing w:after="160" w:before="360"/>
      </w:pPr>
      <w:r>
        <w:rPr>
          <w:rFonts w:ascii="Times New Roman" w:cs="Times New Roman" w:eastAsia="Times New Roman" w:hAnsi="Times New Roman"/>
          <w:b/>
          <w:bCs/>
          <w:color w:val="1F3864"/>
          <w:sz w:val="30"/>
          <w:szCs w:val="30"/>
        </w:rPr>
        <w:t xml:space="preserve">7. Report 3 — Assortment and Supplier Analytics</w:t>
      </w:r>
    </w:p>
    <w:p>
      <w:pPr>
        <w:spacing w:after="120" w:line="276"/>
      </w:pPr>
      <w:r>
        <w:rPr>
          <w:rFonts w:ascii="Times New Roman" w:cs="Times New Roman" w:eastAsia="Times New Roman" w:hAnsi="Times New Roman"/>
          <w:sz w:val="22"/>
          <w:szCs w:val="22"/>
        </w:rPr>
        <w:t xml:space="preserve">Four pages, specs 7.1 to 10.8. Open document 14 alongside. New Desktop file → live connection → save as pbip/R3_Assortment_Supplier. Every measure on this report is in cases and every page is Tier 3 only — do not add a national comparator anywhere.</w:t>
      </w:r>
    </w:p>
    <w:p>
      <w:pPr>
        <w:pStyle w:val="Heading2"/>
        <w:spacing w:after="120" w:before="280"/>
      </w:pPr>
      <w:r>
        <w:rPr>
          <w:rFonts w:ascii="Times New Roman" w:cs="Times New Roman" w:eastAsia="Times New Roman" w:hAnsi="Times New Roman"/>
          <w:b/>
          <w:bCs/>
          <w:color w:val="2E5496"/>
          <w:sz w:val="25"/>
          <w:szCs w:val="25"/>
        </w:rPr>
        <w:t xml:space="preserve">7.1 Page 1 — Assortment Concentration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Active Items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Active Items</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enabled.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Items to 80% of Volume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Items to 80% of Volume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338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The long-tail headline.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Median Months Active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Median Months Active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660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 sparkline.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Net Assortment Change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Net Assortment Change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982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Green positive, red negative.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Pareto</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and stacked column · Pattern I</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ItemDescription sorted by Total Cases desc, Top N 100; Column: Total Cases; Line: Cumulative Cases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200 · 768 · 504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Secondary axis 0 to 100%, constant line at 80% labelled “80% of volume”. X-axis title off, font 8 — the shape is the message, not the names.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7.6</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Concentration Over Time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DimDate[Year]; Y: Items to 80% of Volume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800 · 200 · 464 · 244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Falling means concentrating; rising means the tail is doing more work.</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7.7</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Assortment Churn</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and clustered column · Pattern C</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DimDate[Year]; Columns: New Items, Discontinued Items; Line: Net Assortment Change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800 · 460 · 464 · 244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on the secondary axis. Discontinued Items already excludes the final loaded month — do NOT re-add that filter at visual level.</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7.8</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Concentration by Type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Matrix · Pattern F</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Rows: ItemType; Values: Active Items, Items to 80% of Volume, Median Months Active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200 · 768 · 504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Bookmark-layered over 7.5 — same footprint, toggled by a button. Concentration differs sharply by category and the aggregate hides it.</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Do not add a date filter to 7.7.  </w:t>
      </w:r>
      <w:r>
        <w:rPr>
          <w:rFonts w:ascii="Times New Roman" w:cs="Times New Roman" w:eastAsia="Times New Roman" w:hAnsi="Times New Roman"/>
          <w:sz w:val="21"/>
          <w:szCs w:val="21"/>
        </w:rPr>
        <w:t xml:space="preserve">Discontinued Items already excludes the most recent loaded month inside the measure. Adding a visual-level filter to “fix” the right-hand edge double-excludes and understates every year.</w:t>
      </w:r>
    </w:p>
    <w:p>
      <w:pPr>
        <w:pStyle w:val="Heading2"/>
        <w:spacing w:after="120" w:before="280"/>
      </w:pPr>
      <w:r>
        <w:rPr>
          <w:rFonts w:ascii="Times New Roman" w:cs="Times New Roman" w:eastAsia="Times New Roman" w:hAnsi="Times New Roman"/>
          <w:b/>
          <w:bCs/>
          <w:color w:val="2E5496"/>
          <w:sz w:val="25"/>
          <w:szCs w:val="25"/>
        </w:rPr>
        <w:t xml:space="preserve">7.2 Page 2 — Item Survival by Cohort</w:t>
      </w:r>
    </w:p>
    <w:p>
      <w:pPr>
        <w:spacing w:after="120" w:line="276"/>
      </w:pPr>
      <w:r>
        <w:rPr>
          <w:rFonts w:ascii="Times New Roman" w:cs="Times New Roman" w:eastAsia="Times New Roman" w:hAnsi="Times New Roman"/>
          <w:sz w:val="22"/>
          <w:szCs w:val="22"/>
        </w:rPr>
        <w:t xml:space="preserve">Before building: create the bin group from Pattern J. It is a prerequisite for 8.5 and the field will not exist until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Cohort slicers</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Slicers</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DimItem[CohortYear] at 16 · 88 · 616 · 48; DimItem[ItemType] at 648 · 88 · 616 · 48</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1248 · 48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Tile style.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Cohort Size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Cohort Size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148 · 408 · 92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 sparkline.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12-Month Survival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Cohort Survival 12M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440 · 148 · 408 · 92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fx Rules: &lt; 0.5 → #C8860A. Remember decimals — 0.5, not 50.</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24-Month Survival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Cohort Survival 24M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864 · 148 · 400 · 92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Tenure Distribution</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Clustered column, binned · Pattern J</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MonthsActive (bins), size 3; Y: Count of DimItem[ItemKey]</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252 · 624 · 212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No native histogram visual exists — the bin group is how this is built. A long left spike means most introductions fail quickly.</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8.6</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Survival by Cohort</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DimItem[CohortYear]; Y: Cohort Survival 12M %, Cohort Survival 24M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252 · 608 · 212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Categorical X is fine here. Y-axis constant line at 0.5. Rising means introductions are improving.</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8.7</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Survival Grid</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Matrix · Pattern F</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Rows: CohortYear; Columns: ItemType; Values: Cohort Survival 12M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476 · 624 · 228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Diverging colour scale centred on the overall average.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8.8</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Size vs Success</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Scatter · Pattern G</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Cohort Size; Y: Cohort Survival 12M %; Details: CohortYear</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476 · 608 · 228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Y-axis constant line at the overall average. Colour the 2017 point #C8860A — it is left-censored. Caveat text box at 656 · 690 · 608 · 60.</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Flag 2017 on every visual on this page.  </w:t>
      </w:r>
      <w:r>
        <w:rPr>
          <w:rFonts w:ascii="Times New Roman" w:cs="Times New Roman" w:eastAsia="Times New Roman" w:hAnsi="Times New Roman"/>
          <w:sz w:val="21"/>
          <w:szCs w:val="21"/>
        </w:rPr>
        <w:t xml:space="preserve">The 2017 cohort is left-censored: items already selling when the series begins appear as 2017 introductions, which inflates the cohort and overstates its survival. Add a text box at X 656 Y 690 W 608 H 60 stating this, and colour the 2017 point on 8.8 in #C8860A. The caveat is part of the specification, not decoration.</w:t>
      </w:r>
    </w:p>
    <w:p>
      <w:pPr>
        <w:pStyle w:val="Heading2"/>
        <w:spacing w:after="120" w:before="280"/>
      </w:pPr>
      <w:r>
        <w:rPr>
          <w:rFonts w:ascii="Times New Roman" w:cs="Times New Roman" w:eastAsia="Times New Roman" w:hAnsi="Times New Roman"/>
          <w:b/>
          <w:bCs/>
          <w:color w:val="2E5496"/>
          <w:sz w:val="25"/>
          <w:szCs w:val="25"/>
        </w:rPr>
        <w:t xml:space="preserve">7.3 Page 3 — Supplier Concentration and Distribution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Active Suppliers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Active Suppliers</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enabled.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Supplier HHI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Supplier HHI</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338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fx Rules: ≥ 2500 → #C0392B · ≥ 1500 → #C8860A · else #252423.</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Top 10 Supplier Share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Top 10 Supplier Share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660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Supplier Return Rate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Supplier Return Rate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982 · 88 · 302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Concentration Trend</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DimDate[Year]; Y: Supplier HHI</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200 · 624 · 216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TWO Y-axis constant lines: 1500 amber “1500 unconcentrated”, 2500 red “2500 highly concentrated”.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9.6</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Share vs Count</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and clustered column · Pattern C</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DimDate[Year]; Column: Top 10 Supplier Share %; Line: Active Suppliers</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200 · 608 · 216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on the secondary axis. Concentration rising while count holds is a different story from concentration rising because suppliers left.</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9.7</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Distribution Quality</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Scatter · Pattern G</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Total Cases; Y: Transfer to Sales Ratio; Size: Supplier Return Rate %; Details: SupplierName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428 · 624 · 276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Quadrant lines at the median of each axis — read the medians off 9.8 and type them as constants. The upper-right quadrant is where volume and inefficiency coincide.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9.8</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Supplier Detail</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Matrix · Pattern F</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Rows: SupplierName; Values: Total Cases, Transfer to Sales Ratio, Supplier Return Rate %</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428 · 608 · 276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Top N 30 on Total Cases. Diverging colour on the last two columns. Drillthrough to item detail.</w:t>
            </w:r>
          </w:p>
        </w:tc>
      </w:tr>
    </w:tbl>
    <w:p>
      <w:pPr>
        <w:pStyle w:val="Heading2"/>
        <w:spacing w:after="120" w:before="280"/>
      </w:pPr>
      <w:r>
        <w:rPr>
          <w:rFonts w:ascii="Times New Roman" w:cs="Times New Roman" w:eastAsia="Times New Roman" w:hAnsi="Times New Roman"/>
          <w:b/>
          <w:bCs/>
          <w:color w:val="2E5496"/>
          <w:sz w:val="25"/>
          <w:szCs w:val="25"/>
        </w:rPr>
        <w:t xml:space="preserve">7.4 Page 4 — Seasonality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217"/>
        <w:gridCol w:w="1217"/>
        <w:gridCol w:w="2340"/>
        <w:gridCol w:w="1404"/>
        <w:gridCol w:w="2621"/>
      </w:tblGrid>
      <w:tr>
        <w:trPr>
          <w:tblHeader/>
        </w:trPr>
        <w:tc>
          <w:tcPr>
            <w:tcW w:type="dxa" w:w="56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Visual</w:t>
            </w:r>
          </w:p>
        </w:tc>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Type / Pattern</w:t>
            </w:r>
          </w:p>
        </w:tc>
        <w:tc>
          <w:tcPr>
            <w:tcW w:type="dxa" w:w="234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Fields</w:t>
            </w:r>
          </w:p>
        </w:tc>
        <w:tc>
          <w:tcPr>
            <w:tcW w:type="dxa" w:w="140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X · Y · W · H</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7"/>
                <w:szCs w:val="17"/>
              </w:rPr>
              <w:t xml:space="preserve">Formatting &amp; behavior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10.1</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Seasonal Amplitude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Seasonal Amplitude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88 · 408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Sparkline enabled.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10.2</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Peak Month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Peak Month — a TEXT measure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440 · 88 · 408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Cards accept text measures. Callout size 22 so a long month name fits.</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10.3</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Trough Month KPI</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Card · Pattern A</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Trough Month — a TEXT measure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864 · 88 · 400 · 100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10.4</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Seasonal Profile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Clustered column</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DimDate[MonthNumber]; Y: Month Seasonal Factor</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200 · 624 · 232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Y-axis constant line at 1.00 labelled “average month”, amber dashed. Columns fx → Rules: ≥ 1 → #1F3864 · &lt; 1 → #C7C4C0.</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10.5</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Adjusted vs Raw</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DimDate[Date] continuous; Y: Total Cases (#9FB3D1, width 1.5), Seasonally Adjusted Cases (#1F3864, width 3)</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200 · 608 · 232</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The adjusted line is the trend with seasonality removed.</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10.7</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Profile by Item Type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Column, small multiples · Pattern H</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As 10.4, plus Small multiples: DimItem[ItemType]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16 · 444 · 624 · 260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Layout 2 × 2, shared Y scale. Beer peaks in summer, spirits in December.</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10.6</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Amplitude Over Time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Line · Pattern B</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X: DimDate[Year]; Y: Seasonal Amplitude</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444 · 608 · 140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A narrowing amplitude means the seasonal pattern is flattening — itself a consumer-behaviour finding.</w:t>
            </w:r>
          </w:p>
        </w:tc>
      </w:tr>
      <w:tr>
        <w:trPr>
          <w:cantSplit/>
        </w:trPr>
        <w:tc>
          <w:tcPr>
            <w:tcW w:type="dxa" w:w="56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10.8</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Method note</w:t>
            </w:r>
          </w:p>
        </w:tc>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Text box · Pattern K</w:t>
            </w:r>
          </w:p>
        </w:tc>
        <w:tc>
          <w:tcPr>
            <w:tcW w:type="dxa" w:w="234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Static text</w:t>
            </w:r>
          </w:p>
        </w:tc>
        <w:tc>
          <w:tcPr>
            <w:tcW w:type="dxa" w:w="140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656 · 596 · 608 · 108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7"/>
                <w:szCs w:val="17"/>
              </w:rPr>
              <w:t xml:space="preserve">States that these are ratio-to-average factors, that Census uses X-13ARIMA-SEATS, and that the comparison is descriptive.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Report 3 done — compare against document 14, all four tabs</w:t>
            </w:r>
          </w:p>
          <w:p>
            <w:pPr>
              <w:spacing w:after="100" w:line="276"/>
            </w:pPr>
            <w:r>
              <w:rPr>
                <w:rFonts w:ascii="Times New Roman" w:cs="Times New Roman" w:eastAsia="Times New Roman" w:hAnsi="Times New Roman"/>
                <w:sz w:val="21"/>
                <w:szCs w:val="21"/>
              </w:rPr>
              <w:t xml:space="preserve">A Pareto whose cumulative line crosses 80% around item 418 · a tenure histogram with a heavy left spike · an HHI line climbing between two threshold lines · twelve seasonal columns split navy and gray around 1.00.</w:t>
            </w:r>
          </w:p>
          <w:p>
            <w:pPr>
              <w:spacing w:after="0" w:line="276"/>
            </w:pPr>
            <w:r>
              <w:rPr>
                <w:rFonts w:ascii="Times New Roman" w:cs="Times New Roman" w:eastAsia="Times New Roman" w:hAnsi="Times New Roman"/>
                <w:sz w:val="21"/>
                <w:szCs w:val="21"/>
              </w:rPr>
              <w:t xml:space="preserve">If the Pareto line does not reach 100% at the right-hand edge, the ranking and total contexts disagree — validation check 14 in document 02 §9.</w:t>
            </w:r>
          </w:p>
        </w:tc>
      </w:tr>
    </w:tbl>
    <w:p>
      <w:pPr>
        <w:pStyle w:val="Heading1"/>
        <w:spacing w:after="160" w:before="360"/>
      </w:pPr>
      <w:r>
        <w:rPr>
          <w:rFonts w:ascii="Times New Roman" w:cs="Times New Roman" w:eastAsia="Times New Roman" w:hAnsi="Times New Roman"/>
          <w:b/>
          <w:bCs/>
          <w:color w:val="1F3864"/>
          <w:sz w:val="30"/>
          <w:szCs w:val="30"/>
        </w:rPr>
        <w:t xml:space="preserve">8. Cross-Report Wiring</w:t>
      </w:r>
    </w:p>
    <w:p>
      <w:pPr>
        <w:pStyle w:val="Heading2"/>
        <w:spacing w:after="120" w:before="280"/>
      </w:pPr>
      <w:r>
        <w:rPr>
          <w:rFonts w:ascii="Times New Roman" w:cs="Times New Roman" w:eastAsia="Times New Roman" w:hAnsi="Times New Roman"/>
          <w:b/>
          <w:bCs/>
          <w:color w:val="2E5496"/>
          <w:sz w:val="25"/>
          <w:szCs w:val="25"/>
        </w:rPr>
        <w:t xml:space="preserve">8.1 Sync slicers</w:t>
      </w:r>
    </w:p>
    <w:p>
      <w:pPr>
        <w:pStyle w:val="ListParagraph"/>
        <w:numPr>
          <w:ilvl w:val="0"/>
          <w:numId w:val="18"/>
        </w:numPr>
        <w:spacing w:after="60" w:line="276"/>
      </w:pPr>
      <w:r>
        <w:rPr>
          <w:rFonts w:ascii="Times New Roman" w:cs="Times New Roman" w:eastAsia="Times New Roman" w:hAnsi="Times New Roman"/>
          <w:sz w:val="22"/>
          <w:szCs w:val="22"/>
        </w:rPr>
        <w:t xml:space="preserve">Select the date slicer on page 1 → View ribbon → Sync slicers.</w:t>
      </w:r>
    </w:p>
    <w:p>
      <w:pPr>
        <w:pStyle w:val="ListParagraph"/>
        <w:numPr>
          <w:ilvl w:val="0"/>
          <w:numId w:val="18"/>
        </w:numPr>
        <w:spacing w:after="60" w:line="276"/>
      </w:pPr>
      <w:r>
        <w:rPr>
          <w:rFonts w:ascii="Times New Roman" w:cs="Times New Roman" w:eastAsia="Times New Roman" w:hAnsi="Times New Roman"/>
          <w:sz w:val="22"/>
          <w:szCs w:val="22"/>
        </w:rPr>
        <w:t xml:space="preserve">In the sync pane, tick Sync and Visible for every page in this report.</w:t>
      </w:r>
    </w:p>
    <w:p>
      <w:pPr>
        <w:pStyle w:val="ListParagraph"/>
        <w:numPr>
          <w:ilvl w:val="0"/>
          <w:numId w:val="18"/>
        </w:numPr>
        <w:spacing w:after="60" w:line="276"/>
      </w:pPr>
      <w:r>
        <w:rPr>
          <w:rFonts w:ascii="Times New Roman" w:cs="Times New Roman" w:eastAsia="Times New Roman" w:hAnsi="Times New Roman"/>
          <w:sz w:val="22"/>
          <w:szCs w:val="22"/>
        </w:rPr>
        <w:t xml:space="preserve">Leave every other slicer unsynced. Confirm by changing a category slicer on one page and checking the others are unaffected.</w:t>
      </w:r>
    </w:p>
    <w:p>
      <w:pPr>
        <w:pStyle w:val="Heading2"/>
        <w:spacing w:after="120" w:before="280"/>
      </w:pPr>
      <w:r>
        <w:rPr>
          <w:rFonts w:ascii="Times New Roman" w:cs="Times New Roman" w:eastAsia="Times New Roman" w:hAnsi="Times New Roman"/>
          <w:b/>
          <w:bCs/>
          <w:color w:val="2E5496"/>
          <w:sz w:val="25"/>
          <w:szCs w:val="25"/>
        </w:rPr>
        <w:t xml:space="preserve">8.2 Reset bookmark</w:t>
      </w:r>
    </w:p>
    <w:p>
      <w:pPr>
        <w:pStyle w:val="ListParagraph"/>
        <w:numPr>
          <w:ilvl w:val="0"/>
          <w:numId w:val="19"/>
        </w:numPr>
        <w:spacing w:after="60" w:line="276"/>
      </w:pPr>
      <w:r>
        <w:rPr>
          <w:rFonts w:ascii="Times New Roman" w:cs="Times New Roman" w:eastAsia="Times New Roman" w:hAnsi="Times New Roman"/>
          <w:sz w:val="22"/>
          <w:szCs w:val="22"/>
        </w:rPr>
        <w:t xml:space="preserve">Clear every slicer and filter to the state a reader should land on.</w:t>
      </w:r>
    </w:p>
    <w:p>
      <w:pPr>
        <w:pStyle w:val="ListParagraph"/>
        <w:numPr>
          <w:ilvl w:val="0"/>
          <w:numId w:val="19"/>
        </w:numPr>
        <w:spacing w:after="60" w:line="276"/>
      </w:pPr>
      <w:r>
        <w:rPr>
          <w:rFonts w:ascii="Times New Roman" w:cs="Times New Roman" w:eastAsia="Times New Roman" w:hAnsi="Times New Roman"/>
          <w:sz w:val="22"/>
          <w:szCs w:val="22"/>
        </w:rPr>
        <w:t xml:space="preserve">View ribbon → Bookmarks → Add. Rename it “Reset”. Right-click it → ensure Data and Display are ticked, Current page unticked.</w:t>
      </w:r>
    </w:p>
    <w:p>
      <w:pPr>
        <w:pStyle w:val="ListParagraph"/>
        <w:numPr>
          <w:ilvl w:val="0"/>
          <w:numId w:val="19"/>
        </w:numPr>
        <w:spacing w:after="60" w:line="276"/>
      </w:pPr>
      <w:r>
        <w:rPr>
          <w:rFonts w:ascii="Times New Roman" w:cs="Times New Roman" w:eastAsia="Times New Roman" w:hAnsi="Times New Roman"/>
          <w:sz w:val="22"/>
          <w:szCs w:val="22"/>
        </w:rPr>
        <w:t xml:space="preserve">Insert → Buttons → Blank → text “Reset filters”. Position it bottom-right of the page, X 1150 Y 706 W 114 H 22.</w:t>
      </w:r>
    </w:p>
    <w:p>
      <w:pPr>
        <w:pStyle w:val="ListParagraph"/>
        <w:numPr>
          <w:ilvl w:val="0"/>
          <w:numId w:val="19"/>
        </w:numPr>
        <w:spacing w:after="60" w:line="276"/>
      </w:pPr>
      <w:r>
        <w:rPr>
          <w:rFonts w:ascii="Times New Roman" w:cs="Times New Roman" w:eastAsia="Times New Roman" w:hAnsi="Times New Roman"/>
          <w:sz w:val="22"/>
          <w:szCs w:val="22"/>
        </w:rPr>
        <w:t xml:space="preserve">Format → Visual → Action → Type: Bookmark → Bookmark: Reset.</w:t>
      </w:r>
    </w:p>
    <w:p>
      <w:pPr>
        <w:pStyle w:val="ListParagraph"/>
        <w:numPr>
          <w:ilvl w:val="0"/>
          <w:numId w:val="19"/>
        </w:numPr>
        <w:spacing w:after="60" w:line="276"/>
      </w:pPr>
      <w:r>
        <w:rPr>
          <w:rFonts w:ascii="Times New Roman" w:cs="Times New Roman" w:eastAsia="Times New Roman" w:hAnsi="Times New Roman"/>
          <w:sz w:val="22"/>
          <w:szCs w:val="22"/>
        </w:rPr>
        <w:t xml:space="preserve">Copy the button to every page in the report.</w:t>
      </w:r>
    </w:p>
    <w:p>
      <w:pPr>
        <w:pStyle w:val="Heading2"/>
        <w:spacing w:after="120" w:before="280"/>
      </w:pPr>
      <w:r>
        <w:rPr>
          <w:rFonts w:ascii="Times New Roman" w:cs="Times New Roman" w:eastAsia="Times New Roman" w:hAnsi="Times New Roman"/>
          <w:b/>
          <w:bCs/>
          <w:color w:val="2E5496"/>
          <w:sz w:val="25"/>
          <w:szCs w:val="25"/>
        </w:rPr>
        <w:t xml:space="preserve">8.3 Drillthrough</w:t>
      </w:r>
    </w:p>
    <w:p>
      <w:pPr>
        <w:pStyle w:val="ListParagraph"/>
        <w:numPr>
          <w:ilvl w:val="0"/>
          <w:numId w:val="20"/>
        </w:numPr>
        <w:spacing w:after="60" w:line="276"/>
      </w:pPr>
      <w:r>
        <w:rPr>
          <w:rFonts w:ascii="Times New Roman" w:cs="Times New Roman" w:eastAsia="Times New Roman" w:hAnsi="Times New Roman"/>
          <w:sz w:val="22"/>
          <w:szCs w:val="22"/>
        </w:rPr>
        <w:t xml:space="preserve">Create a new page, rename it “Item Detail”, and set Format page → Page information → Allow use as drillthrough: On, then Hide page (right-click the page tab → Hide page).</w:t>
      </w:r>
    </w:p>
    <w:p>
      <w:pPr>
        <w:pStyle w:val="ListParagraph"/>
        <w:numPr>
          <w:ilvl w:val="0"/>
          <w:numId w:val="20"/>
        </w:numPr>
        <w:spacing w:after="60" w:line="276"/>
      </w:pPr>
      <w:r>
        <w:rPr>
          <w:rFonts w:ascii="Times New Roman" w:cs="Times New Roman" w:eastAsia="Times New Roman" w:hAnsi="Times New Roman"/>
          <w:sz w:val="22"/>
          <w:szCs w:val="22"/>
        </w:rPr>
        <w:t xml:space="preserve">Drag DimItem[BeverageClass], DimItem[ItemType] and DimSupplier[SupplierName] into the Drill through well one at a time.</w:t>
      </w:r>
    </w:p>
    <w:p>
      <w:pPr>
        <w:pStyle w:val="ListParagraph"/>
        <w:numPr>
          <w:ilvl w:val="0"/>
          <w:numId w:val="20"/>
        </w:numPr>
        <w:spacing w:after="60" w:line="276"/>
      </w:pPr>
      <w:r>
        <w:rPr>
          <w:rFonts w:ascii="Times New Roman" w:cs="Times New Roman" w:eastAsia="Times New Roman" w:hAnsi="Times New Roman"/>
          <w:sz w:val="22"/>
          <w:szCs w:val="22"/>
        </w:rPr>
        <w:t xml:space="preserve">Build the detail content: a matrix of ItemDescription with Retail Cases, Warehouse Cases, Transfer to Sales Ratio and MonthsActive, plus a line of Total Cases over time.</w:t>
      </w:r>
    </w:p>
    <w:p>
      <w:pPr>
        <w:pStyle w:val="ListParagraph"/>
        <w:numPr>
          <w:ilvl w:val="0"/>
          <w:numId w:val="20"/>
        </w:numPr>
        <w:spacing w:after="60" w:line="276"/>
      </w:pPr>
      <w:r>
        <w:rPr>
          <w:rFonts w:ascii="Times New Roman" w:cs="Times New Roman" w:eastAsia="Times New Roman" w:hAnsi="Times New Roman"/>
          <w:sz w:val="22"/>
          <w:szCs w:val="22"/>
        </w:rPr>
        <w:t xml:space="preserve">A back button appears automatically in the top-left. Do not delete it.</w:t>
      </w:r>
    </w:p>
    <w:p>
      <w:pPr>
        <w:pStyle w:val="ListParagraph"/>
        <w:numPr>
          <w:ilvl w:val="0"/>
          <w:numId w:val="20"/>
        </w:numPr>
        <w:spacing w:after="60" w:line="276"/>
      </w:pPr>
      <w:r>
        <w:rPr>
          <w:rFonts w:ascii="Times New Roman" w:cs="Times New Roman" w:eastAsia="Times New Roman" w:hAnsi="Times New Roman"/>
          <w:sz w:val="22"/>
          <w:szCs w:val="22"/>
        </w:rPr>
        <w:t xml:space="preserve">Test: return to R1 page 3, right-click a bar on 3.6 → Drill through → Item Detail. The page should open filtered to that class.</w:t>
      </w:r>
    </w:p>
    <w:p>
      <w:pPr>
        <w:pStyle w:val="Heading2"/>
        <w:spacing w:after="120" w:before="280"/>
      </w:pPr>
      <w:r>
        <w:rPr>
          <w:rFonts w:ascii="Times New Roman" w:cs="Times New Roman" w:eastAsia="Times New Roman" w:hAnsi="Times New Roman"/>
          <w:b/>
          <w:bCs/>
          <w:color w:val="2E5496"/>
          <w:sz w:val="25"/>
          <w:szCs w:val="25"/>
        </w:rPr>
        <w:t xml:space="preserve">8.4 Tooltip page</w:t>
      </w:r>
    </w:p>
    <w:p>
      <w:pPr>
        <w:pStyle w:val="ListParagraph"/>
        <w:numPr>
          <w:ilvl w:val="0"/>
          <w:numId w:val="21"/>
        </w:numPr>
        <w:spacing w:after="60" w:line="276"/>
      </w:pPr>
      <w:r>
        <w:rPr>
          <w:rFonts w:ascii="Times New Roman" w:cs="Times New Roman" w:eastAsia="Times New Roman" w:hAnsi="Times New Roman"/>
          <w:sz w:val="22"/>
          <w:szCs w:val="22"/>
        </w:rPr>
        <w:t xml:space="preserve">New page → Format page → Canvas settings → Type: Tooltip. Page information → Allow use as tooltip: On. Hide the page.</w:t>
      </w:r>
    </w:p>
    <w:p>
      <w:pPr>
        <w:pStyle w:val="ListParagraph"/>
        <w:numPr>
          <w:ilvl w:val="0"/>
          <w:numId w:val="21"/>
        </w:numPr>
        <w:spacing w:after="60" w:line="276"/>
      </w:pPr>
      <w:r>
        <w:rPr>
          <w:rFonts w:ascii="Times New Roman" w:cs="Times New Roman" w:eastAsia="Times New Roman" w:hAnsi="Times New Roman"/>
          <w:sz w:val="22"/>
          <w:szCs w:val="22"/>
        </w:rPr>
        <w:t xml:space="preserve">Add two or three small visuals — a sparkline of Total Cases and a card of Transfer to Sales Ratio work well.</w:t>
      </w:r>
    </w:p>
    <w:p>
      <w:pPr>
        <w:pStyle w:val="ListParagraph"/>
        <w:numPr>
          <w:ilvl w:val="0"/>
          <w:numId w:val="21"/>
        </w:numPr>
        <w:spacing w:after="60" w:line="276"/>
      </w:pPr>
      <w:r>
        <w:rPr>
          <w:rFonts w:ascii="Times New Roman" w:cs="Times New Roman" w:eastAsia="Times New Roman" w:hAnsi="Times New Roman"/>
          <w:sz w:val="22"/>
          <w:szCs w:val="22"/>
        </w:rPr>
        <w:t xml:space="preserve">On the visual that should use it: Format → General → Tooltips → Type: Report page → Page: the tooltip page.</w:t>
      </w:r>
    </w:p>
    <w:p>
      <w:pPr>
        <w:pStyle w:val="Heading1"/>
        <w:spacing w:after="160" w:before="360"/>
      </w:pPr>
      <w:r>
        <w:rPr>
          <w:rFonts w:ascii="Times New Roman" w:cs="Times New Roman" w:eastAsia="Times New Roman" w:hAnsi="Times New Roman"/>
          <w:b/>
          <w:bCs/>
          <w:color w:val="1F3864"/>
          <w:sz w:val="30"/>
          <w:szCs w:val="30"/>
        </w:rPr>
        <w:t xml:space="preserve">9. Accessibility Pass</w:t>
      </w:r>
    </w:p>
    <w:p>
      <w:pPr>
        <w:spacing w:after="120" w:line="276"/>
      </w:pPr>
      <w:r>
        <w:rPr>
          <w:rFonts w:ascii="Times New Roman" w:cs="Times New Roman" w:eastAsia="Times New Roman" w:hAnsi="Times New Roman"/>
          <w:sz w:val="22"/>
          <w:szCs w:val="22"/>
        </w:rPr>
        <w:t xml:space="preserve">Run this on all ten pages before publishing. It takes about twenty minutes and it is the difference between a report that passes review and one that gets a comment.</w:t>
      </w:r>
    </w:p>
    <w:p>
      <w:pPr>
        <w:pStyle w:val="ListParagraph"/>
        <w:numPr>
          <w:ilvl w:val="0"/>
          <w:numId w:val="22"/>
        </w:numPr>
        <w:spacing w:after="60" w:line="276"/>
      </w:pPr>
      <w:r>
        <w:rPr>
          <w:rFonts w:ascii="Times New Roman" w:cs="Times New Roman" w:eastAsia="Times New Roman" w:hAnsi="Times New Roman"/>
          <w:sz w:val="22"/>
          <w:szCs w:val="22"/>
        </w:rPr>
        <w:t xml:space="preserve">Alt text on every visual: Format → General → Alt text. One sentence describing what the visual shows, not what type it is.</w:t>
      </w:r>
    </w:p>
    <w:p>
      <w:pPr>
        <w:pStyle w:val="ListParagraph"/>
        <w:numPr>
          <w:ilvl w:val="0"/>
          <w:numId w:val="22"/>
        </w:numPr>
        <w:spacing w:after="60" w:line="276"/>
      </w:pPr>
      <w:r>
        <w:rPr>
          <w:rFonts w:ascii="Times New Roman" w:cs="Times New Roman" w:eastAsia="Times New Roman" w:hAnsi="Times New Roman"/>
          <w:sz w:val="22"/>
          <w:szCs w:val="22"/>
        </w:rPr>
        <w:t xml:space="preserve">Tab order: View ribbon → Selection pane → Tab order tab. Put the header band and decorative shapes at the end, or remove them from the order with the hide-from-tab-order control. Reading order should be KPI row, then main visuals left to right.</w:t>
      </w:r>
    </w:p>
    <w:p>
      <w:pPr>
        <w:pStyle w:val="ListParagraph"/>
        <w:numPr>
          <w:ilvl w:val="0"/>
          <w:numId w:val="22"/>
        </w:numPr>
        <w:spacing w:after="60" w:line="276"/>
      </w:pPr>
      <w:r>
        <w:rPr>
          <w:rFonts w:ascii="Times New Roman" w:cs="Times New Roman" w:eastAsia="Times New Roman" w:hAnsi="Times New Roman"/>
          <w:sz w:val="22"/>
          <w:szCs w:val="22"/>
        </w:rPr>
        <w:t xml:space="preserve">Never encode meaning by colour alone. Every conditionally formatted matrix column also carries an icon or a sign; every diverging bar carries a data label.</w:t>
      </w:r>
    </w:p>
    <w:p>
      <w:pPr>
        <w:pStyle w:val="ListParagraph"/>
        <w:numPr>
          <w:ilvl w:val="0"/>
          <w:numId w:val="22"/>
        </w:numPr>
        <w:spacing w:after="60" w:line="276"/>
      </w:pPr>
      <w:r>
        <w:rPr>
          <w:rFonts w:ascii="Times New Roman" w:cs="Times New Roman" w:eastAsia="Times New Roman" w:hAnsi="Times New Roman"/>
          <w:sz w:val="22"/>
          <w:szCs w:val="22"/>
        </w:rPr>
        <w:t xml:space="preserve">Contrast: check text against its background at 4.5:1 minimum. #605E5C on #FFFFFF passes; #B3B0AD on #FAFAFA does not — use it for lines, never for text.</w:t>
      </w:r>
    </w:p>
    <w:p>
      <w:pPr>
        <w:pStyle w:val="ListParagraph"/>
        <w:numPr>
          <w:ilvl w:val="0"/>
          <w:numId w:val="22"/>
        </w:numPr>
        <w:spacing w:after="60" w:line="276"/>
      </w:pPr>
      <w:r>
        <w:rPr>
          <w:rFonts w:ascii="Times New Roman" w:cs="Times New Roman" w:eastAsia="Times New Roman" w:hAnsi="Times New Roman"/>
          <w:sz w:val="22"/>
          <w:szCs w:val="22"/>
        </w:rPr>
        <w:t xml:space="preserve">Titles: every visual has one, and it says what the visual shows rather than naming the measure.</w:t>
      </w:r>
    </w:p>
    <w:p>
      <w:pPr>
        <w:pStyle w:val="Heading1"/>
        <w:spacing w:after="160" w:before="360"/>
      </w:pPr>
      <w:r>
        <w:rPr>
          <w:rFonts w:ascii="Times New Roman" w:cs="Times New Roman" w:eastAsia="Times New Roman" w:hAnsi="Times New Roman"/>
          <w:b/>
          <w:bCs/>
          <w:color w:val="1F3864"/>
          <w:sz w:val="30"/>
          <w:szCs w:val="30"/>
        </w:rPr>
        <w:t xml:space="preserve">10. Publish and Verify</w:t>
      </w:r>
    </w:p>
    <w:p>
      <w:pPr>
        <w:pStyle w:val="ListParagraph"/>
        <w:numPr>
          <w:ilvl w:val="0"/>
          <w:numId w:val="23"/>
        </w:numPr>
        <w:spacing w:after="60" w:line="276"/>
      </w:pPr>
      <w:r>
        <w:rPr>
          <w:rFonts w:ascii="Times New Roman" w:cs="Times New Roman" w:eastAsia="Times New Roman" w:hAnsi="Times New Roman"/>
          <w:sz w:val="22"/>
          <w:szCs w:val="22"/>
        </w:rPr>
        <w:t xml:space="preserve">File → Save As → .pbip into the clone’s pbip/ folder, under the report’s own name.</w:t>
      </w:r>
    </w:p>
    <w:p>
      <w:pPr>
        <w:pStyle w:val="ListParagraph"/>
        <w:numPr>
          <w:ilvl w:val="0"/>
          <w:numId w:val="23"/>
        </w:numPr>
        <w:spacing w:after="60" w:line="276"/>
      </w:pPr>
      <w:r>
        <w:rPr>
          <w:rFonts w:ascii="Times New Roman" w:cs="Times New Roman" w:eastAsia="Times New Roman" w:hAnsi="Times New Roman"/>
          <w:sz w:val="22"/>
          <w:szCs w:val="22"/>
        </w:rPr>
        <w:t xml:space="preserve">Publish → select the same workspace the semantic model lives in.</w:t>
      </w:r>
    </w:p>
    <w:p>
      <w:pPr>
        <w:pStyle w:val="ListParagraph"/>
        <w:numPr>
          <w:ilvl w:val="0"/>
          <w:numId w:val="23"/>
        </w:numPr>
        <w:spacing w:after="60" w:line="276"/>
      </w:pPr>
      <w:r>
        <w:rPr>
          <w:rFonts w:ascii="Times New Roman" w:cs="Times New Roman" w:eastAsia="Times New Roman" w:hAnsi="Times New Roman"/>
          <w:sz w:val="22"/>
          <w:szCs w:val="22"/>
        </w:rPr>
        <w:t xml:space="preserve">In the Service, open each report and confirm it renders with data. A blank report usually means the live connection was pointed at a different workspace.</w:t>
      </w:r>
    </w:p>
    <w:p>
      <w:pPr>
        <w:pStyle w:val="ListParagraph"/>
        <w:numPr>
          <w:ilvl w:val="0"/>
          <w:numId w:val="23"/>
        </w:numPr>
        <w:spacing w:after="60" w:line="276"/>
      </w:pPr>
      <w:r>
        <w:rPr>
          <w:rFonts w:ascii="Times New Roman" w:cs="Times New Roman" w:eastAsia="Times New Roman" w:hAnsi="Times New Roman"/>
          <w:sz w:val="22"/>
          <w:szCs w:val="22"/>
        </w:rPr>
        <w:t xml:space="preserve">Confirm the binding: open the report in Desktop again. The status bar should show the live connection, and the modelling ribbon should be disabled. An editable Fields pane means a local model was created by accident and the report is not thin.</w:t>
      </w:r>
    </w:p>
    <w:p>
      <w:pPr>
        <w:pStyle w:val="ListParagraph"/>
        <w:numPr>
          <w:ilvl w:val="0"/>
          <w:numId w:val="23"/>
        </w:numPr>
        <w:spacing w:after="60" w:line="276"/>
      </w:pPr>
      <w:r>
        <w:rPr>
          <w:rFonts w:ascii="Times New Roman" w:cs="Times New Roman" w:eastAsia="Times New Roman" w:hAnsi="Times New Roman"/>
          <w:sz w:val="22"/>
          <w:szCs w:val="22"/>
        </w:rPr>
        <w:t xml:space="preserve">Take the page screenshots at 1280 × 720 for assets/ — ten pages plus the model view. Document 00 §11.</w:t>
      </w:r>
    </w:p>
    <w:p>
      <w:pPr>
        <w:pStyle w:val="Heading1"/>
        <w:spacing w:after="160" w:before="360"/>
      </w:pPr>
      <w:r>
        <w:rPr>
          <w:rFonts w:ascii="Times New Roman" w:cs="Times New Roman" w:eastAsia="Times New Roman" w:hAnsi="Times New Roman"/>
          <w:b/>
          <w:bCs/>
          <w:color w:val="1F3864"/>
          <w:sz w:val="30"/>
          <w:szCs w:val="30"/>
        </w:rPr>
        <w:t xml:space="preserve">11.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Symptom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Cause and fix</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Reference lines offer no X-axis option</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X-axis is categorical. Format → Visual → X-axis → Type → Continuous. Only possible when the X field is a date or number — use DimDate[Date], not DimDate[MonthYear].</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Months sort alphabetically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sort-by column is missing on the model. MonthYear must sort by DateKey (document 02 §7.3). This cannot be fixed in a thin report — fix the model and republish.</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Small multiples well is absent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visual is a scatter or a pie. Small multiples exist on line, bar, column and area only.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conditional rule never fires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Percentages were entered as whole numbers. Rules use decimals: 0.5 is 50%, 1 is 100%.</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scatter point sits on top of the others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Details well is empty, so there is one point for the whole dataset. Add the dimension that should produce one point each.</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Cumulative Cases % never reaches 100%</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ranking context and the total context disagree. Confirm the Top N filter is on the visual and not on the page, and that the sort is descending by Total Cases.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card shows (Blank)</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Usually a baseline measure with no rows in context — for example On-Premise Share 2019 Baseline under a slicer selection with no 2019 history. Validation check 9 in document 02 §9 exists for this.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forecast or a measure cannot be found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was republished with a renamed measure. Reopen the report; Desktop prompts to refresh the field list. Renaming a measure in the model breaks every report that referenced it — rename deliberately and rarely.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Modelling ribbon is greyed out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Expected. This is a thin report (§2.3).</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Edit interactions icons do not appear</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visual must be selected first, and Edit interactions is on the Format RIBBON at the top of the window, not in the Format pane.</w:t>
            </w:r>
          </w:p>
        </w:tc>
      </w:tr>
    </w:tbl>
    <w:p>
      <w:pPr>
        <w:pStyle w:val="Heading1"/>
        <w:spacing w:after="160" w:before="360"/>
      </w:pPr>
      <w:r>
        <w:rPr>
          <w:rFonts w:ascii="Times New Roman" w:cs="Times New Roman" w:eastAsia="Times New Roman" w:hAnsi="Times New Roman"/>
          <w:b/>
          <w:bCs/>
          <w:color w:val="1F3864"/>
          <w:sz w:val="30"/>
          <w:szCs w:val="30"/>
        </w:rPr>
        <w:t xml:space="preserve">12. References</w:t>
      </w:r>
    </w:p>
    <w:p>
      <w:pPr>
        <w:spacing w:after="120" w:line="276"/>
      </w:pPr>
      <w:r>
        <w:rPr>
          <w:rFonts w:ascii="Times New Roman" w:cs="Times New Roman" w:eastAsia="Times New Roman" w:hAnsi="Times New Roman"/>
          <w:sz w:val="22"/>
          <w:szCs w:val="22"/>
        </w:rPr>
        <w:t xml:space="preserve">Verified against the live pages in September 2026. These four articles are the documentary basis for the three native-visual constraints recorded in document 01 §6.1 and applied throughout sections 4 to 7.</w:t>
      </w:r>
    </w:p>
    <w:p>
      <w:pPr>
        <w:spacing w:after="80" w:line="276"/>
      </w:pPr>
      <w:r>
        <w:rPr>
          <w:rFonts w:ascii="Times New Roman" w:cs="Times New Roman" w:eastAsia="Times New Roman" w:hAnsi="Times New Roman"/>
          <w:sz w:val="21"/>
          <w:szCs w:val="21"/>
        </w:rPr>
        <w:t xml:space="preserve">Create small multiples in Power BI (Pattern H, §4.8) — </w:t>
      </w:r>
      <w:hyperlink w:history="1" r:id="rIds1spw6gnx8phg0e5keb0h">
        <w:r>
          <w:rPr>
            <w:rFonts w:ascii="Times New Roman" w:cs="Times New Roman" w:eastAsia="Times New Roman" w:hAnsi="Times New Roman"/>
            <w:color w:val="0563C1"/>
            <w:sz w:val="21"/>
            <w:szCs w:val="21"/>
            <w:u w:val="single"/>
          </w:rPr>
          <w:t xml:space="preserve">https://learn.microsoft.com/en-us/power-bi/visuals/power-bi-visualization-small-multiples</w:t>
        </w:r>
      </w:hyperlink>
    </w:p>
    <w:p>
      <w:pPr>
        <w:spacing w:after="80" w:line="276"/>
      </w:pPr>
      <w:r>
        <w:rPr>
          <w:rFonts w:ascii="Times New Roman" w:cs="Times New Roman" w:eastAsia="Times New Roman" w:hAnsi="Times New Roman"/>
          <w:sz w:val="21"/>
          <w:szCs w:val="21"/>
        </w:rPr>
        <w:t xml:space="preserve">Use grouping and binning in Power BI Desktop (Pattern J, §4.10) — </w:t>
      </w:r>
      <w:hyperlink w:history="1" r:id="rIdttpgskzz05ojajdqsbn_7">
        <w:r>
          <w:rPr>
            <w:rFonts w:ascii="Times New Roman" w:cs="Times New Roman" w:eastAsia="Times New Roman" w:hAnsi="Times New Roman"/>
            <w:color w:val="0563C1"/>
            <w:sz w:val="21"/>
            <w:szCs w:val="21"/>
            <w:u w:val="single"/>
          </w:rPr>
          <w:t xml:space="preserve">https://learn.microsoft.com/en-us/power-bi/create-reports/desktop-grouping-and-binning</w:t>
        </w:r>
      </w:hyperlink>
    </w:p>
    <w:p>
      <w:pPr>
        <w:spacing w:after="80" w:line="276"/>
      </w:pPr>
      <w:r>
        <w:rPr>
          <w:rFonts w:ascii="Times New Roman" w:cs="Times New Roman" w:eastAsia="Times New Roman" w:hAnsi="Times New Roman"/>
          <w:sz w:val="21"/>
          <w:szCs w:val="21"/>
        </w:rPr>
        <w:t xml:space="preserve">Use the Analytics pane in Power BI — constant lines (Patterns B, E, G, I) — </w:t>
      </w:r>
      <w:hyperlink w:history="1" r:id="rId4jyb6k2qvo89xtc9r4psq">
        <w:r>
          <w:rPr>
            <w:rFonts w:ascii="Times New Roman" w:cs="Times New Roman" w:eastAsia="Times New Roman" w:hAnsi="Times New Roman"/>
            <w:color w:val="0563C1"/>
            <w:sz w:val="21"/>
            <w:szCs w:val="21"/>
            <w:u w:val="single"/>
          </w:rPr>
          <w:t xml:space="preserve">https://learn.microsoft.com/en-us/power-bi/transform-model/desktop-analytics-pane</w:t>
        </w:r>
      </w:hyperlink>
    </w:p>
    <w:p>
      <w:pPr>
        <w:spacing w:after="80" w:line="276"/>
      </w:pPr>
      <w:r>
        <w:rPr>
          <w:rFonts w:ascii="Times New Roman" w:cs="Times New Roman" w:eastAsia="Times New Roman" w:hAnsi="Times New Roman"/>
          <w:sz w:val="21"/>
          <w:szCs w:val="21"/>
        </w:rPr>
        <w:t xml:space="preserve">Connect to semantic models in the Power BI service from Power BI Desktop (§2.3, §10) — </w:t>
      </w:r>
      <w:hyperlink w:history="1" r:id="rIdzc_warn_gjgaynvdjn5_s">
        <w:r>
          <w:rPr>
            <w:rFonts w:ascii="Times New Roman" w:cs="Times New Roman" w:eastAsia="Times New Roman" w:hAnsi="Times New Roman"/>
            <w:color w:val="0563C1"/>
            <w:sz w:val="21"/>
            <w:szCs w:val="21"/>
            <w:u w:val="single"/>
          </w:rPr>
          <w:t xml:space="preserve">https://learn.microsoft.com/en-us/power-bi/connect-data/desktop-report-lifecycle-datasets</w:t>
        </w:r>
      </w:hyperlink>
    </w:p>
    <w:p>
      <w:pPr>
        <w:spacing w:after="80" w:line="276"/>
      </w:pPr>
      <w:r>
        <w:rPr>
          <w:rFonts w:ascii="Times New Roman" w:cs="Times New Roman" w:eastAsia="Times New Roman" w:hAnsi="Times New Roman"/>
          <w:sz w:val="21"/>
          <w:szCs w:val="21"/>
        </w:rPr>
        <w:t xml:space="preserve">Measures in Power BI Desktop — report-level measures (§2.3) — </w:t>
      </w:r>
      <w:hyperlink w:history="1" r:id="rIdldrb-con2mq352yjsaelt">
        <w:r>
          <w:rPr>
            <w:rFonts w:ascii="Times New Roman" w:cs="Times New Roman" w:eastAsia="Times New Roman" w:hAnsi="Times New Roman"/>
            <w:color w:val="0563C1"/>
            <w:sz w:val="21"/>
            <w:szCs w:val="21"/>
            <w:u w:val="single"/>
          </w:rPr>
          <w:t xml:space="preserve">https://learn.microsoft.com/en-us/power-bi/transform-model/desktop-measures</w:t>
        </w:r>
      </w:hyperlink>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One of the three constraints is observed, not documented.  </w:t>
      </w:r>
      <w:r>
        <w:rPr>
          <w:rFonts w:ascii="Times New Roman" w:cs="Times New Roman" w:eastAsia="Times New Roman" w:hAnsi="Times New Roman"/>
          <w:sz w:val="21"/>
          <w:szCs w:val="21"/>
        </w:rPr>
        <w:t xml:space="preserve">The small multiples article states plainly that the feature exists on bar, column, line and area charts only, which is the citation behind Pattern H and spec 4.6. The grouping and binning article confirms the Pattern J method. The Analytics pane article documents X-axis and Y-axis constant lines and which visuals support them, but it does NOT state the continuous-versus-categorical axis requirement — that constraint is observed in the product and is recorded here as observed behaviour rather than cited documentation. Pattern B step 2 and the §11 troubleshooting row both describe the symptom so it can be recognised rather than taken on trust.</w:t>
      </w:r>
    </w:p>
    <w:p>
      <w:pPr>
        <w:pStyle w:val="Heading1"/>
        <w:spacing w:after="160" w:before="360"/>
      </w:pPr>
      <w:r>
        <w:rPr>
          <w:rFonts w:ascii="Times New Roman" w:cs="Times New Roman" w:eastAsia="Times New Roman" w:hAnsi="Times New Roman"/>
          <w:b/>
          <w:bCs/>
          <w:color w:val="1F3864"/>
          <w:sz w:val="30"/>
          <w:szCs w:val="30"/>
        </w:rPr>
        <w:t xml:space="preserve">13. AI Assistance Disclosure</w:t>
      </w:r>
    </w:p>
    <w:p>
      <w:pPr>
        <w:spacing w:after="120" w:line="276"/>
      </w:pPr>
      <w:r>
        <w:rPr>
          <w:rFonts w:ascii="Times New Roman" w:cs="Times New Roman" w:eastAsia="Times New Roman" w:hAnsi="Times New Roman"/>
          <w:sz w:val="22"/>
          <w:szCs w:val="22"/>
        </w:rPr>
        <w:t xml:space="preserve">Portions of this document were drafted with the assistance of a generative AI system. The author reviewed all technical content prior to publication.</w:t>
      </w:r>
    </w:p>
    <w:p>
      <w:pPr>
        <w:spacing w:after="120" w:line="276"/>
      </w:pPr>
      <w:r>
        <w:rPr>
          <w:rFonts w:ascii="Times New Roman" w:cs="Times New Roman" w:eastAsia="Times New Roman" w:hAnsi="Times New Roman"/>
          <w:sz w:val="22"/>
          <w:szCs w:val="22"/>
        </w:rPr>
        <w:t xml:space="preserve">Power BI interface paths, native-visual capabilities and live-connection behaviour described here were verified against Microsoft documentation and the current Desktop release in September 2026. Menu paths and control names shift between monthly releases; where a named control cannot be found, it has usually moved within the same card rather than been removed. Positions and sizes are exact for a 1,280 × 720 canvas and should be typed rather than dragged.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1spw6gnx8phg0e5keb0h" Type="http://schemas.openxmlformats.org/officeDocument/2006/relationships/hyperlink" Target="https://learn.microsoft.com/en-us/power-bi/visuals/power-bi-visualization-small-multiples" TargetMode="External"/><Relationship Id="rIdttpgskzz05ojajdqsbn_7" Type="http://schemas.openxmlformats.org/officeDocument/2006/relationships/hyperlink" Target="https://learn.microsoft.com/en-us/power-bi/create-reports/desktop-grouping-and-binning" TargetMode="External"/><Relationship Id="rId4jyb6k2qvo89xtc9r4psq" Type="http://schemas.openxmlformats.org/officeDocument/2006/relationships/hyperlink" Target="https://learn.microsoft.com/en-us/power-bi/transform-model/desktop-analytics-pane" TargetMode="External"/><Relationship Id="rIdzc_warn_gjgaynvdjn5_s" Type="http://schemas.openxmlformats.org/officeDocument/2006/relationships/hyperlink" Target="https://learn.microsoft.com/en-us/power-bi/connect-data/desktop-report-lifecycle-datasets" TargetMode="External"/><Relationship Id="rIdldrb-con2mq352yjsaelt" Type="http://schemas.openxmlformats.org/officeDocument/2006/relationships/hyperlink" Target="https://learn.microsoft.com/en-us/power-bi/transform-model/desktop-measur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2026-09-16T19:55:41.070Z</dcterms:created>
  <dcterms:modified xsi:type="dcterms:W3CDTF">2026-09-16T19:55:41.070Z</dcterms:modified>
</cp:coreProperties>
</file>

<file path=docProps/custom.xml><?xml version="1.0" encoding="utf-8"?>
<Properties xmlns="http://schemas.openxmlformats.org/officeDocument/2006/custom-properties" xmlns:vt="http://schemas.openxmlformats.org/officeDocument/2006/docPropsVTypes"/>
</file>