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V10</w:t>
      </w:r>
    </w:p>
    <w:p>
      <w:pPr>
        <w:spacing w:after="60"/>
      </w:pPr>
      <w:r>
        <w:rPr>
          <w:rFonts w:ascii="Times New Roman" w:cs="Times New Roman" w:eastAsia="Times New Roman" w:hAnsi="Times New Roman"/>
          <w:b/>
          <w:bCs/>
          <w:color w:val="1F3864"/>
          <w:sz w:val="38"/>
          <w:szCs w:val="38"/>
        </w:rPr>
        <w:t xml:space="preserve">Channel Story Has a National Counterpart</w:t>
      </w:r>
    </w:p>
    <w:p>
      <w:pPr>
        <w:spacing w:after="120"/>
      </w:pPr>
      <w:r>
        <w:rPr>
          <w:rFonts w:ascii="Times New Roman" w:cs="Times New Roman" w:eastAsia="Times New Roman" w:hAnsi="Times New Roman"/>
          <w:color w:val="2E5496"/>
          <w:sz w:val="24"/>
          <w:szCs w:val="24"/>
        </w:rPr>
        <w:t xml:space="preserve">Check 10 of 17 · Model pass · Recorded in document 22 · Gates G4, G5, G7, G8</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the 2020 collapse in local bar-and-restaurant volume also shows up in the national figures — so the story is about consumers, not a county rule.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2020 divergence between 722 and 4453 moves in the same direction and months as the local on-premise collapse. If not, the local series reflects county policy rather than consumer behaviour and the narrative must be reframed.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Advisory — the finding decides how R1 Page 3 is worded.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recorded finding: the months and directions, marked Pass once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measure folder 05 Channel closes; at the model pass; confirmed against R1 Page 3’s wording.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DAX query view; then report R1.</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 G5, G7 and G8</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In spring 2020 the county’s on-premise share — cases going to bars and restaurants — fell sharply. That could be people changing where they drink, or it could be a local order closing bars. The national Census data can tell them apart: if food services and drinking places (722) fell nationally while beer, wine and liquor stores (4453) rose in the same months, the shift was national consumer behaviour. If not, R1 Page 3 must not describe it that way.</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FRED</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Federal Reserve Economic Data, the St. Louis Fed website. It republishes Census series under its own IDs.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Advisory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whose result is written down and explained. It does not by itself stop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ListParagraph"/>
        <w:numPr>
          <w:ilvl w:val="0"/>
          <w:numId w:val="2"/>
        </w:numPr>
        <w:spacing w:after="60" w:line="276"/>
      </w:pPr>
      <w:r>
        <w:rPr>
          <w:rFonts w:ascii="Times New Roman" w:cs="Times New Roman" w:eastAsia="Times New Roman" w:hAnsi="Times New Roman"/>
          <w:sz w:val="22"/>
          <w:szCs w:val="22"/>
        </w:rPr>
        <w:t xml:space="preserve">Measure folders 02 Sector, 03 Micro and 05 Channel are built.</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Put the three series side by side for 2019 to 2021</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SUMMARIZECOLUMNS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DimDate[DateKey],</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FILTER ( VALUES ( DimDate[Year] ), DimDate[Year] IN { 2019, 2020, 2021 }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"722 YoY %",        CALCULATE ( [Sector Sales YoY %], DimCategory[CategoryCode] = "722"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"4453 YoY %",       CALCULATE ( [Sector Sales YoY %], DimCategory[CategoryCode] = "4453"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"On-Premise Share", [On-Premise Share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ORDER BY DimDate[DateKey]</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The grid shows one row per month. The first two columns are growth against the same month a year earlier, as decimals: −0.25 means down 25%. The third is the local on-premise share, as a decimal.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6.	</w:t>
      </w:r>
      <w:r>
        <w:rPr>
          <w:rFonts w:ascii="Times New Roman" w:cs="Times New Roman" w:eastAsia="Times New Roman" w:hAnsi="Times New Roman"/>
          <w:sz w:val="22"/>
          <w:szCs w:val="22"/>
        </w:rPr>
        <w:t xml:space="preserve">Answer three questions and write the answers down:</w:t>
      </w:r>
    </w:p>
    <w:p>
      <w:pPr>
        <w:pStyle w:val="ListParagraph"/>
        <w:numPr>
          <w:ilvl w:val="1"/>
          <w:numId w:val="2"/>
        </w:numPr>
        <w:spacing w:after="60" w:line="276"/>
      </w:pPr>
      <w:r>
        <w:rPr>
          <w:rFonts w:ascii="Times New Roman" w:cs="Times New Roman" w:eastAsia="Times New Roman" w:hAnsi="Times New Roman"/>
          <w:sz w:val="22"/>
          <w:szCs w:val="22"/>
        </w:rPr>
        <w:t xml:space="preserve">In which month does On-Premise Share drop most sharply in 2020?</w:t>
      </w:r>
    </w:p>
    <w:p>
      <w:pPr>
        <w:pStyle w:val="ListParagraph"/>
        <w:numPr>
          <w:ilvl w:val="1"/>
          <w:numId w:val="2"/>
        </w:numPr>
        <w:spacing w:after="60" w:line="276"/>
      </w:pPr>
      <w:r>
        <w:rPr>
          <w:rFonts w:ascii="Times New Roman" w:cs="Times New Roman" w:eastAsia="Times New Roman" w:hAnsi="Times New Roman"/>
          <w:sz w:val="22"/>
          <w:szCs w:val="22"/>
        </w:rPr>
        <w:t xml:space="preserve">In those same months, is 722 YoY % negative (national restaurants and bars down)?</w:t>
      </w:r>
    </w:p>
    <w:p>
      <w:pPr>
        <w:pStyle w:val="ListParagraph"/>
        <w:numPr>
          <w:ilvl w:val="1"/>
          <w:numId w:val="2"/>
        </w:numPr>
        <w:spacing w:after="60" w:line="276"/>
      </w:pPr>
      <w:r>
        <w:rPr>
          <w:rFonts w:ascii="Times New Roman" w:cs="Times New Roman" w:eastAsia="Times New Roman" w:hAnsi="Times New Roman"/>
          <w:sz w:val="22"/>
          <w:szCs w:val="22"/>
        </w:rPr>
        <w:t xml:space="preserve">In those same months, is 4453 YoY % positive (national liquor stores up)?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7.	</w:t>
      </w:r>
      <w:r>
        <w:rPr>
          <w:rFonts w:ascii="Times New Roman" w:cs="Times New Roman" w:eastAsia="Times New Roman" w:hAnsi="Times New Roman"/>
          <w:sz w:val="22"/>
          <w:szCs w:val="22"/>
        </w:rPr>
        <w:t xml:space="preserve">Note the month each series starts to recover.</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2"/>
        <w:spacing w:after="120" w:before="280"/>
      </w:pPr>
      <w:r>
        <w:rPr>
          <w:rFonts w:ascii="Times New Roman" w:cs="Times New Roman" w:eastAsia="Times New Roman" w:hAnsi="Times New Roman"/>
          <w:b/>
          <w:bCs/>
          <w:color w:val="2E5496"/>
          <w:sz w:val="25"/>
          <w:szCs w:val="25"/>
        </w:rPr>
        <w:t xml:space="preserve">4.3 Compare with the words on R1 Page 3</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R1 and go to Page 3. Read visual 3.12, the national validation chart, and any text that describes the 2020 shift.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Check the wording matches what you found: if the national series moved the same way, the page may describe a consumer shift; if they did not, it must not.</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722 fell and 4453 rose in the same months the local share fell</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local shift has a national counterpart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 record the months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national series did not move with the local share</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local change reflects county policy</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once R1 Page 3 is reworded to say so; Fail until then</w:t>
            </w:r>
          </w:p>
        </w:tc>
      </w:tr>
    </w:tbl>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Remember.  </w:t>
      </w:r>
      <w:r>
        <w:rPr>
          <w:rFonts w:ascii="Times New Roman" w:cs="Times New Roman" w:eastAsia="Times New Roman" w:hAnsi="Times New Roman"/>
          <w:sz w:val="21"/>
          <w:szCs w:val="21"/>
        </w:rPr>
        <w:t xml:space="preserve">Record directions and months, not a yes or no. The record is what justifies the sentence on the report page.</w:t>
      </w:r>
    </w:p>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10.</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Local share fell Mar–May 2020 · 722 YoY −0.28 to −0.45 same months · 4453 YoY +0.14 to +0.29 · counterpart confirmed · R1 P3 wording matches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722 fell but 4453 flat — narrative on R1 P3 reworded to ‘county distribution change’</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G4.05</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folder 05 Channel closes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G5.08</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G7.04</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Page 3 finished</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G8.01</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report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 three columns blank</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Years outside the loaded range, or measures not built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Check the loaded range (V02) and the folder build</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Series move differently</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real finding, not an error</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Reword R1 Page 3 per document 01 §8 and record the decision</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10.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w:t>
      </w:r>
    </w:p>
    <w:p>
      <w:pPr>
        <w:pStyle w:val="ListParagraph"/>
        <w:numPr>
          <w:ilvl w:val="0"/>
          <w:numId w:val="2"/>
        </w:numPr>
        <w:spacing w:after="60" w:line="276"/>
      </w:pPr>
      <w:r>
        <w:rPr>
          <w:rFonts w:ascii="Times New Roman" w:cs="Times New Roman" w:eastAsia="Times New Roman" w:hAnsi="Times New Roman"/>
          <w:sz w:val="22"/>
          <w:szCs w:val="22"/>
        </w:rPr>
        <w:t xml:space="preserve">When R1 Page 3’s text is edited.</w:t>
      </w:r>
    </w:p>
    <w:p>
      <w:pPr>
        <w:pStyle w:val="ListParagraph"/>
        <w:numPr>
          <w:ilvl w:val="0"/>
          <w:numId w:val="2"/>
        </w:numPr>
        <w:spacing w:after="60" w:line="276"/>
      </w:pPr>
      <w:r>
        <w:rPr>
          <w:rFonts w:ascii="Times New Roman" w:cs="Times New Roman" w:eastAsia="Times New Roman" w:hAnsi="Times New Roman"/>
          <w:sz w:val="22"/>
          <w:szCs w:val="22"/>
        </w:rPr>
        <w:t xml:space="preserve">After a reload that revises 2020 data.</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ookxwukoiujoyzjfxwbp_">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kxwukoiujoyzjfxwbp_"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2026-09-22T17:47:41.475Z</dcterms:created>
  <dcterms:modified xsi:type="dcterms:W3CDTF">2026-09-22T17:47:41.475Z</dcterms:modified>
</cp:coreProperties>
</file>

<file path=docProps/custom.xml><?xml version="1.0" encoding="utf-8"?>
<Properties xmlns="http://schemas.openxmlformats.org/officeDocument/2006/custom-properties" xmlns:vt="http://schemas.openxmlformats.org/officeDocument/2006/docPropsVTypes"/>
</file>