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DOCUMENT 02</w:t>
      </w:r>
    </w:p>
    <w:p>
      <w:pPr>
        <w:spacing w:after="60"/>
      </w:pPr>
      <w:r>
        <w:rPr>
          <w:rFonts w:ascii="Times New Roman" w:cs="Times New Roman" w:eastAsia="Times New Roman" w:hAnsi="Times New Roman"/>
          <w:b/>
          <w:bCs/>
          <w:color w:val="1F3864"/>
          <w:sz w:val="38"/>
          <w:szCs w:val="38"/>
        </w:rPr>
        <w:t xml:space="preserve">Data Setup and Semantic Model Guide</w:t>
      </w:r>
    </w:p>
    <w:p>
      <w:pPr>
        <w:spacing w:after="120"/>
      </w:pPr>
      <w:r>
        <w:rPr>
          <w:rFonts w:ascii="Times New Roman" w:cs="Times New Roman" w:eastAsia="Times New Roman" w:hAnsi="Times New Roman"/>
          <w:color w:val="2E5496"/>
          <w:sz w:val="26"/>
          <w:szCs w:val="26"/>
        </w:rPr>
        <w:t xml:space="preserve">From Source, to Ingestion, to a Published Semantic Model</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the person building the model. Assumes Power BI Desktop and SSMS 22 familiarity; assumes nothing about these four sources.</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PBI-MACRO-001</w:t>
      </w:r>
    </w:p>
    <w:p>
      <w:pPr>
        <w:spacing w:after="240" w:line="276"/>
      </w:pPr>
      <w:r>
        <w:rPr>
          <w:rFonts w:ascii="Times New Roman" w:cs="Times New Roman" w:eastAsia="Times New Roman" w:hAnsi="Times New Roman"/>
          <w:i/>
          <w:iCs/>
          <w:sz w:val="20"/>
          <w:szCs w:val="20"/>
        </w:rPr>
        <w:t xml:space="preserve">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Purpose and Scope</w:t>
      </w:r>
    </w:p>
    <w:p>
      <w:pPr>
        <w:spacing w:after="120" w:line="276"/>
      </w:pPr>
      <w:r>
        <w:rPr>
          <w:rFonts w:ascii="Times New Roman" w:cs="Times New Roman" w:eastAsia="Times New Roman" w:hAnsi="Times New Roman"/>
          <w:sz w:val="22"/>
          <w:szCs w:val="22"/>
        </w:rPr>
        <w:t xml:space="preserve">This guide takes four public sources and turns them into one Power BI semantic model that three reports connect to. It is written to be executed end to end on a single Windows workstation, in the order the sections appear.</w:t>
      </w:r>
    </w:p>
    <w:p>
      <w:pPr>
        <w:spacing w:after="120" w:line="276"/>
      </w:pPr>
      <w:r>
        <w:rPr>
          <w:rFonts w:ascii="Times New Roman" w:cs="Times New Roman" w:eastAsia="Times New Roman" w:hAnsi="Times New Roman"/>
          <w:sz w:val="22"/>
          <w:szCs w:val="22"/>
        </w:rPr>
        <w:t xml:space="preserve">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434"/>
        <w:gridCol w:w="2808"/>
        <w:gridCol w:w="2434"/>
      </w:tblGrid>
      <w:tr>
        <w:trPr>
          <w:tblHeader/>
        </w:trPr>
        <w:tc>
          <w:tcPr>
            <w:tcW w:type="dxa" w:w="168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Pattern</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Lands in</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Section</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MARTS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REST API, JSON, API key</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URL over HTTPS, CSV, no key</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DimIndicator</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MD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On-premises SQL Server warehouse</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DimSupplier, DimItem, DimDate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Excel file connector</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 and a merge into DimItem</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r>
    </w:tbl>
    <w:p>
      <w:pPr>
        <w:spacing w:after="200" w:before="40"/>
      </w:pPr>
      <w:r>
        <w:rPr>
          <w:rFonts w:ascii="Times New Roman" w:cs="Times New Roman" w:eastAsia="Times New Roman" w:hAnsi="Times New Roman"/>
          <w:i/>
          <w:iCs/>
          <w:color w:val="595959"/>
          <w:sz w:val="19"/>
          <w:szCs w:val="19"/>
        </w:rPr>
        <w:t xml:space="preserve">Table 1.1 — What this guide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The one thing to understand before starting</w:t>
            </w:r>
          </w:p>
          <w:p>
            <w:pPr>
              <w:spacing w:after="100" w:line="276"/>
            </w:pPr>
            <w:r>
              <w:rPr>
                <w:rFonts w:ascii="Times New Roman" w:cs="Times New Roman" w:eastAsia="Times New Roman" w:hAnsi="Times New Roman"/>
                <w:sz w:val="21"/>
                <w:szCs w:val="21"/>
              </w:rPr>
              <w:t xml:space="preserve">Tier 3 measures CASES. Tiers 1 and 2 measure DOLLARS. The county source records cases of product moved; Census and FRED record currency.</w:t>
            </w:r>
          </w:p>
          <w:p>
            <w:pPr>
              <w:spacing w:after="100" w:line="276"/>
            </w:pPr>
            <w:r>
              <w:rPr>
                <w:rFonts w:ascii="Times New Roman" w:cs="Times New Roman" w:eastAsia="Times New Roman" w:hAnsi="Times New Roman"/>
                <w:sz w:val="21"/>
                <w:szCs w:val="21"/>
              </w:rPr>
              <w:t xml:space="preserve">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pPr>
              <w:spacing w:after="0" w:line="276"/>
            </w:pPr>
            <w:r>
              <w:rPr>
                <w:rFonts w:ascii="Times New Roman" w:cs="Times New Roman" w:eastAsia="Times New Roman" w:hAnsi="Times New Roman"/>
                <w:sz w:val="21"/>
                <w:szCs w:val="21"/>
              </w:rPr>
              <w:t xml:space="preserve">It does mean one rule is absolute: a case measure may meet a national dollar measure only after that dollar measure has been deflated. Section 9 makes this a validation check, because once a visual is built the error is invisible.</w:t>
            </w:r>
          </w:p>
        </w:tc>
      </w:tr>
    </w:tbl>
    <w:p>
      <w:r>
        <w:br w:type="page"/>
      </w:r>
    </w:p>
    <w:p>
      <w:pPr>
        <w:pStyle w:val="Heading2"/>
        <w:spacing w:after="120" w:before="280"/>
      </w:pPr>
      <w:r>
        <w:rPr>
          <w:rFonts w:ascii="Times New Roman" w:cs="Times New Roman" w:eastAsia="Times New Roman" w:hAnsi="Times New Roman"/>
          <w:b/>
          <w:bCs/>
          <w:color w:val="2E5496"/>
          <w:sz w:val="25"/>
          <w:szCs w:val="25"/>
        </w:rPr>
        <w:t xml:space="preserve">1.1 The Four Power BI Files — the Roadmap</w:t>
      </w:r>
    </w:p>
    <w:p>
      <w:pPr>
        <w:spacing w:after="120" w:line="276"/>
      </w:pPr>
      <w:r>
        <w:rPr>
          <w:rFonts w:ascii="Times New Roman" w:cs="Times New Roman" w:eastAsia="Times New Roman" w:hAnsi="Times New Roman"/>
          <w:sz w:val="22"/>
          <w:szCs w:val="22"/>
        </w:rPr>
        <w:t xml:space="preserve">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pPr>
        <w:spacing w:after="40" w:before="120"/>
        <w:jc w:val="center"/>
      </w:pPr>
      <w:r>
        <w:drawing>
          <wp:inline distT="0" distB="0" distL="0" distR="0">
            <wp:extent cx="5943600" cy="524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5248275"/>
                    </a:xfrm>
                    <a:prstGeom prst="rect">
                      <a:avLst/>
                    </a:prstGeom>
                  </pic:spPr>
                </pic:pic>
              </a:graphicData>
            </a:graphic>
          </wp:inline>
        </w:drawing>
      </w:r>
    </w:p>
    <w:p>
      <w:pPr>
        <w:spacing w:after="200" w:before="40"/>
      </w:pPr>
      <w:r>
        <w:rPr>
          <w:rFonts w:ascii="Times New Roman" w:cs="Times New Roman" w:eastAsia="Times New Roman" w:hAnsi="Times New Roman"/>
          <w:i/>
          <w:iCs/>
          <w:color w:val="595959"/>
          <w:sz w:val="19"/>
          <w:szCs w:val="19"/>
        </w:rPr>
        <w:t xml:space="preserve">Figure 1.1 — File structure: one model file, published once, and three report files that live-connect to it. Table 1.1 below sets out what each file may and may not hold.</w:t>
      </w:r>
    </w:p>
    <w:p>
      <w:pPr>
        <w:spacing w:after="120" w:line="276"/>
      </w:pPr>
      <w:r>
        <w:rPr>
          <w:rFonts w:ascii="Times New Roman" w:cs="Times New Roman" w:eastAsia="Times New Roman" w:hAnsi="Times New Roman"/>
          <w:sz w:val="22"/>
          <w:szCs w:val="22"/>
        </w:rPr>
        <w:t xml:space="preserve">The same structure in plain text, for the README and for anyone reading this on a device that does not render the figure: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ONE MODEL FILE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pbip/RetailEconomics_Model/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queries . . . . . . . . .  sections 3-6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tables and relationships . section 7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79 measures . . . . . . .  section 8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one blank page, no visuals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published once, section 10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PUBLISHED SEMANTIC MODEL, Pro workspace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refreshed on a schedule, gateway for SQL Server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RefMappings.xlsx</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live connection    live connection    live connection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                  v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R1     |    |      R2     |    |      R3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Retail   |    |   Consumer  |    |  Assortment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Sector   |    |    Stress   |    |   Supplier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Health   |    |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THREE REPORT FILES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pages, visuals, bookmarks, its own theme .json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 queries  .  NO tables  .  NO measures  .  no 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never refreshed - they show what the model last loaded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THIS DOCUMENT builds the model file and publishes it: sections 3-10.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DOCUMENT 15 builds the three report files, one at a time, afterwards.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621"/>
        <w:gridCol w:w="2434"/>
      </w:tblGrid>
      <w:tr>
        <w:trPr>
          <w:tblHeader/>
        </w:trPr>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RetailEconomics_Model</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R1 / R2 / R3</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Why</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Built in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This document, §3 to §9</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Document 15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 and model first; the reports cannot be started until the model is published</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Contains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Queries, tables, relationships, all 79 measures, format strings, display folders</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pages, visuals, bookmarks, page-level filters, its own theme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thin report is a view over the model. It carries presentation and nothing else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not contain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pages. One blank page, no visuals</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query, table, relationship or measure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If a report file grows a table, the live connection has been broken</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Connection</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Import — the data physically lives here</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Live connection to the published model</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copy of the data, one refresh, one set of numbers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Refresh</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Scheduled, twice weekly, through the gateway for SQL Server and RefMappings.xlsx</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Never — there is no data in the file to refresh</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Reports show whatever the model last refreshed</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Saved as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pbip/RetailEconomics_Model/</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pbip/R1_… / R2_… / R3_…</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Document 00 §9.2 and §9.3</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Published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Once, before any report is started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Each report published separately after it is built</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Publishing the model is what makes it available to connect to</w:t>
            </w:r>
          </w:p>
        </w:tc>
      </w:tr>
    </w:tbl>
    <w:p>
      <w:pPr>
        <w:spacing w:after="200" w:before="40"/>
      </w:pPr>
      <w:r>
        <w:rPr>
          <w:rFonts w:ascii="Times New Roman" w:cs="Times New Roman" w:eastAsia="Times New Roman" w:hAnsi="Times New Roman"/>
          <w:i/>
          <w:iCs/>
          <w:color w:val="595959"/>
          <w:sz w:val="19"/>
          <w:szCs w:val="19"/>
        </w:rPr>
        <w:t xml:space="preserve">Table 1.1 — The model file against the three report files.</w:t>
      </w:r>
    </w:p>
    <w:p>
      <w:pPr>
        <w:pStyle w:val="Heading3"/>
        <w:spacing w:after="100" w:before="220"/>
      </w:pPr>
      <w:r>
        <w:rPr>
          <w:rFonts w:ascii="Times New Roman" w:cs="Times New Roman" w:eastAsia="Times New Roman" w:hAnsi="Times New Roman"/>
          <w:b/>
          <w:bCs/>
          <w:color w:val="404040"/>
          <w:sz w:val="23"/>
          <w:szCs w:val="23"/>
        </w:rPr>
        <w:t xml:space="preserve">The sequence, in order</w:t>
      </w:r>
    </w:p>
    <w:p>
      <w:pPr>
        <w:pStyle w:val="ListParagraph"/>
        <w:numPr>
          <w:ilvl w:val="0"/>
          <w:numId w:val="2"/>
        </w:numPr>
        <w:spacing w:after="60" w:line="276"/>
      </w:pPr>
      <w:r>
        <w:rPr>
          <w:rFonts w:ascii="Times New Roman" w:cs="Times New Roman" w:eastAsia="Times New Roman" w:hAnsi="Times New Roman"/>
          <w:sz w:val="22"/>
          <w:szCs w:val="22"/>
        </w:rPr>
        <w:t xml:space="preserve">Build the model file completely: queries, tables, relationships, model configuration, all seventy-nine measures, and a passing validation run. That is §3 through §9 of this document.</w:t>
      </w:r>
    </w:p>
    <w:p>
      <w:pPr>
        <w:pStyle w:val="ListParagraph"/>
        <w:numPr>
          <w:ilvl w:val="0"/>
          <w:numId w:val="2"/>
        </w:numPr>
        <w:spacing w:after="60" w:line="276"/>
      </w:pPr>
      <w:r>
        <w:rPr>
          <w:rFonts w:ascii="Times New Roman" w:cs="Times New Roman" w:eastAsia="Times New Roman" w:hAnsi="Times New Roman"/>
          <w:sz w:val="22"/>
          <w:szCs w:val="22"/>
        </w:rPr>
        <w:t xml:space="preserve">Publish the model to the Pro workspace and bind its credentials. §10.</w:t>
      </w:r>
    </w:p>
    <w:p>
      <w:pPr>
        <w:pStyle w:val="ListParagraph"/>
        <w:numPr>
          <w:ilvl w:val="0"/>
          <w:numId w:val="2"/>
        </w:numPr>
        <w:spacing w:after="60" w:line="276"/>
      </w:pPr>
      <w:r>
        <w:rPr>
          <w:rFonts w:ascii="Times New Roman" w:cs="Times New Roman" w:eastAsia="Times New Roman" w:hAnsi="Times New Roman"/>
          <w:sz w:val="22"/>
          <w:szCs w:val="22"/>
        </w:rPr>
        <w:t xml:space="preserve">Only then open a new Power BI Desktop file, connect to the published model with Get data → Power BI semantic models, and build R1. Document 15 §5.</w:t>
      </w:r>
    </w:p>
    <w:p>
      <w:pPr>
        <w:pStyle w:val="ListParagraph"/>
        <w:numPr>
          <w:ilvl w:val="0"/>
          <w:numId w:val="2"/>
        </w:numPr>
        <w:spacing w:after="60" w:line="276"/>
      </w:pPr>
      <w:r>
        <w:rPr>
          <w:rFonts w:ascii="Times New Roman" w:cs="Times New Roman" w:eastAsia="Times New Roman" w:hAnsi="Times New Roman"/>
          <w:sz w:val="22"/>
          <w:szCs w:val="22"/>
        </w:rPr>
        <w:t xml:space="preserve">Repeat for R2 and R3. Each is its own file, its own .pbip folder and its own theme.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A measure change never touches a report file.  </w:t>
      </w:r>
      <w:r>
        <w:rPr>
          <w:rFonts w:ascii="Times New Roman" w:cs="Times New Roman" w:eastAsia="Times New Roman" w:hAnsi="Times New Roman"/>
          <w:sz w:val="21"/>
          <w:szCs w:val="21"/>
        </w:rPr>
        <w:t xml:space="preserve">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What you cannot do in a live-connected report.  </w:t>
      </w:r>
      <w:r>
        <w:rPr>
          <w:rFonts w:ascii="Times New Roman" w:cs="Times New Roman" w:eastAsia="Times New Roman" w:hAnsi="Times New Roman"/>
          <w:sz w:val="21"/>
          <w:szCs w:val="21"/>
        </w:rPr>
        <w:t xml:space="preserve">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pPr>
        <w:pStyle w:val="Heading3"/>
        <w:spacing w:after="100" w:before="220"/>
      </w:pPr>
      <w:r>
        <w:rPr>
          <w:rFonts w:ascii="Times New Roman" w:cs="Times New Roman" w:eastAsia="Times New Roman" w:hAnsi="Times New Roman"/>
          <w:b/>
          <w:bCs/>
          <w:color w:val="404040"/>
          <w:sz w:val="23"/>
          <w:szCs w:val="23"/>
        </w:rPr>
        <w:t xml:space="preserve">Where the model file’s data comes from</w:t>
      </w:r>
    </w:p>
    <w:p>
      <w:pPr>
        <w:spacing w:after="120" w:line="276"/>
      </w:pPr>
      <w:r>
        <w:rPr>
          <w:rFonts w:ascii="Times New Roman" w:cs="Times New Roman" w:eastAsia="Times New Roman" w:hAnsi="Times New Roman"/>
          <w:sz w:val="22"/>
          <w:szCs w:val="22"/>
        </w:rPr>
        <w:t xml:space="preserve">Figure 1.1 divides the four Power BI files. Figure 1.2 runs the other way: it follows each of the four sources through landing and transformation into the one model file, and on to the Service and the three reports. Sections 3 to 6 build the four columns from left to right; §7 to §9 build the semantic layer; §10 publishes it. It is the same pipeline as document 01 Figure 3.1.</w:t>
      </w:r>
    </w:p>
    <w:p>
      <w:pPr>
        <w:spacing w:after="40" w:before="120"/>
        <w:jc w:val="center"/>
      </w:pPr>
      <w:r>
        <w:drawing>
          <wp:inline distT="0" distB="0" distL="0" distR="0">
            <wp:extent cx="5943600" cy="791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7915275"/>
                    </a:xfrm>
                    <a:prstGeom prst="rect">
                      <a:avLst/>
                    </a:prstGeom>
                  </pic:spPr>
                </pic:pic>
              </a:graphicData>
            </a:graphic>
          </wp:inline>
        </w:drawing>
      </w:r>
    </w:p>
    <w:p>
      <w:pPr>
        <w:spacing w:after="200" w:before="40"/>
      </w:pPr>
      <w:r>
        <w:rPr>
          <w:rFonts w:ascii="Times New Roman" w:cs="Times New Roman" w:eastAsia="Times New Roman" w:hAnsi="Times New Roman"/>
          <w:i/>
          <w:iCs/>
          <w:color w:val="595959"/>
          <w:sz w:val="19"/>
          <w:szCs w:val="19"/>
        </w:rPr>
        <w:t xml:space="preserve">Figure 1.2 — Data pipeline, source to semantic layer. Navy is the default path, teal the SQL Server path, amber everything that is either never committed or analyst-maintained. Same figure as document 01 Figure 3.1.</w:t>
      </w:r>
    </w:p>
    <w:p>
      <w:pPr>
        <w:spacing w:after="120" w:line="276"/>
      </w:pPr>
      <w:r>
        <w:rPr>
          <w:rFonts w:ascii="Times New Roman" w:cs="Times New Roman" w:eastAsia="Times New Roman" w:hAnsi="Times New Roman"/>
          <w:sz w:val="22"/>
          <w:szCs w:val="22"/>
        </w:rPr>
        <w:t xml:space="preserve">The same pipeline in plain text, for the README and for anyone reading this on a device that does not render the figure: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SOURCE           LANDING            TRANSFORM           SEMANTIC LAYER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FRED          -&gt; read at refresh -&gt; Power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CSV endpoints    (no file)          fnGetFredSeries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Census MARTS  -&gt; read at refresh -&gt; Power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API (keyed)      (key = cred)       + pCensusKey param      &gt;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_Model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data.gov CSV  -&gt; C:\Data\        -&gt; SQL Server 2025       /   3 facts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330,080 rows     RetailEconomics\   stg -&gt; dw -&gt; view    /    5 dimensions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NEVER COMMITTED    scripts 01 .. 08    /     79 measures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RefMappings   -&gt; reference/      -&gt; Power Query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.xlsx            (in the clone)     Excel.Workbook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pRefMappingsPath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Power BI Service (Pro)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gateway ----&gt;  published 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(SQL Server + RefMappings)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live connection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R1 .... R2 .... R3</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4493"/>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Column in the figure</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Built in</w:t>
            </w:r>
          </w:p>
        </w:tc>
        <w:tc>
          <w:tcPr>
            <w:tcW w:type="dxa" w:w="4493"/>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Lands as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DimIndicator</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MARTS API</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data.gov → SQL Server 2025</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DimSupplier, DimItem, DimDate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 and the item-type merge into DimItem</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Semantic layer</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 to §9</w:t>
            </w:r>
          </w:p>
        </w:tc>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Relationships, model configuration, 79 measures, validation</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Service</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published model, the gateway, and the three live-connected reports</w:t>
            </w:r>
          </w:p>
        </w:tc>
      </w:tr>
    </w:tbl>
    <w:p>
      <w:pPr>
        <w:spacing w:after="200" w:before="40"/>
      </w:pPr>
      <w:r>
        <w:rPr>
          <w:rFonts w:ascii="Times New Roman" w:cs="Times New Roman" w:eastAsia="Times New Roman" w:hAnsi="Times New Roman"/>
          <w:i/>
          <w:iCs/>
          <w:color w:val="595959"/>
          <w:sz w:val="19"/>
          <w:szCs w:val="19"/>
        </w:rPr>
        <w:t xml:space="preserve">Table 1.2 — Where each part of Figure 1.2 is built in this document.</w:t>
      </w:r>
    </w:p>
    <w:p>
      <w:pPr>
        <w:pStyle w:val="Heading1"/>
        <w:spacing w:after="160" w:before="360"/>
      </w:pPr>
      <w:r>
        <w:rPr>
          <w:rFonts w:ascii="Times New Roman" w:cs="Times New Roman" w:eastAsia="Times New Roman" w:hAnsi="Times New Roman"/>
          <w:b/>
          <w:bCs/>
          <w:color w:val="1F3864"/>
          <w:sz w:val="30"/>
          <w:szCs w:val="30"/>
        </w:rP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059"/>
        <w:gridCol w:w="4867"/>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Component</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from</w:t>
            </w:r>
          </w:p>
        </w:tc>
        <w:tc>
          <w:tcPr>
            <w:tcW w:type="dxa" w:w="486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Notes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2025 Developer Edition</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microsoft.com/sql-server</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Built and verified on 17.0.1135.8 (RTM-GDR), Standard Developer, 64-bit. Free, full Standard feature set, licensed for development and test only — never production. Named instance BRUNO\MSSQLSERVER01 throughout this guide; substitute your own server name if it differs.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Management Studio 22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microsoft.com/ssms</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DDL, bulk import, profiling. Free. Built on the Visual Studio 18 shell; the Modern Connection dialog is the default, so the server name goes in the Server name box exactly as given below.</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Store or direct download</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64-bit, current release.</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Pro licence</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Needed to publish and to create the live connections in Section 10. Not needed to build locally.</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API key</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api.census.gov/data/key_signup.html</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Free, arrives by email in minutes. Every Census Data API query now requires one.</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On-premises data gateway (personal mode)</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powerbi.microsoft.com/gateway</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Install AFTER publishing, not before. Section 10.</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Excel</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Maintains RefMappings.xlsx.</w:t>
            </w:r>
          </w:p>
        </w:tc>
      </w:tr>
    </w:tbl>
    <w:p>
      <w:pPr>
        <w:pStyle w:val="Heading2"/>
        <w:spacing w:after="120" w:before="280"/>
      </w:pPr>
      <w:r>
        <w:rPr>
          <w:rFonts w:ascii="Times New Roman" w:cs="Times New Roman" w:eastAsia="Times New Roman" w:hAnsi="Times New Roman"/>
          <w:b/>
          <w:bCs/>
          <w:color w:val="2E5496"/>
          <w:sz w:val="25"/>
          <w:szCs w:val="25"/>
        </w:rPr>
        <w:t xml:space="preserve">2.1 The Verified Build Environment</w:t>
      </w:r>
    </w:p>
    <w:p>
      <w:pPr>
        <w:spacing w:after="120" w:line="276"/>
      </w:pPr>
      <w:r>
        <w:rPr>
          <w:rFonts w:ascii="Times New Roman" w:cs="Times New Roman" w:eastAsia="Times New Roman" w:hAnsi="Times New Roman"/>
          <w:sz w:val="22"/>
          <w:szCs w:val="22"/>
        </w:rPr>
        <w:t xml:space="preserve">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Component</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Version built and verified on</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Matters because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Database engine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Microsoft SQL Server 2025 (RTM-GDR) (KB5122770) — 17.0.1135.8 (X64), Standard Developer Edition (64-bit)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Developer Edition is free and carries the full Standard feature set, with none of the Express limits. It is licensed for development and test only, never production</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Instance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BRUNO\MSSQLSERVER01 — a named instance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connection step and the Power Query M in §7.1 uses this exact string. A named instance is server\instance; a default instance would be just the machine name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Management tool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Management Studio 22, Visual Studio 18 shell</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Modern Connection dialog is the default in 22. Import Flat File and Import and Export Data are both still present, which matters for the §5.2 fallback</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Operating system</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Windows 10 Pro 10.0, build 26200, x64</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Only relevant to the gateway install in §10 and to the BULK INSERT path permissions in §5.4</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Database compatibility level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170, the SQL Server 2025 default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Left at the default. Every script here is standard T-SQL and runs at any level from 130 upward</w:t>
            </w:r>
          </w:p>
        </w:tc>
      </w:tr>
    </w:tbl>
    <w:p>
      <w:pPr>
        <w:spacing w:after="200" w:before="40"/>
      </w:pPr>
      <w:r>
        <w:rPr>
          <w:rFonts w:ascii="Times New Roman" w:cs="Times New Roman" w:eastAsia="Times New Roman" w:hAnsi="Times New Roman"/>
          <w:i/>
          <w:iCs/>
          <w:color w:val="595959"/>
          <w:sz w:val="19"/>
          <w:szCs w:val="19"/>
        </w:rPr>
        <w:t xml:space="preserve">Table 2.1 — The build environment. Substitute your own server name if it differs; nothing else here is environment-specific.</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Find your server name before running anything.  </w:t>
      </w:r>
      <w:r>
        <w:rPr>
          <w:rFonts w:ascii="Times New Roman" w:cs="Times New Roman" w:eastAsia="Times New Roman" w:hAnsi="Times New Roman"/>
          <w:sz w:val="21"/>
          <w:szCs w:val="21"/>
        </w:rPr>
        <w:t xml:space="preserve">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you are reproducing this on Express.  </w:t>
      </w:r>
      <w:r>
        <w:rPr>
          <w:rFonts w:ascii="Times New Roman" w:cs="Times New Roman" w:eastAsia="Times New Roman" w:hAnsi="Times New Roman"/>
          <w:sz w:val="21"/>
          <w:szCs w:val="21"/>
        </w:rPr>
        <w:t xml:space="preserve">SQL Server 2025 Express runs the whole project unchanged. Its limits are a 50 GB maximum database size and a 1,410 MB buffer pool, against a fact table of 330,080 rows and a database well under a gigabyte — neither binds here. Express also has no SQL Server Agent, which this project never uses: the load is run by hand from the scripts in sql/, and the only scheduled thing in the project is the semantic model refresh, which the Power BI Service runs. The instance name will differ, commonly ending \SQLEXPRESS.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repository must exist and be cloned before you start.  </w:t>
      </w:r>
      <w:r>
        <w:rPr>
          <w:rFonts w:ascii="Times New Roman" w:cs="Times New Roman" w:eastAsia="Times New Roman" w:hAnsi="Times New Roman"/>
          <w:sz w:val="21"/>
          <w:szCs w:val="21"/>
        </w:rPr>
        <w:t xml:space="preserve">Document 00 §4 creates the GitHub repository and §5 clones it to X:\retail-sector-health. Do that first. Every file this guide produces — SQL scripts, the .pbip, the reference workbook — is saved inside that clone, and work done outside it is not version-controlled. Relocating files afterwards collapses the commit history into one bulk commit and throws away the record of how the model was built.</w:t>
      </w:r>
    </w:p>
    <w:p>
      <w:pPr>
        <w:pStyle w:val="Heading1"/>
        <w:spacing w:after="160" w:before="360"/>
      </w:pPr>
      <w:r>
        <w:rPr>
          <w:rFonts w:ascii="Times New Roman" w:cs="Times New Roman" w:eastAsia="Times New Roman" w:hAnsi="Times New Roman"/>
          <w:b/>
          <w:bCs/>
          <w:color w:val="1F3864"/>
          <w:sz w:val="30"/>
          <w:szCs w:val="30"/>
        </w:rPr>
        <w:t xml:space="preserve">3. Source A — Census MARTS REST API</w:t>
      </w:r>
    </w:p>
    <w:p>
      <w:pPr>
        <w:spacing w:after="120" w:line="276"/>
      </w:pPr>
      <w:r>
        <w:rPr>
          <w:rFonts w:ascii="Times New Roman" w:cs="Times New Roman" w:eastAsia="Times New Roman" w:hAnsi="Times New Roman"/>
          <w:sz w:val="22"/>
          <w:szCs w:val="22"/>
        </w:rPr>
        <w:t xml:space="preserve">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pPr>
        <w:pStyle w:val="Heading2"/>
        <w:spacing w:after="120" w:before="280"/>
      </w:pPr>
      <w:r>
        <w:rPr>
          <w:rFonts w:ascii="Times New Roman" w:cs="Times New Roman" w:eastAsia="Times New Roman" w:hAnsi="Times New Roman"/>
          <w:b/>
          <w:bCs/>
          <w:color w:val="2E5496"/>
          <w:sz w:val="25"/>
          <w:szCs w:val="25"/>
        </w:rPr>
        <w:t xml:space="preserve">3.1 Obtain and store the key</w:t>
      </w:r>
    </w:p>
    <w:p>
      <w:pPr>
        <w:pStyle w:val="ListParagraph"/>
        <w:numPr>
          <w:ilvl w:val="0"/>
          <w:numId w:val="3"/>
        </w:numPr>
        <w:spacing w:after="60" w:line="276"/>
      </w:pPr>
      <w:r>
        <w:rPr>
          <w:rFonts w:ascii="Times New Roman" w:cs="Times New Roman" w:eastAsia="Times New Roman" w:hAnsi="Times New Roman"/>
          <w:sz w:val="22"/>
          <w:szCs w:val="22"/>
        </w:rPr>
        <w:t xml:space="preserve">Request a key at https://api.census.gov/data/key_signup.html.</w:t>
      </w:r>
    </w:p>
    <w:p>
      <w:pPr>
        <w:pStyle w:val="ListParagraph"/>
        <w:numPr>
          <w:ilvl w:val="0"/>
          <w:numId w:val="3"/>
        </w:numPr>
        <w:spacing w:after="60" w:line="276"/>
      </w:pPr>
      <w:r>
        <w:rPr>
          <w:rFonts w:ascii="Times New Roman" w:cs="Times New Roman" w:eastAsia="Times New Roman" w:hAnsi="Times New Roman"/>
          <w:sz w:val="22"/>
          <w:szCs w:val="22"/>
        </w:rPr>
        <w:t xml:space="preserve">In Power BI Desktop: Transform data → Manage Parameters → New.</w:t>
      </w:r>
    </w:p>
    <w:p>
      <w:pPr>
        <w:pStyle w:val="ListParagraph"/>
        <w:numPr>
          <w:ilvl w:val="0"/>
          <w:numId w:val="3"/>
        </w:numPr>
        <w:spacing w:after="60" w:line="276"/>
      </w:pPr>
      <w:r>
        <w:rPr>
          <w:rFonts w:ascii="Times New Roman" w:cs="Times New Roman" w:eastAsia="Times New Roman" w:hAnsi="Times New Roman"/>
          <w:sz w:val="22"/>
          <w:szCs w:val="22"/>
        </w:rPr>
        <w:t xml:space="preserve">Create a Text parameter pCensusKey and paste the key as its Current Value.</w:t>
      </w:r>
    </w:p>
    <w:p>
      <w:pPr>
        <w:pStyle w:val="ListParagraph"/>
        <w:numPr>
          <w:ilvl w:val="0"/>
          <w:numId w:val="3"/>
        </w:numPr>
        <w:spacing w:after="60" w:line="276"/>
      </w:pPr>
      <w:r>
        <w:rPr>
          <w:rFonts w:ascii="Times New Roman" w:cs="Times New Roman" w:eastAsia="Times New Roman" w:hAnsi="Times New Roman"/>
          <w:sz w:val="22"/>
          <w:szCs w:val="22"/>
        </w:rPr>
        <w:t xml:space="preserve">Create Text parameters pStartPeriod and pEndPeriod, for example 2015-01 and 2026-07.</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Never inline the key into M code.  </w:t>
      </w:r>
      <w:r>
        <w:rPr>
          <w:rFonts w:ascii="Times New Roman" w:cs="Times New Roman" w:eastAsia="Times New Roman" w:hAnsi="Times New Roman"/>
          <w:sz w:val="21"/>
          <w:szCs w:val="21"/>
        </w:rPr>
        <w:t xml:space="preserve">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pPr>
        <w:pStyle w:val="Heading2"/>
        <w:spacing w:after="120" w:before="280"/>
      </w:pPr>
      <w:r>
        <w:rPr>
          <w:rFonts w:ascii="Times New Roman" w:cs="Times New Roman" w:eastAsia="Times New Roman" w:hAnsi="Times New Roman"/>
          <w:b/>
          <w:bCs/>
          <w:color w:val="2E5496"/>
          <w:sz w:val="25"/>
          <w:szCs w:val="25"/>
        </w:rPr>
        <w:t xml:space="preserve">3.2 Endpoint anatomy</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https://api.census.gov/data/timeseries/eits/marts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118"/>
        <w:gridCol w:w="3370"/>
      </w:tblGrid>
      <w:tr>
        <w:trPr>
          <w:tblHeader/>
        </w:trPr>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Parameter</w:t>
            </w:r>
          </w:p>
        </w:tc>
        <w:tc>
          <w:tcPr>
            <w:tcW w:type="dxa" w:w="411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Meaning</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Value used here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get</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Comma-separated fields to return</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cell_value, category_code, data_type_code, seasonally_adj, time_slot_name</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Geography predicate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Reference period or range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from 2015-01 to 2026-07</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category_code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NAICS kind-of-business list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nineteen codes in Table 3.1</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data_type_code</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type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SM — monthly sales, millions of dollars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seasonally_adj</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 adjustment flag (required)</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key</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API key (required on every request)</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pCensusKey</w:t>
            </w:r>
          </w:p>
        </w:tc>
      </w:tr>
    </w:tbl>
    <w:p>
      <w:pPr>
        <w:pStyle w:val="Heading2"/>
        <w:spacing w:after="120" w:before="280"/>
      </w:pPr>
      <w:r>
        <w:rPr>
          <w:rFonts w:ascii="Times New Roman" w:cs="Times New Roman" w:eastAsia="Times New Roman" w:hAnsi="Times New Roman"/>
          <w:b/>
          <w:bCs/>
          <w:color w:val="2E5496"/>
          <w:sz w:val="25"/>
          <w:szCs w:val="25"/>
        </w:rPr>
        <w:t xml:space="preserve">3.3 Kind-of-business category codes</w:t>
      </w:r>
    </w:p>
    <w:p>
      <w:pPr>
        <w:spacing w:after="120" w:line="276"/>
      </w:pPr>
      <w:r>
        <w:rPr>
          <w:rFonts w:ascii="Times New Roman" w:cs="Times New Roman" w:eastAsia="Times New Roman" w:hAnsi="Times New Roman"/>
          <w:sz w:val="22"/>
          <w:szCs w:val="22"/>
        </w:rPr>
        <w:t xml:space="preserve">These are the categories published in the current MARTS release. Aggregates first, then NAICS kinds of business.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3931"/>
      </w:tblGrid>
      <w:tr>
        <w:trPr>
          <w:tblHeader/>
        </w:trPr>
        <w:tc>
          <w:tcPr>
            <w:tcW w:type="dxa" w:w="131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Code</w:t>
            </w:r>
          </w:p>
        </w:tc>
        <w:tc>
          <w:tcPr>
            <w:tcW w:type="dxa" w:w="411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Kind of business</w:t>
            </w:r>
          </w:p>
        </w:tc>
        <w:tc>
          <w:tcPr>
            <w:tcW w:type="dxa" w:w="393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Role in this model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44X72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trade and food services, total</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Headline; denominator for every share measure</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44000</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trade excluding food services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Secondary headline; numerator of the goods-to-services ratio</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Motor vehicle and parts dealers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Rate-sensitive, high ticket</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Furniture and home furnishings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Housing-linked 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Electronics and appliance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444</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Building material and garden equipment dealers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Housing-linked</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445</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Food and beverage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Staples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4453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Beer, wine and liquor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national comparator for Tier 3 — the single most important code in this model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446</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Health and personal care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Staples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447</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Gasoline stations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Price-driven; the cleanest illustration of nominal versus real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448</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Clothing and clothing accessories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Sporting goods, hobby, musical instrument and book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General merchandise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Mass-market bellwether</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Department stores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Structural decline</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452311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Warehouse clubs and supercenters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 gainer against 4522</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453</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Miscellaneous store retailers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Residual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454</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Nonstore retailers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E-commerce proxy</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4541</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Electronic shopping and mail-order houses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Cleanest e-commerce series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722</w:t>
            </w:r>
          </w:p>
        </w:tc>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Food services and drinking places</w:t>
            </w:r>
          </w:p>
        </w:tc>
        <w:tc>
          <w:tcPr>
            <w:tcW w:type="dxa" w:w="393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Goods-versus-services rotation, and the national check on the channel story</w:t>
            </w:r>
          </w:p>
        </w:tc>
      </w:tr>
    </w:tbl>
    <w:p>
      <w:pPr>
        <w:spacing w:after="200" w:before="40"/>
      </w:pPr>
      <w:r>
        <w:rPr>
          <w:rFonts w:ascii="Times New Roman" w:cs="Times New Roman" w:eastAsia="Times New Roman" w:hAnsi="Times New Roman"/>
          <w:i/>
          <w:iCs/>
          <w:color w:val="595959"/>
          <w:sz w:val="19"/>
          <w:szCs w:val="19"/>
        </w:rPr>
        <w:t xml:space="preserve">Table 3.1 — MARTS categories used in this model.</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Verify the codes against the live API before building on them.  </w:t>
      </w:r>
      <w:r>
        <w:rPr>
          <w:rFonts w:ascii="Times New Roman" w:cs="Times New Roman" w:eastAsia="Times New Roman" w:hAnsi="Times New Roman"/>
          <w:sz w:val="21"/>
          <w:szCs w:val="21"/>
        </w:rPr>
        <w:t xml:space="preserve">Census revises the published category set periodically, and NAICS vintage changes alter what a code means. Run §3.4 once after obtaining your key and reconcile what comes back against this table.</w:t>
      </w:r>
    </w:p>
    <w:p>
      <w:pPr>
        <w:pStyle w:val="Heading2"/>
        <w:spacing w:after="120" w:before="280"/>
      </w:pPr>
      <w:r>
        <w:rPr>
          <w:rFonts w:ascii="Times New Roman" w:cs="Times New Roman" w:eastAsia="Times New Roman" w:hAnsi="Times New Roman"/>
          <w:b/>
          <w:bCs/>
          <w:color w:val="2E5496"/>
          <w:sz w:val="25"/>
          <w:szCs w:val="25"/>
        </w:rPr>
        <w:t xml:space="preserve">3.4 Discovery query — run once, then disable its load</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"cell_value,category_code,data_type_code,seasonally_adj,time_slot_name",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Json.Document(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"https://api.census.gov",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"data/timeseries/eits/marts",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get    = Fields,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 = "us:*",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time   = "2026-07",</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key    = pCensusKey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EITS returns an array of arrays; row 0 is the header row.</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Table.FromRows(List.Skip(Source, 1), List.First(Source)),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Distinct = Table.Distinct(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Table.SelectColumns(AsTable, {"category_code", "data_type_code"})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Sorted   = Table.Sort(Distinct, {{"category_code", Order.Ascending}})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Sorted</w:t>
      </w:r>
    </w:p>
    <w:p>
      <w:pPr>
        <w:pStyle w:val="Heading2"/>
        <w:spacing w:after="120" w:before="280"/>
      </w:pPr>
      <w:r>
        <w:rPr>
          <w:rFonts w:ascii="Times New Roman" w:cs="Times New Roman" w:eastAsia="Times New Roman" w:hAnsi="Times New Roman"/>
          <w:b/>
          <w:bCs/>
          <w:color w:val="2E5496"/>
          <w:sz w:val="25"/>
          <w:szCs w:val="25"/>
        </w:rPr>
        <w:t xml:space="preserve">3.5 Production query — FactSectorSales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Parameters: pCensusKey, pStartPeriod, pEndPeriod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"cell_value,category_code,data_type_code,seasonally_adj,time_slot_name",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CategoryList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"44X72,44000,441,442,443,444,445,4453,446,447,448,"</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&amp; "451,452,4522,452311,453,454,4541,722",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Json.Document(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"https://api.census.gov",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"data/timeseries/eits/marts",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get            = Fields,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         = "us:*",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time           = "from " &amp; pStartPeriod &amp; " to " &amp; pEndPeriod,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category_code  = CategoryList,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data_type_code = "SM",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seasonally_adj = "yes",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key            = pCensusKey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Table.FromRows(List.Skip(Source, 1), List.First(Source)),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time_slot_name arrives as "July 2026"; normalise to a month start.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AddDate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"ReportDate",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Date.StartOfMonth(Date.From([time_slot_name])),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 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AddDate,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Date.Year([ReportDate])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Date.Month([ReportDate])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{"cell_value",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{"category_code",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cell_value under data_type_code "SM" is MILLIONS OF DOLLARS.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 = Table.RenameColumns(Typed, {{"cell_value", "SalesMillionsUSD"}}),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Cleaned = Table.SelectColumns(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"category_code", "SalesMillionsUSD"}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NoNulls = Table.SelectRows(Cleaned, each [SalesMillionsUSD] &lt;&gt;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NoNulls</w:t>
      </w:r>
    </w:p>
    <w:p>
      <w:pPr>
        <w:pStyle w:val="Heading2"/>
        <w:spacing w:after="120" w:before="280"/>
      </w:pPr>
      <w:r>
        <w:rPr>
          <w:rFonts w:ascii="Times New Roman" w:cs="Times New Roman" w:eastAsia="Times New Roman" w:hAnsi="Times New Roman"/>
          <w:b/>
          <w:bCs/>
          <w:color w:val="2E5496"/>
          <w:sz w:val="25"/>
          <w:szCs w:val="25"/>
        </w:rPr>
        <w:t xml:space="preserve">3.6 Why RelativePath and Query are mandatory</w:t>
      </w:r>
    </w:p>
    <w:p>
      <w:pPr>
        <w:spacing w:after="120" w:line="276"/>
      </w:pPr>
      <w:r>
        <w:rPr>
          <w:rFonts w:ascii="Times New Roman" w:cs="Times New Roman" w:eastAsia="Times New Roman" w:hAnsi="Times New Roman"/>
          <w:sz w:val="22"/>
          <w:szCs w:val="22"/>
        </w:rPr>
        <w:t xml:space="preserve">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pPr>
        <w:spacing w:after="120" w:line="276"/>
      </w:pPr>
      <w:r>
        <w:rPr>
          <w:rFonts w:ascii="Times New Roman" w:cs="Times New Roman" w:eastAsia="Times New Roman" w:hAnsi="Times New Roman"/>
          <w:sz w:val="22"/>
          <w:szCs w:val="22"/>
        </w:rPr>
        <w:t xml:space="preserve">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pPr>
        <w:spacing w:after="120" w:line="276"/>
      </w:pPr>
      <w:r>
        <w:rPr>
          <w:rFonts w:ascii="Times New Roman" w:cs="Times New Roman" w:eastAsia="Times New Roman" w:hAnsi="Times New Roman"/>
          <w:sz w:val="22"/>
          <w:szCs w:val="22"/>
        </w:rPr>
        <w:t xml:space="preserve">To confirm: Transform data → Data source settings → Data sources in current file. No dynamic-data-source warning should appear against api.census.gov.</w:t>
      </w:r>
    </w:p>
    <w:p>
      <w:pPr>
        <w:pStyle w:val="Heading1"/>
        <w:spacing w:after="160" w:before="360"/>
      </w:pPr>
      <w:r>
        <w:rPr>
          <w:rFonts w:ascii="Times New Roman" w:cs="Times New Roman" w:eastAsia="Times New Roman" w:hAnsi="Times New Roman"/>
          <w:b/>
          <w:bCs/>
          <w:color w:val="1F3864"/>
          <w:sz w:val="30"/>
          <w:szCs w:val="30"/>
        </w:rPr>
        <w:t xml:space="preserve">4. Source B — FRED Macroeconomic Series</w:t>
      </w:r>
    </w:p>
    <w:p>
      <w:pPr>
        <w:spacing w:after="120" w:line="276"/>
      </w:pPr>
      <w:r>
        <w:rPr>
          <w:rFonts w:ascii="Times New Roman" w:cs="Times New Roman" w:eastAsia="Times New Roman" w:hAnsi="Times New Roman"/>
          <w:sz w:val="22"/>
          <w:szCs w:val="22"/>
        </w:rPr>
        <w:t xml:space="preserve">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pPr>
        <w:pStyle w:val="Heading2"/>
        <w:spacing w:after="120" w:before="280"/>
      </w:pPr>
      <w:r>
        <w:rPr>
          <w:rFonts w:ascii="Times New Roman" w:cs="Times New Roman" w:eastAsia="Times New Roman" w:hAnsi="Times New Roman"/>
          <w:b/>
          <w:bCs/>
          <w:color w:val="2E5496"/>
          <w:sz w:val="25"/>
          <w:szCs w:val="25"/>
        </w:rPr>
        <w:t xml:space="preserve">4.1 Series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463"/>
        <w:gridCol w:w="2434"/>
        <w:gridCol w:w="1872"/>
      </w:tblGrid>
      <w:tr>
        <w:trPr>
          <w:tblHeader/>
        </w:trPr>
        <w:tc>
          <w:tcPr>
            <w:tcW w:type="dxa" w:w="159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Series ID</w:t>
            </w:r>
          </w:p>
        </w:tc>
        <w:tc>
          <w:tcPr>
            <w:tcW w:type="dxa" w:w="3463"/>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Title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Units</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Role</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CPIAUCSL</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 for All Urban Consumers: All Items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Index 1982-84=100,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Inflation; the deflator</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RSAFS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Advance Retail Sales: Retail and Food Services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Nominal headline</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RRSFS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Advance Real Retail and Food Services Sales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1982-84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headline; cross-check on the deflation</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MRTSSM452USS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Sales: General Merchandise Stores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Millions of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cross-check against the API</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FEDFUNDS</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Federal Funds Effective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Policy rate; X variable of Rate Sensitivity Beta</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UMCSENT</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University of Michigan: Consumer Sentiment</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Index 1966:Q1=100</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Demand expectation</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UNRATE</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Unemployment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Labour slack</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PSAVERT</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Personal Saving Rate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Precautionary saving</w:t>
            </w:r>
          </w:p>
        </w:tc>
      </w:tr>
      <w:tr>
        <w:trPr>
          <w:cantSplit/>
        </w:trPr>
        <w:tc>
          <w:tcPr>
            <w:tcW w:type="dxa" w:w="159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DSPIC96</w:t>
            </w:r>
          </w:p>
        </w:tc>
        <w:tc>
          <w:tcPr>
            <w:tcW w:type="dxa" w:w="346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Disposable Personal Income</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Billions of chained dollars, SA</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Purchasing power</w:t>
            </w:r>
          </w:p>
        </w:tc>
      </w:tr>
    </w:tbl>
    <w:p>
      <w:pPr>
        <w:spacing w:after="200" w:before="40"/>
      </w:pPr>
      <w:r>
        <w:rPr>
          <w:rFonts w:ascii="Times New Roman" w:cs="Times New Roman" w:eastAsia="Times New Roman" w:hAnsi="Times New Roman"/>
          <w:i/>
          <w:iCs/>
          <w:color w:val="595959"/>
          <w:sz w:val="19"/>
          <w:szCs w:val="19"/>
        </w:rPr>
        <w:t xml:space="preserve">Table 4.1 — FRED series. All monthly.</w:t>
      </w:r>
    </w:p>
    <w:p>
      <w:pPr>
        <w:pStyle w:val="Heading2"/>
        <w:spacing w:after="120" w:before="280"/>
      </w:pPr>
      <w:r>
        <w:rPr>
          <w:rFonts w:ascii="Times New Roman" w:cs="Times New Roman" w:eastAsia="Times New Roman" w:hAnsi="Times New Roman"/>
          <w:b/>
          <w:bCs/>
          <w:color w:val="2E5496"/>
          <w:sz w:val="25"/>
          <w:szCs w:val="25"/>
        </w:rPr>
        <w:t xml:space="preserve">4.2 fnGetFredSeries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fnGetFredSeries = (SeriesId as text) as table =&gt;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Csv.Document(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Web.Contents(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"https://fred.stlouisfed.org",</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RelativePath = "graph/fredgraph.csv",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Query        = [ id = SeriesId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Delimiter = ",", Encoding = 65001, QuoteStyle = QuoteStyle.Csv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Promoted = Table.PromoteHeaders(Source, [PromoteAllScalars =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Rename POSITIONALLY, not by name. FRED has changed the date 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header historically; position has been stable. This keeps the query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from breaking on an upstream header change.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  = Table.RenameColumns(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Promoted,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List.Zip({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List.FirstN(Table.ColumnNames(Promoted), 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Renamed,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type date}, {"Value", type number}}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FRED writes "." for missing observations; these become nulls above.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NoNulls  = Table.SelectRows(Typed, each [Value] &lt;&gt;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Tagged   = Table.AddColumn(NoNulls, "SeriesId", each SeriesId,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   = Table.AddColumn(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Tagged,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Date.Year([ReportDate])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Date.Month([ReportDate])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Final    = Table.SelectColumns(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"SeriesId",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Final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fnGetFredSeries</w:t>
      </w:r>
    </w:p>
    <w:p>
      <w:pPr>
        <w:pStyle w:val="Heading2"/>
        <w:spacing w:after="120" w:before="280"/>
      </w:pPr>
      <w:r>
        <w:rPr>
          <w:rFonts w:ascii="Times New Roman" w:cs="Times New Roman" w:eastAsia="Times New Roman" w:hAnsi="Times New Roman"/>
          <w:b/>
          <w:bCs/>
          <w:color w:val="2E5496"/>
          <w:sz w:val="25"/>
          <w:szCs w:val="25"/>
        </w:rPr>
        <w:t xml:space="preserve">4.3 FactMacro</w:t>
      </w:r>
    </w:p>
    <w:p>
      <w:pPr>
        <w:spacing w:after="120" w:line="276"/>
      </w:pPr>
      <w:r>
        <w:rPr>
          <w:rFonts w:ascii="Times New Roman" w:cs="Times New Roman" w:eastAsia="Times New Roman" w:hAnsi="Times New Roman"/>
          <w:sz w:val="22"/>
          <w:szCs w:val="22"/>
        </w:rPr>
        <w:t xml:space="preserve">This produces a narrow, unpivoted fact — one row per series per month — which is the correct shape for a star schema and avoids a wide table that must be re-edited every time a series is added.</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SeriesList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"CPIAUCSL", "RSAFS", "RRSFS", "MRTSSM452USS",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"FEDFUNDS", "UMCSENT", "UNRATE", "PSAVERT", "DSPIC96"</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AsTable  = Table.FromList(SeriesList, Splitter.SplitByNothing(), {"SeriesId"}),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Invoked  = Table.AddColumn(AsTable, "Data", each fnGetFredSeries([SeriesId])),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 Table.ExpandTableColumn(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Invoked, "Data",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"ReportDate",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{"ReportDate", type 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{"Value",      type number}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Restrict to the analysis window so the macro tier aligns with Tier 3.</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Windowed = Table.SelectRows(Typed, each [ReportDate] &gt;= #date(2017, 1,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Windowed</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Never aggregate FactMacro[Value] across SeriesId.  </w:t>
      </w:r>
      <w:r>
        <w:rPr>
          <w:rFonts w:ascii="Times New Roman" w:cs="Times New Roman" w:eastAsia="Times New Roman" w:hAnsi="Times New Roman"/>
          <w:sz w:val="21"/>
          <w:szCs w:val="21"/>
        </w:rPr>
        <w:t xml:space="preserve">Nine series with nine different units share one column. SUM across them is arithmetic on incompatible quantities. Every macro measure in document 20 filters to exactly one SeriesId before aggregating, and that is not a stylistic choice.</w:t>
      </w:r>
    </w:p>
    <w:p>
      <w:pPr>
        <w:pStyle w:val="Heading2"/>
        <w:spacing w:after="120" w:before="280"/>
      </w:pPr>
      <w:r>
        <w:rPr>
          <w:rFonts w:ascii="Times New Roman" w:cs="Times New Roman" w:eastAsia="Times New Roman" w:hAnsi="Times New Roman"/>
          <w:b/>
          <w:bCs/>
          <w:color w:val="2E5496"/>
          <w:sz w:val="25"/>
          <w:szCs w:val="25"/>
        </w:rPr>
        <w:t xml:space="preserve">4.4 DimIndicator</w:t>
      </w:r>
    </w:p>
    <w:p>
      <w:pPr>
        <w:spacing w:after="120" w:line="276"/>
      </w:pPr>
      <w:r>
        <w:rPr>
          <w:rFonts w:ascii="Times New Roman" w:cs="Times New Roman" w:eastAsia="Times New Roman" w:hAnsi="Times New Roman"/>
          <w:sz w:val="22"/>
          <w:szCs w:val="22"/>
        </w:rPr>
        <w:t xml:space="preserve">Build this with Enter Data, from Table 4.1. Columns: SeriesId, IndicatorName, Units, Tier, DisplayOrder, HigherIsBetter. Entering it rather than deriving it means units are governed in the model and cannot drift when a source header changes.</w:t>
      </w:r>
    </w:p>
    <w:p>
      <w:pPr>
        <w:pStyle w:val="Heading1"/>
        <w:spacing w:after="160" w:before="360"/>
      </w:pPr>
      <w:r>
        <w:rPr>
          <w:rFonts w:ascii="Times New Roman" w:cs="Times New Roman" w:eastAsia="Times New Roman" w:hAnsi="Times New Roman"/>
          <w:b/>
          <w:bCs/>
          <w:color w:val="1F3864"/>
          <w:sz w:val="30"/>
          <w:szCs w:val="30"/>
        </w:rPr>
        <w:t xml:space="preserve">5. Source C — Montgomery County into SQL Server</w:t>
      </w:r>
    </w:p>
    <w:p>
      <w:pPr>
        <w:spacing w:after="120" w:line="276"/>
      </w:pPr>
      <w:r>
        <w:rPr>
          <w:rFonts w:ascii="Times New Roman" w:cs="Times New Roman" w:eastAsia="Times New Roman" w:hAnsi="Times New Roman"/>
          <w:sz w:val="22"/>
          <w:szCs w:val="22"/>
        </w:rPr>
        <w:t xml:space="preserve">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pPr>
        <w:pStyle w:val="Heading2"/>
        <w:spacing w:after="120" w:before="280"/>
      </w:pPr>
      <w:r>
        <w:rPr>
          <w:rFonts w:ascii="Times New Roman" w:cs="Times New Roman" w:eastAsia="Times New Roman" w:hAnsi="Times New Roman"/>
          <w:b/>
          <w:bCs/>
          <w:color w:val="2E5496"/>
          <w:sz w:val="25"/>
          <w:szCs w:val="25"/>
        </w:rPr>
        <w:t xml:space="preserve">5.1 Source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Attribute</w:t>
            </w:r>
          </w:p>
        </w:tc>
        <w:tc>
          <w:tcPr>
            <w:tcW w:type="dxa" w:w="673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Value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Publisher</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Maryland (Alcohol Beverage Services)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Portal / dataset</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data.montgomerycountymd.gov, Socrata identifier v76h-r7br</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Rows / period</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330,080 · 2017 through 2026 · updated monthly</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Columns</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YEAR, MONTH, SUPPLIER, ITEM CODE, ITEM DESCRIPTION, ITEM TYPE, RETAIL SALES, RETAIL TRANSFERS, WAREHOUSE SALES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types</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Wine, Liquor, Beer, Kegs, Non-Alcohol</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Unit of measure</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CASES. All three measure columns are counts of cases — not currency, not individual containers.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meaning</w:t>
            </w:r>
          </w:p>
        </w:tc>
        <w:tc>
          <w:tcPr>
            <w:tcW w:type="dxa" w:w="673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SALES = cases to consumers (off-premise). WAREHOUSE SALES = cases to licensees (on-premise). RETAIL TRANSFERS = cases moved into dispensaries.</w:t>
            </w:r>
          </w:p>
        </w:tc>
      </w:tr>
    </w:tbl>
    <w:p>
      <w:pPr>
        <w:pStyle w:val="Heading2"/>
        <w:spacing w:after="120" w:before="280"/>
      </w:pPr>
      <w:r>
        <w:rPr>
          <w:rFonts w:ascii="Times New Roman" w:cs="Times New Roman" w:eastAsia="Times New Roman" w:hAnsi="Times New Roman"/>
          <w:b/>
          <w:bCs/>
          <w:color w:val="2E5496"/>
          <w:sz w:val="25"/>
          <w:szCs w:val="25"/>
        </w:rPr>
        <w:t xml:space="preserve">5.2 Extract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REM  Full CSV export - the simplest route for a one-time load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https://data.montgomerycountymd.gov/api/views/v76h-r7br/rows.csv?accessType=DOWNLOAD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SODA JSON endpoint, paged - use if you later automate incremental pulls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https://data.montgomerycountymd.gov/resource/v76h-r7br.json?$limit=50000&amp;$offset=0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Row count check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https://data.montgomerycountymd.gov/resource/v76h-r7br.json?$select=count(*)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REM  Column metadata - where the "cases" definition comes from</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https://data.montgomerycountymd.gov/api/views/v76h-r7br/columns.json</w:t>
      </w:r>
    </w:p>
    <w:p>
      <w:pPr>
        <w:spacing w:after="120" w:line="276"/>
      </w:pPr>
      <w:r>
        <w:rPr>
          <w:rFonts w:ascii="Times New Roman" w:cs="Times New Roman" w:eastAsia="Times New Roman" w:hAnsi="Times New Roman"/>
          <w:sz w:val="22"/>
          <w:szCs w:val="22"/>
        </w:rPr>
        <w:t xml:space="preserve">Save to C:\Data\RetailEconomics\warehouse_and_retail_sales.csv — outside the repository. Document 00 §4.3 blocks CSV files from being committed.</w:t>
      </w:r>
    </w:p>
    <w:p>
      <w:pPr>
        <w:pStyle w:val="Heading2"/>
        <w:spacing w:after="120" w:before="280"/>
      </w:pPr>
      <w:r>
        <w:rPr>
          <w:rFonts w:ascii="Times New Roman" w:cs="Times New Roman" w:eastAsia="Times New Roman" w:hAnsi="Times New Roman"/>
          <w:b/>
          <w:bCs/>
          <w:color w:val="2E5496"/>
          <w:sz w:val="25"/>
          <w:szCs w:val="25"/>
        </w:rPr>
        <w:t xml:space="preserve">5.3 Database and schemas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DATABASE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USE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SCHEMA stg AUTHORIZATION dbo;   -- landing, untyped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SCHEMA dw  AUTHORIZATION dbo;   -- conformed, typed</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5.4 Staging table</w:t>
      </w:r>
    </w:p>
    <w:p>
      <w:pPr>
        <w:spacing w:after="120" w:line="276"/>
      </w:pPr>
      <w:r>
        <w:rPr>
          <w:rFonts w:ascii="Times New Roman" w:cs="Times New Roman" w:eastAsia="Times New Roman" w:hAnsi="Times New Roman"/>
          <w:sz w:val="22"/>
          <w:szCs w:val="22"/>
        </w:rPr>
        <w:t xml:space="preserve">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TABLE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[YEAR]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          NVARCHAR(255)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CODE]         NVARCHAR(100)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DESCRIPTION]  NVARCHAR(500)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 TYPE]         NVARCHAR(100)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 SALES]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 TRANSFERS]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[WAREHOUSE SALES]   NVARCHAR(50)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BULK INSERT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'C:\Data\RetailEconomics\warehouse_and_retail_sales.csv'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FORMAT          = 'CSV',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FIRSTROW        = 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FIELDTERMINATOR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ROWTERMINATOR   = '0x0a',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CODEPAGE        = '65001',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TABLOCK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StagedRows FROM stg.WarehouseRetailSales;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Expect approximately 330,080</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BULK INSERT is blocked.  </w:t>
      </w:r>
      <w:r>
        <w:rPr>
          <w:rFonts w:ascii="Times New Roman" w:cs="Times New Roman" w:eastAsia="Times New Roman" w:hAnsi="Times New Roman"/>
          <w:sz w:val="21"/>
          <w:szCs w:val="21"/>
        </w:rPr>
        <w:t xml:space="preserve">It requires the SQL Server service account to read the path. If the instance cannot reach C:\Data, use the SSMS 22 Import Flat File wizard (right-click the database → Tasks → Import Flat File) and set every column to NVARCHAR on the preview screen.</w:t>
      </w:r>
    </w:p>
    <w:p>
      <w:pPr>
        <w:pStyle w:val="Heading2"/>
        <w:spacing w:after="120" w:before="280"/>
      </w:pPr>
      <w:r>
        <w:rPr>
          <w:rFonts w:ascii="Times New Roman" w:cs="Times New Roman" w:eastAsia="Times New Roman" w:hAnsi="Times New Roman"/>
          <w:b/>
          <w:bCs/>
          <w:color w:val="2E5496"/>
          <w:sz w:val="25"/>
          <w:szCs w:val="25"/>
        </w:rPr>
        <w:t xml:space="preserve">5.5 Profile before you model</w:t>
      </w:r>
    </w:p>
    <w:p>
      <w:pPr>
        <w:spacing w:after="120" w:line="276"/>
      </w:pPr>
      <w:r>
        <w:rPr>
          <w:rFonts w:ascii="Times New Roman" w:cs="Times New Roman" w:eastAsia="Times New Roman" w:hAnsi="Times New Roman"/>
          <w:sz w:val="22"/>
          <w:szCs w:val="22"/>
        </w:rPr>
        <w:t xml:space="preserve">Run these before building anything. They are also the evidence base for the data-quality section of the published reports — a reviewer who sees the defects named is more inclined to trust the numbers than one who sees a clean result with no working.</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-- 1. Non-numeric values hiding in the measure 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SUM(CASE WHEN TRY_CONVERT(decimal(18,4), [RETAIL SALES])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NULLIF(LTRIM(RTRIM([RETAIL SALES])),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BadRetailSales,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SUM(CASE WHEN TRY_CONVERT(decimal(18,4), [WAREHOUSE SALES])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NULLIF(LTRIM(RTRIM([WAREHOUSE SALES])),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BadWarehouseSales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-- 2. Negative values: legitimate returns and transfers, NOT errors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NegativeRetailRows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TRY_CONVERT(decimal(18,4), [RETAIL SALES]) &lt; 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-- 3. Blank or missing ITEM 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 AS BlankItemType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NULLIF(LTRIM(RTRIM([ITEM TYPE])), '')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-- 4. Supplier name hygiene: whitespace and casing variants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COUNT(DISTINCT [SUPPLIER])                      AS RawSuppliers,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COUNT(DISTINCT UPPER(LTRIM(RTRIM([SUPPLIER])))) AS NormalisedSuppliers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-- 5. Period coverage and completeness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[YEAR], COUNT(DISTINCT [MONTH]) AS MonthsPresent, COUNT(*) AS 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GROUP BY [YEAR]</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ORDER BY [YEAR];</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What you will find.  </w:t>
      </w:r>
      <w:r>
        <w:rPr>
          <w:rFonts w:ascii="Times New Roman" w:cs="Times New Roman" w:eastAsia="Times New Roman" w:hAnsi="Times New Roman"/>
          <w:sz w:val="21"/>
          <w:szCs w:val="21"/>
        </w:rPr>
        <w:t xml:space="preserve">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pPr>
        <w:pStyle w:val="Heading2"/>
        <w:spacing w:after="120" w:before="280"/>
      </w:pPr>
      <w:r>
        <w:rPr>
          <w:rFonts w:ascii="Times New Roman" w:cs="Times New Roman" w:eastAsia="Times New Roman" w:hAnsi="Times New Roman"/>
          <w:b/>
          <w:bCs/>
          <w:color w:val="2E5496"/>
          <w:sz w:val="25"/>
          <w:szCs w:val="25"/>
        </w:rPr>
        <w:t xml:space="preserve">5.6 Dimensions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 Supplier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SupplierKey  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SupplierName NVARCHAR(255)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PK_DimSupplier PRIMARY KEY CLUSTERED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UQ_DimSupplier_Name UNIQUE (SupplierName)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dw.DimSupplier (SupplierName)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DISTINCT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COALESCE(NULLIF(LTRIM(RTRIM([SUPPLIER])), ''), 'Unknown 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Item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dw.DimItem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ItemKey         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ItemCode        NVARCHAR(100)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ItemDescription NVARCHAR(500)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ItemType        NVARCHAR(100)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PK_DimItem PRIMARY KEY CLUSTERED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UQ_DimItem_Code UNIQUE (ItemCode)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dw.DimItem (ItemCode, ItemDescription,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LTRIM(RTRIM([ITEM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MAX(LTRIM(RTRIM([ITEM DESCRIPTION]))),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COALESCE(NULLIF(LTRIM(RTRIM(MAX([ITEM TYPE]))), ''), 'Unclassified')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stg.WarehouseRetailSales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WHERE   NULLIF(LTRIM(RTRIM([ITEM CODE])),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GROUP BY LTRIM(RTRIM([ITEM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Date: MONTHLY, shared by all three tiers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TABLE dw.DimDate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         NOT NULL,   -- YYYYMM01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      DATE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[Year]      SMALLINT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[Quarter]   TINYINT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QuarterName CHAR(7)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MonthNumber TINYINT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MonthName   VARCHAR(12)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MonthYear   CHAR(8)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PK_DimDate PRIMARY KEY CLUSTERED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Months AS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CAST('2015-01-01' AS DATE) AS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UNION ALL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DATEADD(MONTH, 1, d) FROM Months WHERE d &lt; '2030-12-01'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INSERT INTO dw.DimDate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[Date], [Year], [Quarter], QuarterName,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MonthNumber, MonthName, MonthYear)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YEAR(d) * 10000 + MONTH(d)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 YEAR(d), DATEPART(QUARTER,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CAST(YEAR(d) AS CHAR(4)) + ' Q' + CAST(DATEPART(QUARTER, d) AS CHAR(1)),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MONTH(d), DATENAME(MONTH,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LEFT(DATENAME(MONTH, d), 3) + ' ' + CAST(YEAR(d) AS CHAR(4))</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OPTION (MAXRECURSION 0);</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5.7 Fact table and load procedure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TABLE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ItemMovementKey BIGINT IDENTITY(1,1)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SupplierKey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ItemKey         INT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RetailTransfers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WarehouseSales  DECIMAL(18,4) NULL,   -- CASES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PK_FactItemMovement PRIMARY KEY CLUSTERED (ItemMovementKey),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FK_FIM_Date     FOREIGN KEY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dw.DimDate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FK_FIM_Supplier FOREIGN KEY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dw.DimSupplier (SupplierKey),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CONSTRAINT FK_FIM_Item     FOREIGN 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REFERENCES dw.DimItem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OR ALTER PROCEDURE dw.usp_LoadFactItemMovement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BEGIN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SET NOCOUNT 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SET XACT_ABORT 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BEGIN TRAN;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TRUNCATE TABLE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INSERT INTO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SupplierKey,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RetailTransfers, 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d.DateKey,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src.[RETAIL 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src.[RETAIL TRANSFERS]),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TRY_CONVERT(decimal(18,4), src.[WAREHOUSE 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FROM    stg.WarehouseRetailSales AS src</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dw.DimDate AS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d.DateKey = TRY_CONVERT(int, src.[YEAR])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TRY_CONVERT(int, src.[MONTH])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dw.DimSupplier AS 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s.SupplierName = COALESCE(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NULLIF(LTRIM(RTRIM(src.[SUPPLIER])),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'Unknown 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dw.DimItem AS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i.ItemCode = LTRIM(RTRIM(src.[ITEM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WHERE   TRY_CONVERT(int, src.[YEAR])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TRY_CONVERT(int, src.[MONTH]) BETWEEN 1 AND 12;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COMMIT TRAN;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Reconciliation: this is not optional output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(SELECT COUNT(*) FROM stg.WarehouseRetailSales) AS StagedRows,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COUNT(*) FROM dw.FactItemMovement)      AS LoadedRows;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END;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EXEC dw.usp_LoadFactItemMovement;</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Reconcile every load.  </w:t>
      </w:r>
      <w:r>
        <w:rPr>
          <w:rFonts w:ascii="Times New Roman" w:cs="Times New Roman" w:eastAsia="Times New Roman" w:hAnsi="Times New Roman"/>
          <w:sz w:val="21"/>
          <w:szCs w:val="21"/>
        </w:rPr>
        <w:t xml:space="preserve">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pPr>
        <w:pStyle w:val="Heading2"/>
        <w:spacing w:after="120" w:before="280"/>
      </w:pPr>
      <w:r>
        <w:rPr>
          <w:rFonts w:ascii="Times New Roman" w:cs="Times New Roman" w:eastAsia="Times New Roman" w:hAnsi="Times New Roman"/>
          <w:b/>
          <w:bCs/>
          <w:color w:val="2E5496"/>
          <w:sz w:val="25"/>
          <w:szCs w:val="25"/>
        </w:rPr>
        <w:t xml:space="preserve">5.8 Item lifecycle columns</w:t>
      </w:r>
    </w:p>
    <w:p>
      <w:pPr>
        <w:spacing w:after="120" w:line="276"/>
      </w:pPr>
      <w:r>
        <w:rPr>
          <w:rFonts w:ascii="Times New Roman" w:cs="Times New Roman" w:eastAsia="Times New Roman" w:hAnsi="Times New Roman"/>
          <w:sz w:val="22"/>
          <w:szCs w:val="22"/>
        </w:rPr>
        <w:t xml:space="preserve">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ALTER TABLE dw.DimItem ADD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FirstSeenDateKey 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LastSeenDateKey  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CohortYear       SMALLINT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MonthsActive     SMALLINT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;WITH Span AS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SELECT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MIN(DateKey)            AS FirstKey,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MAX(DateKey)            AS LastKey,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COUNT(DISTINCT DateKey) AS ActiveMonths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FROM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GROUP BY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UPDATE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SET     i.FirstSeenDateKey = s.FirstKey,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i.LastSeenDateKey  = s.LastKey,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i.CohortYear       = s.FirstKey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i.MonthsActive     = s.ActiveMonths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dw.DimItem AS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INNER JOIN Span AS s ON s.ItemKey = i.ItemKey;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UPDATE dw.DimItem SET MonthsActive = 0 WHERE MonthsActive IS NULL;</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Re-run this after every fact reload.  </w:t>
      </w:r>
      <w:r>
        <w:rPr>
          <w:rFonts w:ascii="Times New Roman" w:cs="Times New Roman" w:eastAsia="Times New Roman" w:hAnsi="Times New Roman"/>
          <w:sz w:val="21"/>
          <w:szCs w:val="21"/>
        </w:rPr>
        <w:t xml:space="preserve">The lifecycle columns are derived from the fact table and go stale the moment it changes. Validation check 12 in §9 compares MAX(LastSeenDateKey) against MAX(DateKey) in the fact precisely to catch a forgotten re-run.</w:t>
      </w:r>
    </w:p>
    <w:p>
      <w:pPr>
        <w:spacing w:after="120" w:line="276"/>
      </w:pPr>
      <w:r>
        <w:rPr>
          <w:rFonts w:ascii="Times New Roman" w:cs="Times New Roman" w:eastAsia="Times New Roman" w:hAnsi="Times New Roman"/>
          <w:sz w:val="22"/>
          <w:szCs w:val="22"/>
        </w:rPr>
        <w:t xml:space="preserve">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pPr>
        <w:pStyle w:val="Heading2"/>
        <w:spacing w:after="120" w:before="280"/>
      </w:pPr>
      <w:r>
        <w:rPr>
          <w:rFonts w:ascii="Times New Roman" w:cs="Times New Roman" w:eastAsia="Times New Roman" w:hAnsi="Times New Roman"/>
          <w:b/>
          <w:bCs/>
          <w:color w:val="2E5496"/>
          <w:sz w:val="25"/>
          <w:szCs w:val="25"/>
        </w:rPr>
        <w:t xml:space="preserve">5.9 Indexing</w:t>
      </w:r>
    </w:p>
    <w:p>
      <w:pPr>
        <w:spacing w:after="120" w:line="276"/>
      </w:pPr>
      <w:r>
        <w:rPr>
          <w:rFonts w:ascii="Times New Roman" w:cs="Times New Roman" w:eastAsia="Times New Roman" w:hAnsi="Times New Roman"/>
          <w:sz w:val="22"/>
          <w:szCs w:val="22"/>
        </w:rPr>
        <w:t xml:space="preserve">A clustered rowstore primary key alone is the wrong shape for an analytic scan workload. At this row count the columnstore compression and batch-mode execution are measurable, and the decision is defensible in interview — which is the second reason to make it.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NONCLUSTERED COLUMNSTORE INDEX NCCX_FactItemMovement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dw.FactItemMovement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(DateKey, SupplierKey, 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RetailSales, RetailTransfers, 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NONCLUSTERED INDEX IX_FactItemMovement_DateKey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ON dw.FactItemMovement (DateKey)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INCLUDE (RetailSales, WarehouseSales);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pStyle w:val="Heading2"/>
        <w:spacing w:after="120" w:before="280"/>
      </w:pPr>
      <w:r>
        <w:rPr>
          <w:rFonts w:ascii="Times New Roman" w:cs="Times New Roman" w:eastAsia="Times New Roman" w:hAnsi="Times New Roman"/>
          <w:b/>
          <w:bCs/>
          <w:color w:val="2E5496"/>
          <w:sz w:val="25"/>
          <w:szCs w:val="25"/>
        </w:rPr>
        <w:t xml:space="preserve">5.10 Presentation views</w:t>
      </w:r>
    </w:p>
    <w:p>
      <w:pPr>
        <w:spacing w:after="120" w:line="276"/>
      </w:pPr>
      <w:r>
        <w:rPr>
          <w:rFonts w:ascii="Times New Roman" w:cs="Times New Roman" w:eastAsia="Times New Roman" w:hAnsi="Times New Roman"/>
          <w:sz w:val="22"/>
          <w:szCs w:val="22"/>
        </w:rPr>
        <w:t xml:space="preserve">Power BI connects to views, never to base tables. The view is the contract: it can be reshaped without touching the semantic model, and it keeps staging artifacts out of the Navigator where someone might select one by accident.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CREATE OR ALTER VIEW dw.vw_ItemMovement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f.DateKey,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f.SupplierKey,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f.ItemKey,</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f.RetailTransfers,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f.WarehouseSales,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f.RetailSales + f.WarehouseSales AS TotalMovement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dw.FactItemMovement AS f;</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GO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CREATE OR ALTER VIEW dw.vw_Item</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SELECT  ItemKey, ItemCode, ItemDescription,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FirstSeenDateKey, LastSeenDateKey, CohortYear, MonthsActive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FROM    dw.DimItem;</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GO</w:t>
      </w:r>
    </w:p>
    <w:p>
      <w:pPr>
        <w:spacing w:after="120" w:line="276"/>
      </w:pPr>
      <w:r>
        <w:rPr>
          <w:rFonts w:ascii="Times New Roman" w:cs="Times New Roman" w:eastAsia="Times New Roman" w:hAnsi="Times New Roman"/>
          <w:sz w:val="22"/>
          <w:szCs w:val="22"/>
        </w:rPr>
        <w:t xml:space="preserve">TotalMovement is computed in the view rather than in DAX so that all three reports inherit one definition of what "total cases" means.</w:t>
      </w:r>
    </w:p>
    <w:p>
      <w:pPr>
        <w:pStyle w:val="Heading2"/>
        <w:spacing w:after="120" w:before="280"/>
      </w:pPr>
      <w:r>
        <w:rPr>
          <w:rFonts w:ascii="Times New Roman" w:cs="Times New Roman" w:eastAsia="Times New Roman" w:hAnsi="Times New Roman"/>
          <w:b/>
          <w:bCs/>
          <w:color w:val="2E5496"/>
          <w:sz w:val="25"/>
          <w:szCs w:val="25"/>
        </w:rPr>
        <w:t xml:space="preserve">5.11 Connect Power BI</w:t>
      </w:r>
    </w:p>
    <w:p>
      <w:pPr>
        <w:pStyle w:val="ListParagraph"/>
        <w:numPr>
          <w:ilvl w:val="0"/>
          <w:numId w:val="4"/>
        </w:numPr>
        <w:spacing w:after="60" w:line="276"/>
      </w:pPr>
      <w:r>
        <w:rPr>
          <w:rFonts w:ascii="Times New Roman" w:cs="Times New Roman" w:eastAsia="Times New Roman" w:hAnsi="Times New Roman"/>
          <w:sz w:val="22"/>
          <w:szCs w:val="22"/>
        </w:rPr>
        <w:t xml:space="preserve">Get data → SQL Server database.</w:t>
      </w:r>
    </w:p>
    <w:p>
      <w:pPr>
        <w:pStyle w:val="ListParagraph"/>
        <w:numPr>
          <w:ilvl w:val="0"/>
          <w:numId w:val="4"/>
        </w:numPr>
        <w:spacing w:after="60" w:line="276"/>
      </w:pPr>
      <w:r>
        <w:rPr>
          <w:rFonts w:ascii="Times New Roman" w:cs="Times New Roman" w:eastAsia="Times New Roman" w:hAnsi="Times New Roman"/>
          <w:sz w:val="22"/>
          <w:szCs w:val="22"/>
        </w:rPr>
        <w:t xml:space="preserve">Server: BRUNO\MSSQLSERVER01. Database: RetailEconomics.</w:t>
      </w:r>
    </w:p>
    <w:p>
      <w:pPr>
        <w:pStyle w:val="ListParagraph"/>
        <w:numPr>
          <w:ilvl w:val="0"/>
          <w:numId w:val="4"/>
        </w:numPr>
        <w:spacing w:after="60" w:line="276"/>
      </w:pPr>
      <w:r>
        <w:rPr>
          <w:rFonts w:ascii="Times New Roman" w:cs="Times New Roman" w:eastAsia="Times New Roman" w:hAnsi="Times New Roman"/>
          <w:sz w:val="22"/>
          <w:szCs w:val="22"/>
        </w:rPr>
        <w:t xml:space="preserve">Data Connectivity mode: Import.</w:t>
      </w:r>
    </w:p>
    <w:p>
      <w:pPr>
        <w:pStyle w:val="ListParagraph"/>
        <w:numPr>
          <w:ilvl w:val="0"/>
          <w:numId w:val="4"/>
        </w:numPr>
        <w:spacing w:after="60" w:line="276"/>
      </w:pPr>
      <w:r>
        <w:rPr>
          <w:rFonts w:ascii="Times New Roman" w:cs="Times New Roman" w:eastAsia="Times New Roman" w:hAnsi="Times New Roman"/>
          <w:sz w:val="22"/>
          <w:szCs w:val="22"/>
        </w:rPr>
        <w:t xml:space="preserve">Select dw.vw_ItemMovement, dw.vw_Item, dw.DimSupplier and dw.DimDate. Do not select anything in the stg schema, and do not select dw.DimItem directly — dw.vw_Item is the contract.</w:t>
      </w:r>
    </w:p>
    <w:p>
      <w:pPr>
        <w:pStyle w:val="ListParagraph"/>
        <w:numPr>
          <w:ilvl w:val="0"/>
          <w:numId w:val="4"/>
        </w:numPr>
        <w:spacing w:after="60" w:line="276"/>
      </w:pPr>
      <w:r>
        <w:rPr>
          <w:rFonts w:ascii="Times New Roman" w:cs="Times New Roman" w:eastAsia="Times New Roman" w:hAnsi="Times New Roman"/>
          <w:sz w:val="22"/>
          <w:szCs w:val="22"/>
        </w:rPr>
        <w:t xml:space="preserve">Rename vw_ItemMovement to FactItemMovement and vw_Item to DimItem in the model.</w:t>
      </w:r>
    </w:p>
    <w:p>
      <w:pPr>
        <w:pStyle w:val="Heading1"/>
        <w:spacing w:after="160" w:before="360"/>
      </w:pPr>
      <w:r>
        <w:rPr>
          <w:rFonts w:ascii="Times New Roman" w:cs="Times New Roman" w:eastAsia="Times New Roman" w:hAnsi="Times New Roman"/>
          <w:b/>
          <w:bCs/>
          <w:color w:val="1F3864"/>
          <w:sz w:val="30"/>
          <w:szCs w:val="30"/>
        </w:rPr>
        <w:t xml:space="preserve">6. Source D — Excel Reference Workbook</w:t>
      </w:r>
    </w:p>
    <w:p>
      <w:pPr>
        <w:spacing w:after="120" w:line="276"/>
      </w:pPr>
      <w:r>
        <w:rPr>
          <w:rFonts w:ascii="Times New Roman" w:cs="Times New Roman" w:eastAsia="Times New Roman" w:hAnsi="Times New Roman"/>
          <w:sz w:val="22"/>
          <w:szCs w:val="22"/>
        </w:rPr>
        <w:t xml:space="preserve">Some mappings do not belong in a source system: they are analyst judgement, they change on a business cadence, and no upstream owner maintains them. A governed workbook is the correct home, and connecting to one is the third ingestion pattern.</w:t>
      </w:r>
    </w:p>
    <w:p>
      <w:pPr>
        <w:pStyle w:val="Heading2"/>
        <w:spacing w:after="120" w:before="280"/>
      </w:pPr>
      <w:r>
        <w:rPr>
          <w:rFonts w:ascii="Times New Roman" w:cs="Times New Roman" w:eastAsia="Times New Roman" w:hAnsi="Times New Roman"/>
          <w:b/>
          <w:bCs/>
          <w:color w:val="2E5496"/>
          <w:sz w:val="25"/>
          <w:szCs w:val="25"/>
        </w:rPr>
        <w:t xml:space="preserve">6.1 Workbook specification</w:t>
      </w:r>
    </w:p>
    <w:p>
      <w:pPr>
        <w:spacing w:after="120" w:line="276"/>
      </w:pPr>
      <w:r>
        <w:rPr>
          <w:rFonts w:ascii="Times New Roman" w:cs="Times New Roman" w:eastAsia="Times New Roman" w:hAnsi="Times New Roman"/>
          <w:sz w:val="22"/>
          <w:szCs w:val="22"/>
        </w:rPr>
        <w:t xml:space="preserve">Create RefMappings.xlsx in the clone’s reference/ folder: X:\retail-sector-health\reference\RefMappings.xlsx. It is analyst judgement rather than source data, so it is committed — document 01 §3.1 — while the county CSV in C:\Data\RetailEconomics\ is not. Keep one copy only; a second copy outside the clone is the one that quietly stops being versioned.</w:t>
      </w:r>
    </w:p>
    <w:p>
      <w:pPr>
        <w:spacing w:after="120" w:line="276"/>
      </w:pPr>
      <w:r>
        <w:rPr>
          <w:rFonts w:ascii="Times New Roman" w:cs="Times New Roman" w:eastAsia="Times New Roman" w:hAnsi="Times New Roman"/>
          <w:sz w:val="22"/>
          <w:szCs w:val="22"/>
        </w:rPr>
        <w:t xml:space="preserve">Give it two worksheets, each formatted as an Excel Table (Ctrl+T) so the connector binds to a named range rather than a sheet extent that grows unpredictably.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Worksheet / Table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Columns</w:t>
            </w:r>
          </w:p>
        </w:tc>
        <w:tc>
          <w:tcPr>
            <w:tcW w:type="dxa" w:w="486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Purpose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CategoryMap</w:t>
            </w:r>
          </w:p>
          <w:p>
            <w:pPr>
              <w:spacing w:after="0" w:line="240"/>
            </w:pPr>
            <w:r>
              <w:rPr>
                <w:rFonts w:ascii="Times New Roman" w:cs="Times New Roman" w:eastAsia="Times New Roman" w:hAnsi="Times New Roman"/>
                <w:b w:val="false"/>
                <w:bCs w:val="false"/>
                <w:sz w:val="19"/>
                <w:szCs w:val="19"/>
              </w:rPr>
              <w:t xml:space="preserve">(tbl_CategoryMap)</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CategoryCode, CategoryName, CategoryGroup, DisplayOrder, IsAggregate</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Maps Census codes to display names and to a Discretionary / Staples / Services grouping. IsAggregate flags 44X72 and 44000 so aggregates are excluded from share denominators. Seed from Table 3.1 — all nineteen codes.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ItemTypeMap</w:t>
            </w:r>
          </w:p>
          <w:p>
            <w:pPr>
              <w:spacing w:after="0" w:line="240"/>
            </w:pPr>
            <w:r>
              <w:rPr>
                <w:rFonts w:ascii="Times New Roman" w:cs="Times New Roman" w:eastAsia="Times New Roman" w:hAnsi="Times New Roman"/>
                <w:b w:val="false"/>
                <w:bCs w:val="false"/>
                <w:sz w:val="19"/>
                <w:szCs w:val="19"/>
              </w:rPr>
              <w:t xml:space="preserve">(tbl_ItemTypeMap)</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 BeverageClass</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Groups the five raw ITEM TYPE values into analyst classes. ItemType is transcribed from the §5.5 profiling query, not typed from memory — it must match the source values exactly or the merge in §6.3 silently produces blanks.</w:t>
            </w:r>
          </w:p>
        </w:tc>
      </w:tr>
    </w:tbl>
    <w:p>
      <w:pPr>
        <w:spacing w:after="120" w:line="276"/>
      </w:pPr>
      <w:r>
        <w:rPr>
          <w:rFonts w:ascii="Times New Roman" w:cs="Times New Roman" w:eastAsia="Times New Roman" w:hAnsi="Times New Roman"/>
          <w:sz w:val="22"/>
          <w:szCs w:val="22"/>
        </w:rPr>
        <w:t xml:space="preserve">Both queries that read the workbook take its location from a parameter rather than from a path written into the M code:</w:t>
      </w:r>
    </w:p>
    <w:p>
      <w:pPr>
        <w:pStyle w:val="ListParagraph"/>
        <w:numPr>
          <w:ilvl w:val="0"/>
          <w:numId w:val="5"/>
        </w:numPr>
        <w:spacing w:after="60" w:line="276"/>
      </w:pPr>
      <w:r>
        <w:rPr>
          <w:rFonts w:ascii="Times New Roman" w:cs="Times New Roman" w:eastAsia="Times New Roman" w:hAnsi="Times New Roman"/>
          <w:sz w:val="22"/>
          <w:szCs w:val="22"/>
        </w:rPr>
        <w:t xml:space="preserve">In Power BI Desktop: Transform data → Manage Parameters → New.</w:t>
      </w:r>
    </w:p>
    <w:p>
      <w:pPr>
        <w:pStyle w:val="ListParagraph"/>
        <w:numPr>
          <w:ilvl w:val="0"/>
          <w:numId w:val="5"/>
        </w:numPr>
        <w:spacing w:after="60" w:line="276"/>
      </w:pPr>
      <w:r>
        <w:rPr>
          <w:rFonts w:ascii="Times New Roman" w:cs="Times New Roman" w:eastAsia="Times New Roman" w:hAnsi="Times New Roman"/>
          <w:sz w:val="22"/>
          <w:szCs w:val="22"/>
        </w:rPr>
        <w:t xml:space="preserve">Create a Text parameter pRefMappingsPath. Set its Current Value to the workbook’s full network (UNC) path — \\&lt;server&gt;\&lt;share&gt;\retail-sector-health\reference\RefMappings.xlsx. To find the server and share behind X:, run net use in a Command Prompt, or (Get-PSDrive X).DisplayRoot in PowerShell.</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Use the UNC path, not X:.  </w:t>
      </w:r>
      <w:r>
        <w:rPr>
          <w:rFonts w:ascii="Times New Roman" w:cs="Times New Roman" w:eastAsia="Times New Roman" w:hAnsi="Times New Roman"/>
          <w:sz w:val="21"/>
          <w:szCs w:val="21"/>
        </w:rPr>
        <w:t xml:space="preserve">A mapped drive letter exists only in the Windows sign-in session that created it; an elevated session cannot see it, and Microsoft does not document whether the personal-mode gateway can. The UNC path resolves in Desktop, in the gateway and in any session. The parameter also means the path is set in one place: if the share ever moves, one value changes and both queries follow. Its value is saved in the PBIP model text like any parameter; a private network path is not a credential and is not reachable from outside the network, so it does not need the treatment document 00 §12 gives the API key.</w:t>
      </w:r>
    </w:p>
    <w:p>
      <w:pPr>
        <w:pStyle w:val="Heading2"/>
        <w:spacing w:after="120" w:before="280"/>
      </w:pPr>
      <w:r>
        <w:rPr>
          <w:rFonts w:ascii="Times New Roman" w:cs="Times New Roman" w:eastAsia="Times New Roman" w:hAnsi="Times New Roman"/>
          <w:b/>
          <w:bCs/>
          <w:color w:val="2E5496"/>
          <w:sz w:val="25"/>
          <w:szCs w:val="25"/>
        </w:rPr>
        <w:t xml:space="preserve">6.2 DimCategory</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 Excel.Workbook(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File.Contents(pRefMappingsPath),</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Tbl      = Source{[Item = "tbl_CategoryMap", Kind = "Table"]}[Data],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    = Table.TransformColumnTypes(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Tbl,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{"CategoryCode",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{"CategoryName",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{"CategoryGroup",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{"DisplayOrder",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{"IsAggregate",   type logical}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Trimmed  = Table.TransformColumns(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{{"CategoryCode", Text.Trim,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{"CategoryName", Text.Trim, type text}}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NoBlanks = Table.SelectRows(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Trimmed,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[CategoryCode] &lt;&gt; null and [CategoryCode] &lt;&gt;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NoBlanks</w:t>
      </w:r>
    </w:p>
    <w:p>
      <w:pPr>
        <w:pStyle w:val="Heading2"/>
        <w:spacing w:after="120" w:before="280"/>
      </w:pPr>
      <w:r>
        <w:rPr>
          <w:rFonts w:ascii="Times New Roman" w:cs="Times New Roman" w:eastAsia="Times New Roman" w:hAnsi="Times New Roman"/>
          <w:b/>
          <w:bCs/>
          <w:color w:val="2E5496"/>
          <w:sz w:val="25"/>
          <w:szCs w:val="25"/>
        </w:rPr>
        <w:t xml:space="preserve">6.3 Merge the item mappings into DimItem</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Source   = Sql.Database("BRUNO\MSSQLSERVER01",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ItemView = Source{[Schema = "dw", Item = "vw_Item"]}[Data],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Wb       = Excel.Workbook(</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File.Contents(pRefMappingsPath),</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 true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TypeMap  = Wb{[Item = "tbl_ItemTypeMap", Kind = "Table"]}[Data],</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 Table.NestedJoin(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ItemView,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TypeMap,  {"ItemType"},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"map", JoinKind.LeftOuter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 Table.ExpandTableColumn(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"map",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Unmatched types become "Unmapped" rather than blank, so they are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visible on a slicer instead of silently disappearing from it.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Filled   = Table.ReplaceValue(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Expanded, null, "Unmapped",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Replacer.ReplaceValue,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{"BeverageClass"}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Filled</w:t>
      </w:r>
    </w:p>
    <w:p>
      <w:pPr>
        <w:pStyle w:val="Heading2"/>
        <w:spacing w:after="120" w:before="280"/>
      </w:pPr>
      <w:r>
        <w:rPr>
          <w:rFonts w:ascii="Times New Roman" w:cs="Times New Roman" w:eastAsia="Times New Roman" w:hAnsi="Times New Roman"/>
          <w:b/>
          <w:bCs/>
          <w:color w:val="2E5496"/>
          <w:sz w:val="25"/>
          <w:szCs w:val="25"/>
        </w:rPr>
        <w:t xml:space="preserve">6.4 Where Each Column Comes From</w:t>
      </w:r>
    </w:p>
    <w:p>
      <w:pPr>
        <w:spacing w:after="120" w:line="276"/>
      </w:pPr>
      <w:r>
        <w:rPr>
          <w:rFonts w:ascii="Times New Roman" w:cs="Times New Roman" w:eastAsia="Times New Roman" w:hAnsi="Times New Roman"/>
          <w:sz w:val="22"/>
          <w:szCs w:val="22"/>
        </w:rPr>
        <w:t xml:space="preserve">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498"/>
        <w:gridCol w:w="5429"/>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Column</w:t>
            </w:r>
          </w:p>
        </w:tc>
        <w:tc>
          <w:tcPr>
            <w:tcW w:type="dxa" w:w="149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Basis</w:t>
            </w:r>
          </w:p>
        </w:tc>
        <w:tc>
          <w:tcPr>
            <w:tcW w:type="dxa" w:w="542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it comes from</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CategoryCode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published MARTS kind-of-business list — Table 3.1 of this document, transcribed from the current Census release. Re-verify with the §3.4 discovery query after any Census revision.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CategoryName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Census’s own labels for each code, lightly shortened for display.</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IsAggregate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Factual: 44X72 and 44000 are aggregates by Census definition. Every other code is a component.</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CategoryGroup</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Discretionary / Staples / Services. An analyst classification for slicing Report 1 Page 2. It changes grouping only — no measure value depends on it.</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DisplayOrder</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Presentation order for CategoryName. Arbitrary by design.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ItemType</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distinct ITEM TYPE values the source publishes, taken from profiling query 3 in §5.5: Wine, Liquor, Beer, Kegs, Non-Alcohol, plus Unclassified for blanks.</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BeverageClass</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Judgement</w:t>
            </w:r>
          </w:p>
        </w:tc>
        <w:tc>
          <w:tcPr>
            <w:tcW w:type="dxa" w:w="542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analyst grouping over ItemType for display on R1 Page 3 and R3. Grouping only.</w:t>
            </w:r>
          </w:p>
        </w:tc>
      </w:tr>
    </w:tbl>
    <w:p>
      <w:pPr>
        <w:spacing w:after="200" w:before="40"/>
      </w:pPr>
      <w:r>
        <w:rPr>
          <w:rFonts w:ascii="Times New Roman" w:cs="Times New Roman" w:eastAsia="Times New Roman" w:hAnsi="Times New Roman"/>
          <w:i/>
          <w:iCs/>
          <w:color w:val="595959"/>
          <w:sz w:val="19"/>
          <w:szCs w:val="19"/>
        </w:rPr>
        <w:t xml:space="preserve">Table 6.1 — Provenance of every column in RefMappings.xlsx.</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No column in this workbook invents a fact.  </w:t>
      </w:r>
      <w:r>
        <w:rPr>
          <w:rFonts w:ascii="Times New Roman" w:cs="Times New Roman" w:eastAsia="Times New Roman" w:hAnsi="Times New Roman"/>
          <w:sz w:val="21"/>
          <w:szCs w:val="21"/>
        </w:rPr>
        <w:t xml:space="preserve">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carrying a whole report page on top of it. Report 2 Page 2 now measures mix shift between item types instead, which the data supports directly.</w:t>
      </w:r>
    </w:p>
    <w:p>
      <w:pPr>
        <w:pStyle w:val="Heading2"/>
        <w:spacing w:after="120" w:before="280"/>
      </w:pPr>
      <w:r>
        <w:rPr>
          <w:rFonts w:ascii="Times New Roman" w:cs="Times New Roman" w:eastAsia="Times New Roman" w:hAnsi="Times New Roman"/>
          <w:b/>
          <w:bCs/>
          <w:color w:val="2E5496"/>
          <w:sz w:val="25"/>
          <w:szCs w:val="25"/>
        </w:rPr>
        <w:t xml:space="preserve">6.5 Referential coverage check</w:t>
      </w:r>
    </w:p>
    <w:p>
      <w:pPr>
        <w:spacing w:after="120" w:line="276"/>
      </w:pPr>
      <w:r>
        <w:rPr>
          <w:rFonts w:ascii="Times New Roman" w:cs="Times New Roman" w:eastAsia="Times New Roman" w:hAnsi="Times New Roman"/>
          <w:sz w:val="22"/>
          <w:szCs w:val="22"/>
        </w:rPr>
        <w:t xml:space="preserve">Before loading, confirm every category_code the API returns exists in the workbook. If this returns any rows, add them to the workbook before proceeding — a missing mapping shows up later as a blank slicer entry that nobody can explain.</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let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Api       = Table.Distinct(Table.SelectColumns(FactSectorSales, {"category_code"})),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Ref       = Table.SelectColumns(DimCategory, {"CategoryCode"}),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Joined    = Table.NestedJoin(Api, {"category_code"}, Ref, {"CategoryCode"},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"m", JoinKind.LeftOuter),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Unmatched = Table.SelectRows(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Table.AddColumn(Joined, "n", each Table.RowCount([m]), Int64.Type),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each [n] = 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in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Table.SelectColumns(Unmatched, {"category_code"})</w:t>
      </w:r>
    </w:p>
    <w:p>
      <w:pPr>
        <w:pStyle w:val="Heading1"/>
        <w:spacing w:after="160" w:before="360"/>
      </w:pPr>
      <w:r>
        <w:rPr>
          <w:rFonts w:ascii="Times New Roman" w:cs="Times New Roman" w:eastAsia="Times New Roman" w:hAnsi="Times New Roman"/>
          <w:b/>
          <w:bCs/>
          <w:color w:val="1F3864"/>
          <w:sz w:val="30"/>
          <w:szCs w:val="30"/>
        </w:rPr>
        <w:t xml:space="preserve">7. Building the Semantic Model</w:t>
      </w:r>
    </w:p>
    <w:p>
      <w:pPr>
        <w:spacing w:after="120" w:line="276"/>
      </w:pPr>
      <w:r>
        <w:rPr>
          <w:rFonts w:ascii="Times New Roman" w:cs="Times New Roman" w:eastAsia="Times New Roman" w:hAnsi="Times New Roman"/>
          <w:sz w:val="22"/>
          <w:szCs w:val="22"/>
        </w:rPr>
        <w:t xml:space="preserve">This is what the model looks like when section 7 is finished. Build toward it: every table below, every column, and exactly seven relationship lines. Nothing else should appear, and nothing shown here should be missing.</w:t>
      </w:r>
    </w:p>
    <w:p>
      <w:pPr>
        <w:spacing w:after="40" w:before="120"/>
        <w:jc w:val="center"/>
      </w:pPr>
      <w:r>
        <w:drawing>
          <wp:inline distT="0" distB="0" distL="0" distR="0">
            <wp:extent cx="5943600" cy="622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6229350"/>
                    </a:xfrm>
                    <a:prstGeom prst="rect">
                      <a:avLst/>
                    </a:prstGeom>
                  </pic:spPr>
                </pic:pic>
              </a:graphicData>
            </a:graphic>
          </wp:inline>
        </w:drawing>
      </w:r>
    </w:p>
    <w:p>
      <w:pPr>
        <w:spacing w:after="200" w:before="40"/>
      </w:pPr>
      <w:r>
        <w:rPr>
          <w:rFonts w:ascii="Times New Roman" w:cs="Times New Roman" w:eastAsia="Times New Roman" w:hAnsi="Times New Roman"/>
          <w:i/>
          <w:iCs/>
          <w:color w:val="595959"/>
          <w:sz w:val="19"/>
          <w:szCs w:val="19"/>
        </w:rPr>
        <w:t xml:space="preserve">Figure 7.1 — The completed model as Power BI Model view renders it. Shaded rows with a key symbol are the columns a relationship is built on; every other column is descriptive and joins to nothing.</w:t>
      </w:r>
    </w:p>
    <w:p>
      <w:pPr>
        <w:pStyle w:val="Heading3"/>
        <w:spacing w:after="100" w:before="220"/>
      </w:pPr>
      <w:r>
        <w:rPr>
          <w:rFonts w:ascii="Times New Roman" w:cs="Times New Roman" w:eastAsia="Times New Roman" w:hAnsi="Times New Roman"/>
          <w:b/>
          <w:bCs/>
          <w:color w:val="404040"/>
          <w:sz w:val="23"/>
          <w:szCs w:val="23"/>
        </w:rPr>
        <w:t xml:space="preserve">How to read it</w:t>
      </w:r>
    </w:p>
    <w:p>
      <w:pPr>
        <w:pStyle w:val="ListParagraph"/>
        <w:numPr>
          <w:ilvl w:val="0"/>
          <w:numId w:val="6"/>
        </w:numPr>
        <w:spacing w:after="60" w:line="276"/>
      </w:pPr>
      <w:r>
        <w:rPr>
          <w:rFonts w:ascii="Times New Roman" w:cs="Times New Roman" w:eastAsia="Times New Roman" w:hAnsi="Times New Roman"/>
          <w:sz w:val="22"/>
          <w:szCs w:val="22"/>
        </w:rPr>
        <w:t xml:space="preserve">Teal headers are dimensions, navy headers are facts. Five dimensions, three facts — the star schema stated visually rather than described.</w:t>
      </w:r>
    </w:p>
    <w:p>
      <w:pPr>
        <w:pStyle w:val="ListParagraph"/>
        <w:numPr>
          <w:ilvl w:val="0"/>
          <w:numId w:val="6"/>
        </w:numPr>
        <w:spacing w:after="60" w:line="276"/>
      </w:pPr>
      <w:r>
        <w:rPr>
          <w:rFonts w:ascii="Times New Roman" w:cs="Times New Roman" w:eastAsia="Times New Roman" w:hAnsi="Times New Roman"/>
          <w:sz w:val="22"/>
          <w:szCs w:val="22"/>
        </w:rPr>
        <w:t xml:space="preserve">A shaded row carrying the key symbol is a column a relationship uses. There are twelve such columns across the model: five on the dimension side and seven on the fact side. The count is uneven because DateKey appears on all three facts while DimDate supplies it once.</w:t>
      </w:r>
    </w:p>
    <w:p>
      <w:pPr>
        <w:pStyle w:val="ListParagraph"/>
        <w:numPr>
          <w:ilvl w:val="0"/>
          <w:numId w:val="6"/>
        </w:numPr>
        <w:spacing w:after="60" w:line="276"/>
      </w:pPr>
      <w:r>
        <w:rPr>
          <w:rFonts w:ascii="Times New Roman" w:cs="Times New Roman" w:eastAsia="Times New Roman" w:hAnsi="Times New Roman"/>
          <w:sz w:val="22"/>
          <w:szCs w:val="22"/>
        </w:rPr>
        <w:t xml:space="preserve">Each line is labelled 1 at the dimension end and * at the fact end, and the arrowhead is the filter direction. Filtering runs dimension to fact and never the reverse. §7.2 lists the same seven relationships as a table for checking them off.</w:t>
      </w:r>
    </w:p>
    <w:p>
      <w:pPr>
        <w:pStyle w:val="ListParagraph"/>
        <w:numPr>
          <w:ilvl w:val="0"/>
          <w:numId w:val="6"/>
        </w:numPr>
        <w:spacing w:after="60" w:line="276"/>
      </w:pPr>
      <w:r>
        <w:rPr>
          <w:rFonts w:ascii="Times New Roman" w:cs="Times New Roman" w:eastAsia="Times New Roman" w:hAnsi="Times New Roman"/>
          <w:sz w:val="22"/>
          <w:szCs w:val="22"/>
        </w:rPr>
        <w:t xml:space="preserve">DimDate sits apart from the other dimensions on the right because it is the only one joining all three facts. That is what conforming the grain bought — one date slicer drives the whole model.</w:t>
      </w:r>
    </w:p>
    <w:p>
      <w:pPr>
        <w:pStyle w:val="ListParagraph"/>
        <w:numPr>
          <w:ilvl w:val="0"/>
          <w:numId w:val="6"/>
        </w:numPr>
        <w:spacing w:after="60" w:line="276"/>
      </w:pPr>
      <w:r>
        <w:rPr>
          <w:rFonts w:ascii="Times New Roman" w:cs="Times New Roman" w:eastAsia="Times New Roman" w:hAnsi="Times New Roman"/>
          <w:sz w:val="22"/>
          <w:szCs w:val="22"/>
        </w:rPr>
        <w:t xml:space="preserve">Note the column names either side of the DimCategory line: CategoryCode joins to category_code. The Census API returns lower-case column names and they are deliberately not renamed, so the join reads as source-to-source rather than looking like a typo.</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One table has no relationship lines, and that is correct.  </w:t>
      </w:r>
      <w:r>
        <w:rPr>
          <w:rFonts w:ascii="Times New Roman" w:cs="Times New Roman" w:eastAsia="Times New Roman" w:hAnsi="Times New Roman"/>
          <w:sz w:val="21"/>
          <w:szCs w:val="21"/>
        </w:rPr>
        <w:t xml:space="preserve">_Measures holds all seventy-nine measures and a single hidden placeholder column. It joins to nothing because it holds no data to join on. In Model view a disconnected table is usually the sign of a relationship someone forgot to create — this is the one case in this model where it means the opposite, and it is drawn in amber so it reads as deliberate rather than as an omission. §8.1 creates it.</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Check the model against this picture before building a single measure.  </w:t>
      </w:r>
      <w:r>
        <w:rPr>
          <w:rFonts w:ascii="Times New Roman" w:cs="Times New Roman" w:eastAsia="Times New Roman" w:hAnsi="Times New Roman"/>
          <w:sz w:val="21"/>
          <w:szCs w:val="21"/>
        </w:rPr>
        <w:t xml:space="preserve">Open Model view and compare. An extra relationship line, a missing one, or a line landing on the wrong column will not raise an error — it produces measures that return plausible but wrong numbers, and it is far cheaper to catch here than after seventy-nine definitions are written on top of it. The most common defects are an auto-detected relationship Power BI created on its own, and a second date relationship that Desktop made inactive without saying so.</w:t>
      </w:r>
    </w:p>
    <w:p>
      <w:pPr>
        <w:pStyle w:val="Heading2"/>
        <w:spacing w:after="120" w:before="280"/>
      </w:pPr>
      <w:r>
        <w:rPr>
          <w:rFonts w:ascii="Times New Roman" w:cs="Times New Roman" w:eastAsia="Times New Roman" w:hAnsi="Times New Roman"/>
          <w:b/>
          <w:bCs/>
          <w:color w:val="2E5496"/>
          <w:sz w:val="25"/>
          <w:szCs w:val="25"/>
        </w:rPr>
        <w:t xml:space="preserve">7.1 Query dependency order</w:t>
      </w:r>
    </w:p>
    <w:p>
      <w:pPr>
        <w:spacing w:after="120" w:line="276"/>
      </w:pPr>
      <w:r>
        <w:rPr>
          <w:rFonts w:ascii="Times New Roman" w:cs="Times New Roman" w:eastAsia="Times New Roman" w:hAnsi="Times New Roman"/>
          <w:sz w:val="22"/>
          <w:szCs w:val="22"/>
        </w:rPr>
        <w:t xml:space="preserve">Build the queries in this order. Two of them depend on others existing first, and Power BI will not warn you helpfully if they do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621"/>
        <w:gridCol w:w="5990"/>
      </w:tblGrid>
      <w:tr>
        <w:trPr>
          <w:tblHeader/>
        </w:trPr>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Query</w:t>
            </w:r>
          </w:p>
        </w:tc>
        <w:tc>
          <w:tcPr>
            <w:tcW w:type="dxa" w:w="599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Depends on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Parameters (pCensusKey, pStartPeriod, pEndPeriod, pRefMappingsPath)</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fnGetFredSeries</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A function, load disabled.</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fnGetFredSeries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DimIndicator</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Enter Data.</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three parameters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 through pRefMappingsPath</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Coverage check</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 and DimCategory. Run it, act on it, then disable its load.</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DimSupplier, DimDate</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views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w:t>
            </w:r>
          </w:p>
        </w:tc>
        <w:tc>
          <w:tcPr>
            <w:tcW w:type="dxa" w:w="599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dw.vw_Item, and RefMappings.xlsx through pRefMappingsPath</w:t>
            </w:r>
          </w:p>
        </w:tc>
      </w:tr>
    </w:tbl>
    <w:p>
      <w:pPr>
        <w:pStyle w:val="Heading2"/>
        <w:spacing w:after="120" w:before="280"/>
      </w:pPr>
      <w:r>
        <w:rPr>
          <w:rFonts w:ascii="Times New Roman" w:cs="Times New Roman" w:eastAsia="Times New Roman" w:hAnsi="Times New Roman"/>
          <w:b/>
          <w:bCs/>
          <w:color w:val="2E5496"/>
          <w:sz w:val="25"/>
          <w:szCs w:val="25"/>
        </w:rPr>
        <w:t xml:space="preserve">7.2 Relationships</w:t>
      </w:r>
    </w:p>
    <w:p>
      <w:pPr>
        <w:spacing w:after="120" w:line="276"/>
      </w:pPr>
      <w:r>
        <w:rPr>
          <w:rFonts w:ascii="Times New Roman" w:cs="Times New Roman" w:eastAsia="Times New Roman" w:hAnsi="Times New Roman"/>
          <w:sz w:val="22"/>
          <w:szCs w:val="22"/>
        </w:rPr>
        <w:t xml:space="preserve">Create all seven, all single-direction, all one-to-many from dimension to fact. This model needs no bidirectional filter anywhere; if you find yourself reaching for one, the grain is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995"/>
        <w:gridCol w:w="3557"/>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From (one)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To (many)</w:t>
            </w:r>
          </w:p>
        </w:tc>
        <w:tc>
          <w:tcPr>
            <w:tcW w:type="dxa" w:w="355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DimDate[DateKey]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FactItemMovement[DateKey]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DimIndicator[SeriesId]</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FactMacro[SeriesId]</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Filtering to one series is what makes Macro Value meaningful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DimCategory[CategoryCode]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FactSectorSales[category_code]</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 from Excel, fact from the API — §6.4 must pass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DimSupplier[SupplierKey]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FactItemMovement[SupplierKey]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DimItem[ItemKey]</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FactItemMovement[ItemKey]</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r>
    </w:tbl>
    <w:p>
      <w:pPr>
        <w:pStyle w:val="Heading2"/>
        <w:spacing w:after="120" w:before="280"/>
      </w:pPr>
      <w:r>
        <w:rPr>
          <w:rFonts w:ascii="Times New Roman" w:cs="Times New Roman" w:eastAsia="Times New Roman" w:hAnsi="Times New Roman"/>
          <w:b/>
          <w:bCs/>
          <w:color w:val="2E5496"/>
          <w:sz w:val="25"/>
          <w:szCs w:val="25"/>
        </w:rPr>
        <w:t xml:space="preserve">7.3 Model configuration</w:t>
      </w:r>
    </w:p>
    <w:p>
      <w:pPr>
        <w:pStyle w:val="ListParagraph"/>
        <w:numPr>
          <w:ilvl w:val="0"/>
          <w:numId w:val="7"/>
        </w:numPr>
        <w:spacing w:after="60" w:line="276"/>
      </w:pPr>
      <w:r>
        <w:rPr>
          <w:rFonts w:ascii="Times New Roman" w:cs="Times New Roman" w:eastAsia="Times New Roman" w:hAnsi="Times New Roman"/>
          <w:sz w:val="22"/>
          <w:szCs w:val="22"/>
        </w:rPr>
        <w:t xml:space="preserve">Mark DimDate as a date table on DimDate[Date]. Without this, time intelligence silently produces wrong answers rather than errors.</w:t>
      </w:r>
    </w:p>
    <w:p>
      <w:pPr>
        <w:pStyle w:val="ListParagraph"/>
        <w:numPr>
          <w:ilvl w:val="0"/>
          <w:numId w:val="7"/>
        </w:numPr>
        <w:spacing w:after="60" w:line="276"/>
      </w:pPr>
      <w:r>
        <w:rPr>
          <w:rFonts w:ascii="Times New Roman" w:cs="Times New Roman" w:eastAsia="Times New Roman" w:hAnsi="Times New Roman"/>
          <w:sz w:val="22"/>
          <w:szCs w:val="22"/>
        </w:rPr>
        <w:t xml:space="preserve">Sort by column: MonthYear → DateKey; CategoryName → DisplayOrder; IndicatorName → DisplayOrder. Skipping these leaves every month-ordered visual in alphabetical order, which looks like a data problem and is not.</w:t>
      </w:r>
    </w:p>
    <w:p>
      <w:pPr>
        <w:pStyle w:val="ListParagraph"/>
        <w:numPr>
          <w:ilvl w:val="0"/>
          <w:numId w:val="7"/>
        </w:numPr>
        <w:spacing w:after="60" w:line="276"/>
      </w:pPr>
      <w:r>
        <w:rPr>
          <w:rFonts w:ascii="Times New Roman" w:cs="Times New Roman" w:eastAsia="Times New Roman" w:hAnsi="Times New Roman"/>
          <w:sz w:val="22"/>
          <w:szCs w:val="22"/>
        </w:rPr>
        <w:t xml:space="preserve">Hide from Report view: every DateKey, SeriesId, CategoryCode, SupplierKey, ItemKey, ReportDate, FirstSeenDateKey, LastSeenDateKey, Quarter, DisplayOrder.</w:t>
      </w:r>
    </w:p>
    <w:p>
      <w:pPr>
        <w:pStyle w:val="ListParagraph"/>
        <w:numPr>
          <w:ilvl w:val="0"/>
          <w:numId w:val="7"/>
        </w:numPr>
        <w:spacing w:after="60" w:line="276"/>
      </w:pPr>
      <w:r>
        <w:rPr>
          <w:rFonts w:ascii="Times New Roman" w:cs="Times New Roman" w:eastAsia="Times New Roman" w:hAnsi="Times New Roman"/>
          <w:sz w:val="22"/>
          <w:szCs w:val="22"/>
        </w:rPr>
        <w:t xml:space="preserve">Set format strings at the model level, not on individual visuals — which is how two visuals end up disagreeing about the same measure. The string for every measure is given with its definition in §8.</w:t>
      </w:r>
    </w:p>
    <w:p>
      <w:pPr>
        <w:pStyle w:val="ListParagraph"/>
        <w:numPr>
          <w:ilvl w:val="0"/>
          <w:numId w:val="7"/>
        </w:numPr>
        <w:spacing w:after="60" w:line="276"/>
      </w:pPr>
      <w:r>
        <w:rPr>
          <w:rFonts w:ascii="Times New Roman" w:cs="Times New Roman" w:eastAsia="Times New Roman" w:hAnsi="Times New Roman"/>
          <w:sz w:val="22"/>
          <w:szCs w:val="22"/>
        </w:rPr>
        <w:t xml:space="preserve">Create the _Measures home table and its ten display folders. §8.1 covers both, along with the other three properties every measure needs; do it there rather than here, so the whole measure build happens in one place.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Set the summarisation on every numeric column to Do Not Summarize.  </w:t>
      </w:r>
      <w:r>
        <w:rPr>
          <w:rFonts w:ascii="Times New Roman" w:cs="Times New Roman" w:eastAsia="Times New Roman" w:hAnsi="Times New Roman"/>
          <w:sz w:val="21"/>
          <w:szCs w:val="21"/>
        </w:rPr>
        <w:t xml:space="preserve">DateKey, CohortYear, MonthsActive and DisplayOrder are integers that Power BI will happily offer to sum. A dragged CohortYear that quietly becomes SUM(CohortYear) is a difficult bug to spot on a finished visual.</w:t>
      </w:r>
    </w:p>
    <w:p>
      <w:pPr>
        <w:spacing w:after="120" w:line="276"/>
      </w:pPr>
      <w:r>
        <w:rPr>
          <w:rFonts w:ascii="Times New Roman" w:cs="Times New Roman" w:eastAsia="Times New Roman" w:hAnsi="Times New Roman"/>
          <w:b/>
          <w:bCs/>
          <w:sz w:val="22"/>
          <w:szCs w:val="22"/>
        </w:rPr>
        <w:t xml:space="preserve">Before section 8: </w:t>
      </w:r>
      <w:r>
        <w:rPr>
          <w:rFonts w:ascii="Times New Roman" w:cs="Times New Roman" w:eastAsia="Times New Roman" w:hAnsi="Times New Roman"/>
          <w:sz w:val="22"/>
          <w:szCs w:val="22"/>
        </w:rPr>
        <w:t xml:space="preserve">the model file is now structurally complete. Everything from here to §9 is still the model file — the three report files are not created until §10 step 8, and they are built in document 15. §1.1 is the map if that has gone hazy.</w:t>
      </w:r>
    </w:p>
    <w:p>
      <w:pPr>
        <w:pStyle w:val="Heading1"/>
        <w:spacing w:after="160" w:before="360"/>
      </w:pPr>
      <w:r>
        <w:rPr>
          <w:rFonts w:ascii="Times New Roman" w:cs="Times New Roman" w:eastAsia="Times New Roman" w:hAnsi="Times New Roman"/>
          <w:b/>
          <w:bCs/>
          <w:color w:val="1F3864"/>
          <w:sz w:val="30"/>
          <w:szCs w:val="30"/>
        </w:rPr>
        <w:t xml:space="preserve">8. Building the Measures</w:t>
      </w:r>
    </w:p>
    <w:p>
      <w:pPr>
        <w:spacing w:after="120" w:line="276"/>
      </w:pPr>
      <w:r>
        <w:rPr>
          <w:rFonts w:ascii="Times New Roman" w:cs="Times New Roman" w:eastAsia="Times New Roman" w:hAnsi="Times New Roman"/>
          <w:sz w:val="22"/>
          <w:szCs w:val="22"/>
        </w:rPr>
        <w:t xml:space="preserve">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This section and document 20 are generated from one list.  </w:t>
      </w:r>
      <w:r>
        <w:rPr>
          <w:rFonts w:ascii="Times New Roman" w:cs="Times New Roman" w:eastAsia="Times New Roman" w:hAnsi="Times New Roman"/>
          <w:sz w:val="21"/>
          <w:szCs w:val="21"/>
        </w:rPr>
        <w:t xml:space="preserve">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pPr>
        <w:pStyle w:val="Heading2"/>
        <w:spacing w:after="120" w:before="280"/>
      </w:pPr>
      <w:r>
        <w:rPr>
          <w:rFonts w:ascii="Times New Roman" w:cs="Times New Roman" w:eastAsia="Times New Roman" w:hAnsi="Times New Roman"/>
          <w:b/>
          <w:bCs/>
          <w:color w:val="2E5496"/>
          <w:sz w:val="25"/>
          <w:szCs w:val="25"/>
        </w:rPr>
        <w:t xml:space="preserve">8.1 Creating a Measure — the Mechanics</w:t>
      </w:r>
    </w:p>
    <w:p>
      <w:pPr>
        <w:spacing w:after="120" w:line="276"/>
      </w:pPr>
      <w:r>
        <w:rPr>
          <w:rFonts w:ascii="Times New Roman" w:cs="Times New Roman" w:eastAsia="Times New Roman" w:hAnsi="Times New Roman"/>
          <w:sz w:val="22"/>
          <w:szCs w:val="22"/>
        </w:rPr>
        <w:t xml:space="preserve">Every measure in this project lives in the semantic model file, on a dedicated table, and nowhere else. Get the location right before writing a single definition, because moving measures afterwards breaks every reference to them.</w:t>
      </w:r>
    </w:p>
    <w:p>
      <w:pPr>
        <w:pStyle w:val="ListParagraph"/>
        <w:numPr>
          <w:ilvl w:val="0"/>
          <w:numId w:val="8"/>
        </w:numPr>
        <w:spacing w:after="60" w:line="276"/>
      </w:pPr>
      <w:r>
        <w:rPr>
          <w:rFonts w:ascii="Times New Roman" w:cs="Times New Roman" w:eastAsia="Times New Roman" w:hAnsi="Times New Roman"/>
          <w:sz w:val="22"/>
          <w:szCs w:val="22"/>
        </w:rPr>
        <w:t xml:space="preserve">Open RetailEconomics_Model.pbip in Power BI Desktop. Not a report file — measures added to a live-connected report exist in that report alone.</w:t>
      </w:r>
    </w:p>
    <w:p>
      <w:pPr>
        <w:pStyle w:val="ListParagraph"/>
        <w:numPr>
          <w:ilvl w:val="0"/>
          <w:numId w:val="8"/>
        </w:numPr>
        <w:spacing w:after="60" w:line="276"/>
      </w:pPr>
      <w:r>
        <w:rPr>
          <w:rFonts w:ascii="Times New Roman" w:cs="Times New Roman" w:eastAsia="Times New Roman" w:hAnsi="Times New Roman"/>
          <w:sz w:val="22"/>
          <w:szCs w:val="22"/>
        </w:rPr>
        <w:t xml:space="preserve">Create the home table once: Home ribbon → Enter data → leave a single blank column → name the table _Measures → Load. It holds no rows; it exists to keep the measure library out of the fact tables.</w:t>
      </w:r>
    </w:p>
    <w:p>
      <w:pPr>
        <w:pStyle w:val="ListParagraph"/>
        <w:numPr>
          <w:ilvl w:val="0"/>
          <w:numId w:val="8"/>
        </w:numPr>
        <w:spacing w:after="60" w:line="276"/>
      </w:pPr>
      <w:r>
        <w:rPr>
          <w:rFonts w:ascii="Times New Roman" w:cs="Times New Roman" w:eastAsia="Times New Roman" w:hAnsi="Times New Roman"/>
          <w:sz w:val="22"/>
          <w:szCs w:val="22"/>
        </w:rPr>
        <w:t xml:space="preserve">In the Data pane, right-click _Measures → New measure. The formula bar opens.</w:t>
      </w:r>
    </w:p>
    <w:p>
      <w:pPr>
        <w:pStyle w:val="ListParagraph"/>
        <w:numPr>
          <w:ilvl w:val="0"/>
          <w:numId w:val="8"/>
        </w:numPr>
        <w:spacing w:after="60" w:line="276"/>
      </w:pPr>
      <w:r>
        <w:rPr>
          <w:rFonts w:ascii="Times New Roman" w:cs="Times New Roman" w:eastAsia="Times New Roman" w:hAnsi="Times New Roman"/>
          <w:sz w:val="22"/>
          <w:szCs w:val="22"/>
        </w:rPr>
        <w:t xml:space="preserve">Type the definition. Press Shift+Enter for a line break inside the formula bar; the DAX below is formatted exactly as it should be entered.</w:t>
      </w:r>
    </w:p>
    <w:p>
      <w:pPr>
        <w:pStyle w:val="ListParagraph"/>
        <w:numPr>
          <w:ilvl w:val="0"/>
          <w:numId w:val="8"/>
        </w:numPr>
        <w:spacing w:after="60" w:line="276"/>
      </w:pPr>
      <w:r>
        <w:rPr>
          <w:rFonts w:ascii="Times New Roman" w:cs="Times New Roman" w:eastAsia="Times New Roman" w:hAnsi="Times New Roman"/>
          <w:sz w:val="22"/>
          <w:szCs w:val="22"/>
        </w:rPr>
        <w:t xml:space="preserve">Commit with Enter, then set the three properties that make it usable: Format string, Display folder, Description. All three are on the Measure tools ribbon, and Description is in the Properties pane on the model view.</w:t>
      </w:r>
    </w:p>
    <w:p>
      <w:pPr>
        <w:pStyle w:val="ListParagraph"/>
        <w:numPr>
          <w:ilvl w:val="0"/>
          <w:numId w:val="8"/>
        </w:numPr>
        <w:spacing w:after="60" w:line="276"/>
      </w:pPr>
      <w:r>
        <w:rPr>
          <w:rFonts w:ascii="Times New Roman" w:cs="Times New Roman" w:eastAsia="Times New Roman" w:hAnsi="Times New Roman"/>
          <w:sz w:val="22"/>
          <w:szCs w:val="22"/>
        </w:rPr>
        <w:t xml:space="preserve">Hide the _Measures blank column: right-click it → Hide in report view. Leave the table itself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808"/>
        <w:gridCol w:w="4306"/>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Property</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 to set it</w:t>
            </w:r>
          </w:p>
        </w:tc>
        <w:tc>
          <w:tcPr>
            <w:tcW w:type="dxa" w:w="430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Why it matters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Format string</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tools → Format</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Set once on the measure and every visual inherits it. The format strings in this section are not suggestions — a percentage measure formatted as a decimal is the most common reason a card reads 0.04 instead of 4.0%</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Display folder</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tools → Properties → Display folder</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Type the folder name exactly as given, including the leading number. The numbering is what keeps the ten folders in build order in the Data pane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Description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view → select the measure → Properties → Description</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Paste the description given with each definition below. It surfaces as a tooltip in the Data pane for anyone building a report, and it is the only documentation a report author will actually see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Home table</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Right-click the measure → Move to table</w:t>
            </w:r>
          </w:p>
        </w:tc>
        <w:tc>
          <w:tcPr>
            <w:tcW w:type="dxa" w:w="430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_Measures, always. A measure sitting on a fact table still works and still looks wrong</w:t>
            </w:r>
          </w:p>
        </w:tc>
      </w:tr>
    </w:tbl>
    <w:p>
      <w:pPr>
        <w:spacing w:after="200" w:before="40"/>
      </w:pPr>
      <w:r>
        <w:rPr>
          <w:rFonts w:ascii="Times New Roman" w:cs="Times New Roman" w:eastAsia="Times New Roman" w:hAnsi="Times New Roman"/>
          <w:i/>
          <w:iCs/>
          <w:color w:val="595959"/>
          <w:sz w:val="19"/>
          <w:szCs w:val="19"/>
        </w:rPr>
        <w:t xml:space="preserve">Table 8.1 — The four properties to set on every measure.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Set the description as you go, not at the end.  </w:t>
      </w:r>
      <w:r>
        <w:rPr>
          <w:rFonts w:ascii="Times New Roman" w:cs="Times New Roman" w:eastAsia="Times New Roman" w:hAnsi="Times New Roman"/>
          <w:sz w:val="21"/>
          <w:szCs w:val="21"/>
        </w:rPr>
        <w:t xml:space="preserve">Seventy-nine descriptions written in one sitting at the end of the build is an hour of joyless work that gets skipped. Written one at a time as each measure is created, it costs nothing and it is the difference between a model someone else can use and one only you can.</w:t>
      </w:r>
    </w:p>
    <w:p>
      <w:pPr>
        <w:pStyle w:val="Heading2"/>
        <w:spacing w:after="120" w:before="280"/>
      </w:pPr>
      <w:r>
        <w:rPr>
          <w:rFonts w:ascii="Times New Roman" w:cs="Times New Roman" w:eastAsia="Times New Roman" w:hAnsi="Times New Roman"/>
          <w:b/>
          <w:bCs/>
          <w:color w:val="2E5496"/>
          <w:sz w:val="25"/>
          <w:szCs w:val="25"/>
        </w:rPr>
        <w:t xml:space="preserve">8.2 Conventions the Whole Library Follows</w:t>
      </w:r>
    </w:p>
    <w:p>
      <w:pPr>
        <w:pStyle w:val="ListParagraph"/>
        <w:numPr>
          <w:ilvl w:val="0"/>
          <w:numId w:val="6"/>
        </w:numPr>
        <w:spacing w:after="60" w:line="276"/>
      </w:pPr>
      <w:r>
        <w:rPr>
          <w:rFonts w:ascii="Times New Roman" w:cs="Times New Roman" w:eastAsia="Times New Roman" w:hAnsi="Times New Roman"/>
          <w:sz w:val="22"/>
          <w:szCs w:val="22"/>
        </w:rPr>
        <w:t xml:space="preserve">DIVIDE, never the slash operator. Every ratio in this project uses DIVIDE ( numerator, denominator ), which returns blank on a zero denominator instead of an error. A single divide-by-zero error blanks an entire visual, not one data point.</w:t>
      </w:r>
    </w:p>
    <w:p>
      <w:pPr>
        <w:pStyle w:val="ListParagraph"/>
        <w:numPr>
          <w:ilvl w:val="0"/>
          <w:numId w:val="6"/>
        </w:numPr>
        <w:spacing w:after="60" w:line="276"/>
      </w:pPr>
      <w:r>
        <w:rPr>
          <w:rFonts w:ascii="Times New Roman" w:cs="Times New Roman" w:eastAsia="Times New Roman" w:hAnsi="Times New Roman"/>
          <w:sz w:val="22"/>
          <w:szCs w:val="22"/>
        </w:rPr>
        <w:t xml:space="preserve">Variables for anything referenced twice. VAR … RETURN is used throughout, not for style but because a repeated CALCULATE is evaluated twice. The year-over-year pattern below is the canonical shape and it recurs roughly twenty times.</w:t>
      </w:r>
    </w:p>
    <w:p>
      <w:pPr>
        <w:pStyle w:val="ListParagraph"/>
        <w:numPr>
          <w:ilvl w:val="0"/>
          <w:numId w:val="6"/>
        </w:numPr>
        <w:spacing w:after="60" w:line="276"/>
      </w:pPr>
      <w:r>
        <w:rPr>
          <w:rFonts w:ascii="Times New Roman" w:cs="Times New Roman" w:eastAsia="Times New Roman" w:hAnsi="Times New Roman"/>
          <w:sz w:val="22"/>
          <w:szCs w:val="22"/>
        </w:rPr>
        <w:t xml:space="preserve">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pPr>
        <w:pStyle w:val="ListParagraph"/>
        <w:numPr>
          <w:ilvl w:val="0"/>
          <w:numId w:val="6"/>
        </w:numPr>
        <w:spacing w:after="60" w:line="276"/>
      </w:pPr>
      <w:r>
        <w:rPr>
          <w:rFonts w:ascii="Times New Roman" w:cs="Times New Roman" w:eastAsia="Times New Roman" w:hAnsi="Times New Roman"/>
          <w:sz w:val="22"/>
          <w:szCs w:val="22"/>
        </w:rPr>
        <w:t xml:space="preserve">No calculated columns in report files, and no measures either. Everything in this section is built once in the model file. If the same measure is being edited in two places, the shared-model architecture has already been broken — document 00 §3.3.</w:t>
      </w:r>
    </w:p>
    <w:p>
      <w:pPr>
        <w:pStyle w:val="ListParagraph"/>
        <w:numPr>
          <w:ilvl w:val="0"/>
          <w:numId w:val="6"/>
        </w:numPr>
        <w:spacing w:after="60" w:line="276"/>
      </w:pPr>
      <w:r>
        <w:rPr>
          <w:rFonts w:ascii="Times New Roman" w:cs="Times New Roman" w:eastAsia="Times New Roman" w:hAnsi="Times New Roman"/>
          <w:sz w:val="22"/>
          <w:szCs w:val="22"/>
        </w:rPr>
        <w:t xml:space="preserve">Filter context is stated, not assumed. Measures that only make sense under a specific filter say so in their description. Macro Value is the clearest case: correct under a single-series filter, meaningless without one.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Year-over-year, the shape used throughout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VAR Curr  = [Base Measure]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VAR Prior = CALCULATE ( [Base Measure], DATEADD ( DimDate[Date], -12, MONTH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RETURN DIVIDE ( Curr - Prior, Prior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Three things are deliberate: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VAR      the base measure is evaluated once per branch, not twice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DATEADD  shifts the filter context; it does not subtract from a value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DIVIDE   returns blank in the first twelve months instead of an error</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spacing w:after="200" w:before="40"/>
      </w:pPr>
      <w:r>
        <w:rPr>
          <w:rFonts w:ascii="Times New Roman" w:cs="Times New Roman" w:eastAsia="Times New Roman" w:hAnsi="Times New Roman"/>
          <w:i/>
          <w:iCs/>
          <w:color w:val="595959"/>
          <w:sz w:val="19"/>
          <w:szCs w:val="19"/>
        </w:rPr>
        <w:t xml:space="preserve">The year-over-year shape used throughout. Read it once here and the twenty variants below need no further explanation.</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regression measures are descriptive, not inferential.  </w:t>
      </w:r>
      <w:r>
        <w:rPr>
          <w:rFonts w:ascii="Times New Roman" w:cs="Times New Roman" w:eastAsia="Times New Roman" w:hAnsi="Times New Roman"/>
          <w:sz w:val="21"/>
          <w:szCs w:val="21"/>
        </w:rPr>
        <w:t xml:space="preserve">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pPr>
        <w:pStyle w:val="Heading2"/>
        <w:spacing w:after="120" w:before="280"/>
      </w:pPr>
      <w:r>
        <w:rPr>
          <w:rFonts w:ascii="Times New Roman" w:cs="Times New Roman" w:eastAsia="Times New Roman" w:hAnsi="Times New Roman"/>
          <w:b/>
          <w:bCs/>
          <w:color w:val="2E5496"/>
          <w:sz w:val="25"/>
          <w:szCs w:val="25"/>
        </w:rPr>
        <w:t xml:space="preserve">8.3 Build Order and Dependencies</w:t>
      </w:r>
    </w:p>
    <w:p>
      <w:pPr>
        <w:spacing w:after="120" w:line="276"/>
      </w:pPr>
      <w:r>
        <w:rPr>
          <w:rFonts w:ascii="Times New Roman" w:cs="Times New Roman" w:eastAsia="Times New Roman" w:hAnsi="Times New Roman"/>
          <w:sz w:val="22"/>
          <w:szCs w:val="22"/>
        </w:rPr>
        <w:t xml:space="preserve">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872"/>
        <w:gridCol w:w="936"/>
        <w:gridCol w:w="2434"/>
        <w:gridCol w:w="3370"/>
      </w:tblGrid>
      <w:tr>
        <w:trPr>
          <w:tblHeader/>
        </w:trPr>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Order</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Folder</w:t>
            </w:r>
          </w:p>
        </w:tc>
        <w:tc>
          <w:tcPr>
            <w:tcW w:type="dxa" w:w="93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Count</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Depends on</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Close the folder when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 Macro</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DimIndicator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CPI Index for a known month matches the FRED series page</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 DimCategory, 01 Macro for the deflator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Sales for code 452 matches FRED MRTSSM452USS within rounding</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 DimItem, DimSupplier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unfiltered reconciles to the fact-table sum in SQL</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04 Cross-Tier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 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National Liquor Stores Real Sales moves with, not against, RRSFS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05 Channel</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 Share 2019 Baseline returns a value under every R1 Page 3 slicer combination</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06 Elasticity</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 Macro, 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Observation Count is non-zero and plausible before trusting any slope</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07 Rotation</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 Sector, 01 Macro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Rate Sensitivity Beta lands negative for 441, 442 and 444</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08 Assortment</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 lifecycle columns</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reaches exactly 100% at the lowest-ranked item</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09 Supplier</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 HHI falls between 0 and 10,000</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 Seasonality</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03 Micro, DimDate[MonthNumber]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twelve Month Seasonal Factor values average to approximately 1.00</w:t>
            </w:r>
          </w:p>
        </w:tc>
      </w:tr>
    </w:tbl>
    <w:p>
      <w:pPr>
        <w:spacing w:after="200" w:before="40"/>
      </w:pPr>
      <w:r>
        <w:rPr>
          <w:rFonts w:ascii="Times New Roman" w:cs="Times New Roman" w:eastAsia="Times New Roman" w:hAnsi="Times New Roman"/>
          <w:i/>
          <w:iCs/>
          <w:color w:val="595959"/>
          <w:sz w:val="19"/>
          <w:szCs w:val="19"/>
        </w:rPr>
        <w:t xml:space="preserve">Table 8.2 — Build order, size and the check that closes each folder. The full validation suite is §9.</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Cases and dollars never meet as levels.  </w:t>
      </w:r>
      <w:r>
        <w:rPr>
          <w:rFonts w:ascii="Times New Roman" w:cs="Times New Roman" w:eastAsia="Times New Roman" w:hAnsi="Times New Roman"/>
          <w:sz w:val="21"/>
          <w:szCs w:val="21"/>
        </w:rPr>
        <w:t xml:space="preserve">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pPr>
        <w:spacing w:after="120" w:line="276"/>
      </w:pPr>
      <w:r>
        <w:rPr>
          <w:rFonts w:ascii="Times New Roman" w:cs="Times New Roman" w:eastAsia="Times New Roman" w:hAnsi="Times New Roman"/>
          <w:sz w:val="22"/>
          <w:szCs w:val="22"/>
        </w:rPr>
        <w:t xml:space="preserve">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Read the Depends on column before building a folder.  </w:t>
      </w:r>
      <w:r>
        <w:rPr>
          <w:rFonts w:ascii="Times New Roman" w:cs="Times New Roman" w:eastAsia="Times New Roman" w:hAnsi="Times New Roman"/>
          <w:sz w:val="21"/>
          <w:szCs w:val="21"/>
        </w:rPr>
        <w:t xml:space="preserve">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pPr>
        <w:sectPr>
          <w:pgSz w:w="12240" w:h="15840" w:orient="portrait"/>
          <w:pgMar w:top="1440" w:right="1440" w:bottom="1440" w:left="1440" w:header="708" w:footer="708" w:gutter="0"/>
          <w:pgNumType/>
          <w:docGrid w:linePitch="360"/>
        </w:sectPr>
      </w:pPr>
    </w:p>
    <w:p>
      <w:pPr>
        <w:pStyle w:val="Heading2"/>
        <w:spacing w:after="120" w:before="280"/>
      </w:pPr>
      <w:r>
        <w:rPr>
          <w:rFonts w:ascii="Times New Roman" w:cs="Times New Roman" w:eastAsia="Times New Roman" w:hAnsi="Times New Roman"/>
          <w:b/>
          <w:bCs/>
          <w:color w:val="2E5496"/>
          <w:sz w:val="25"/>
          <w:szCs w:val="25"/>
        </w:rPr>
        <w:t xml:space="preserve">8.4 01 Macro</w:t>
      </w:r>
    </w:p>
    <w:p>
      <w:pPr>
        <w:spacing w:after="120" w:line="276"/>
      </w:pPr>
      <w:r>
        <w:rPr>
          <w:rFonts w:ascii="Times New Roman" w:cs="Times New Roman" w:eastAsia="Times New Roman" w:hAnsi="Times New Roman"/>
          <w:sz w:val="22"/>
          <w:szCs w:val="22"/>
        </w:rPr>
        <w:t xml:space="preserve">Nine FRED series share one fact table, so every measure here pins a single SeriesId first.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FactMacro</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FactMacro[Value]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Base aggregation.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Meaningful ONLY under a single-series filter — the nine series carry different units and summing across them is nonsense.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 PM</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DATEADD ( DimDate[Date], -1,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month. Feeds the KPI reference labels on R1 Page 1.</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Value PY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DATEADD ( DimDate[Date], -12,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year, same month.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Index</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"CPIAUCSL"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level, index 1982-84 = 100. A LEVEL, not a rate — this is the deflator, not the inflation measure.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CPI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CPI Index</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Curr = [CPI Index]</w:t>
            </w:r>
          </w:p>
          <w:p>
            <w:pPr>
              <w:spacing w:after="0" w:line="230"/>
            </w:pPr>
            <w:r>
              <w:rPr>
                <w:rFonts w:ascii="Consolas" w:cs="Consolas" w:eastAsia="Consolas" w:hAnsi="Consolas"/>
                <w:b w:val="false"/>
                <w:bCs w:val="false"/>
                <w:sz w:val="13"/>
                <w:szCs w:val="13"/>
              </w:rPr>
              <w:t xml:space="preserve">VAR Prior = CALCULATE ( [CPI Index], DATEADD ( DimDate[Date], -12,</w:t>
            </w:r>
          </w:p>
          <w:p>
            <w:pPr>
              <w:spacing w:after="0" w:line="230"/>
            </w:pPr>
            <w:r>
              <w:rPr>
                <w:rFonts w:ascii="Consolas" w:cs="Consolas" w:eastAsia="Consolas" w:hAnsi="Consolas"/>
                <w:b w:val="false"/>
                <w:bCs w:val="false"/>
                <w:sz w:val="13"/>
                <w:szCs w:val="13"/>
              </w:rPr>
              <w:t xml:space="preserve">    MONTH ) )</w:t>
            </w:r>
          </w:p>
          <w:p>
            <w:pPr>
              <w:spacing w:after="0" w:line="230"/>
            </w:pPr>
            <w:r>
              <w:rPr>
                <w:rFonts w:ascii="Consolas" w:cs="Consolas" w:eastAsia="Consolas" w:hAnsi="Consolas"/>
                <w:b w:val="false"/>
                <w:bCs w:val="false"/>
                <w:sz w:val="13"/>
                <w:szCs w:val="13"/>
              </w:rPr>
              <w:t xml:space="preserve">RETURN DIVIDE ( Curr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Inflation rate. Spec 1.1 and the secondary axis of spec 1.6.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Fed Funds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"FEDFUNDS"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Policy rate, already a percentage in the source. X variable of Rate Sensitivity Beta.</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Consumer Sentiment</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"UMCSENT"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University of Michigan index, 1966:Q1 = 100. Enters the stress composite with its sign REVERSED.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Macro Indexed to 100</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BaseDate = CALCULATE ( MIN ( DimDate[Date]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VAR BaseValue = CALCULATE ( [Macro Value],</w:t>
            </w:r>
          </w:p>
          <w:p>
            <w:pPr>
              <w:spacing w:after="0" w:line="230"/>
            </w:pPr>
            <w:r>
              <w:rPr>
                <w:rFonts w:ascii="Consolas" w:cs="Consolas" w:eastAsia="Consolas" w:hAnsi="Consolas"/>
                <w:b w:val="false"/>
                <w:bCs w:val="false"/>
                <w:sz w:val="13"/>
                <w:szCs w:val="13"/>
              </w:rPr>
              <w:t xml:space="preserve">    DimDate[Date] = BaseDate )</w:t>
            </w:r>
          </w:p>
          <w:p>
            <w:pPr>
              <w:spacing w:after="0" w:line="230"/>
            </w:pPr>
            <w:r>
              <w:rPr>
                <w:rFonts w:ascii="Consolas" w:cs="Consolas" w:eastAsia="Consolas" w:hAnsi="Consolas"/>
                <w:b w:val="false"/>
                <w:bCs w:val="false"/>
                <w:sz w:val="13"/>
                <w:szCs w:val="13"/>
              </w:rPr>
              <w:t xml:space="preserve">RETURN DIVIDE ( [Macro Value], BaseValue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Rebases any series to 100 at the first VISIBLE month. This is what lets a percentage, an index and a dollar series share one axis on spec 1.5.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8.3 — 01 Macro. 8 measures. Close the folder when: CPI Index for a known month matches the FRED series page.</w:t>
      </w:r>
    </w:p>
    <w:p>
      <w:pPr>
        <w:pStyle w:val="Heading2"/>
        <w:spacing w:after="120" w:before="280"/>
      </w:pPr>
      <w:r>
        <w:rPr>
          <w:rFonts w:ascii="Times New Roman" w:cs="Times New Roman" w:eastAsia="Times New Roman" w:hAnsi="Times New Roman"/>
          <w:b/>
          <w:bCs/>
          <w:color w:val="2E5496"/>
          <w:sz w:val="25"/>
          <w:szCs w:val="25"/>
        </w:rPr>
        <w:t xml:space="preserve">8.5 02 Sector</w:t>
      </w:r>
    </w:p>
    <w:p>
      <w:pPr>
        <w:spacing w:after="120" w:line="276"/>
      </w:pPr>
      <w:r>
        <w:rPr>
          <w:rFonts w:ascii="Times New Roman" w:cs="Times New Roman" w:eastAsia="Times New Roman" w:hAnsi="Times New Roman"/>
          <w:sz w:val="22"/>
          <w:szCs w:val="22"/>
        </w:rPr>
        <w:t xml:space="preserve">Where nominal dollars become real dollars. The deflation is why 01 Macro has to exist first.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FactSectorSales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FactSectorSales[SalesMillionsUSD]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sales in millions of DOLLARS.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Never place beside a Tier 3 case measure.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PY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DATEADD ( DimDate[Date], -12, MONTH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Prior year, same month.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PY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[Sector Sales] - [Sector Sales PY], [Sector Sales PY]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growth. Contains price AND volume — spec 2.6 separates them.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3M Avg</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AVERAGEX ( DATESINPERIOD ( DimDate[Date], MAX ( DimDate[Date] ),</w:t>
            </w:r>
          </w:p>
          <w:p>
            <w:pPr>
              <w:spacing w:after="0" w:line="230"/>
            </w:pPr>
            <w:r>
              <w:rPr>
                <w:rFonts w:ascii="Consolas" w:cs="Consolas" w:eastAsia="Consolas" w:hAnsi="Consolas"/>
                <w:b w:val="false"/>
                <w:bCs w:val="false"/>
                <w:sz w:val="13"/>
                <w:szCs w:val="13"/>
              </w:rPr>
              <w:t xml:space="preserve">    -3, MONTH ), [Sector 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Short smoothing.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Sector Sales 12M Avg</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AVERAGEX ( DATESINPERIOD ( DimDate[Date], MAX ( DimDate[Date] ),</w:t>
            </w:r>
          </w:p>
          <w:p>
            <w:pPr>
              <w:spacing w:after="0" w:line="230"/>
            </w:pPr>
            <w:r>
              <w:rPr>
                <w:rFonts w:ascii="Consolas" w:cs="Consolas" w:eastAsia="Consolas" w:hAnsi="Consolas"/>
                <w:b w:val="false"/>
                <w:bCs w:val="false"/>
                <w:sz w:val="13"/>
                <w:szCs w:val="13"/>
              </w:rPr>
              <w:t xml:space="preserve">    -12, MONTH ), [Sector 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Trend line for the monthly series.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Retail and Food Services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ALL ( DimCategory ),</w:t>
            </w:r>
          </w:p>
          <w:p>
            <w:pPr>
              <w:spacing w:after="0" w:line="230"/>
            </w:pPr>
            <w:r>
              <w:rPr>
                <w:rFonts w:ascii="Consolas" w:cs="Consolas" w:eastAsia="Consolas" w:hAnsi="Consolas"/>
                <w:b w:val="false"/>
                <w:bCs w:val="false"/>
                <w:sz w:val="13"/>
                <w:szCs w:val="13"/>
              </w:rPr>
              <w:t xml:space="preserve">    DimCategory[CategoryCode] = "44X72"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Headline denominator. ALL(DimCategory) escapes the current category filter so it stays the whole-market total.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Total Retail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IF ( SELECTEDVALUE ( DimCategory[IsAggregate] ) = FALSE (),</w:t>
            </w:r>
          </w:p>
          <w:p>
            <w:pPr>
              <w:spacing w:after="0" w:line="230"/>
            </w:pPr>
            <w:r>
              <w:rPr>
                <w:rFonts w:ascii="Consolas" w:cs="Consolas" w:eastAsia="Consolas" w:hAnsi="Consolas"/>
                <w:b w:val="false"/>
                <w:bCs w:val="false"/>
                <w:sz w:val="13"/>
                <w:szCs w:val="13"/>
              </w:rPr>
              <w:t xml:space="preserve">     DIVIDE ( [Sector Sales], [Total Retail and Food Services]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Blank for aggregates by design — 44X72 as a share of itself is 100% and would corrupt spec 2.3.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Sector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 · Sector Sales</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Cpi = CALCULATE ( [Macro Value], ALL ( DimIndicator ),</w:t>
            </w:r>
          </w:p>
          <w:p>
            <w:pPr>
              <w:spacing w:after="0" w:line="230"/>
            </w:pPr>
            <w:r>
              <w:rPr>
                <w:rFonts w:ascii="Consolas" w:cs="Consolas" w:eastAsia="Consolas" w:hAnsi="Consolas"/>
                <w:b w:val="false"/>
                <w:bCs w:val="false"/>
                <w:sz w:val="13"/>
                <w:szCs w:val="13"/>
              </w:rPr>
              <w:t xml:space="preserve">    DimIndicator[SeriesId] = "CPIAUCSL" )</w:t>
            </w:r>
          </w:p>
          <w:p>
            <w:pPr>
              <w:spacing w:after="0" w:line="230"/>
            </w:pPr>
            <w:r>
              <w:rPr>
                <w:rFonts w:ascii="Consolas" w:cs="Consolas" w:eastAsia="Consolas" w:hAnsi="Consolas"/>
                <w:b w:val="false"/>
                <w:bCs w:val="false"/>
                <w:sz w:val="13"/>
                <w:szCs w:val="13"/>
              </w:rPr>
              <w:t xml:space="preserve">RETURN DIVIDE ( [Sector Sales], Cpi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Deflated to 1982-84 dollars. The volume-comparable series and the only national figure that may meet Tier 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Sector Sales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Sector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Curr = [Real Sector Sales]</w:t>
            </w:r>
          </w:p>
          <w:p>
            <w:pPr>
              <w:spacing w:after="0" w:line="230"/>
            </w:pPr>
            <w:r>
              <w:rPr>
                <w:rFonts w:ascii="Consolas" w:cs="Consolas" w:eastAsia="Consolas" w:hAnsi="Consolas"/>
                <w:b w:val="false"/>
                <w:bCs w:val="false"/>
                <w:sz w:val="13"/>
                <w:szCs w:val="13"/>
              </w:rPr>
              <w:t xml:space="preserve">VAR Prior = CALCULATE ( [Real Sector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Curr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growth with price removed.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Nominal less Real YoY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Sector Sales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[Sector Sales YoY %] - [Real Sector Sales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inflation wedge in percentage points: how much of headline growth was price, not quantity. Spec 2.6.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8.4 — 02 Sector. 10 measures. Close the folder when: Sector Sales for code 452 matches FRED MRTSSM452USS within rounding.</w:t>
      </w:r>
    </w:p>
    <w:p>
      <w:pPr>
        <w:pStyle w:val="Heading2"/>
        <w:spacing w:after="120" w:before="280"/>
      </w:pPr>
      <w:r>
        <w:rPr>
          <w:rFonts w:ascii="Times New Roman" w:cs="Times New Roman" w:eastAsia="Times New Roman" w:hAnsi="Times New Roman"/>
          <w:b/>
          <w:bCs/>
          <w:color w:val="2E5496"/>
          <w:sz w:val="25"/>
          <w:szCs w:val="25"/>
        </w:rPr>
        <w:t xml:space="preserve">8.6 03 Micro</w:t>
      </w:r>
    </w:p>
    <w:p>
      <w:pPr>
        <w:spacing w:after="120" w:line="276"/>
      </w:pPr>
      <w:r>
        <w:rPr>
          <w:rFonts w:ascii="Times New Roman" w:cs="Times New Roman" w:eastAsia="Times New Roman" w:hAnsi="Times New Roman"/>
          <w:sz w:val="22"/>
          <w:szCs w:val="22"/>
        </w:rPr>
        <w:t xml:space="preserve">The only layer denominated in CASES. Nothing here is compared as a level against 01 or 02.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FactItemMovement[RetailSales]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consumers (off-premise). Named in cases deliberately — a measure called 'Retail Sales' beside a Census dollar measure is the most likely source of a false comparison.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Warehouse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FactItemMovement[WarehouseSales]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licensees (on-premise).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Transfer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FactItemMovement[RetailTransfers]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transferred into dispensaries.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SUM ( FactItemMovement[TotalMovement]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 warehouse cases. Mix-weighted across item types — a case of beer is not a case of liquor, so cross-type totals are not physical totals.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Cases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[Retail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DIVIDE ( [Retail Cases]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volume growth.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Cases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[Total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DIVIDE ( [Total Cases]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Total volume growth.</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The ONLY measure permitted to sit against National Liquor Stores Real YoY %.</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Share of Movement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[Retail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share of total movement.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Transfer to Sales Ratio</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 · Transfer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[Transfer Cases], [Retail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Distribution-quality signal: cases moved INTO dispensaries per case sold. A persistently high ratio means product landing where demand is not — a forecasting failure, not a demand signal.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Active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DISTINCTCOUNT ( FactItemMovement[ItemKey]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with movement in the current filter context.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Active Suppliers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DISTINCTCOUNT ( FactItemMovement[SupplierKey]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Suppliers with movement in context.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Top 10 Supplier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Top10 = TOPN ( 10, ALLSELECTED ( DimSupplier ), [Total Cases],</w:t>
            </w:r>
          </w:p>
          <w:p>
            <w:pPr>
              <w:spacing w:after="0" w:line="230"/>
            </w:pPr>
            <w:r>
              <w:rPr>
                <w:rFonts w:ascii="Consolas" w:cs="Consolas" w:eastAsia="Consolas" w:hAnsi="Consolas"/>
                <w:b w:val="false"/>
                <w:bCs w:val="false"/>
                <w:sz w:val="13"/>
                <w:szCs w:val="13"/>
              </w:rPr>
              <w:t xml:space="preserve">    DESC )</w:t>
            </w:r>
          </w:p>
          <w:p>
            <w:pPr>
              <w:spacing w:after="0" w:line="230"/>
            </w:pPr>
            <w:r>
              <w:rPr>
                <w:rFonts w:ascii="Consolas" w:cs="Consolas" w:eastAsia="Consolas" w:hAnsi="Consolas"/>
                <w:b w:val="false"/>
                <w:bCs w:val="false"/>
                <w:sz w:val="13"/>
                <w:szCs w:val="13"/>
              </w:rPr>
              <w:t xml:space="preserve">RETURN DIVIDE ( CALCULATE ( [Total Cases], KEEPFILTERS ( Top10 ) ),</w:t>
            </w:r>
          </w:p>
          <w:p>
            <w:pPr>
              <w:spacing w:after="0" w:line="230"/>
            </w:pPr>
            <w:r>
              <w:rPr>
                <w:rFonts w:ascii="Consolas" w:cs="Consolas" w:eastAsia="Consolas" w:hAnsi="Consolas"/>
                <w:b w:val="false"/>
                <w:bCs w:val="false"/>
                <w:sz w:val="13"/>
                <w:szCs w:val="13"/>
              </w:rPr>
              <w:t xml:space="preserve">                CALCULATE ( [Total Cases],</w:t>
            </w:r>
          </w:p>
          <w:p>
            <w:pPr>
              <w:spacing w:after="0" w:line="230"/>
            </w:pPr>
            <w:r>
              <w:rPr>
                <w:rFonts w:ascii="Consolas" w:cs="Consolas" w:eastAsia="Consolas" w:hAnsi="Consolas"/>
                <w:b w:val="false"/>
                <w:bCs w:val="false"/>
                <w:sz w:val="13"/>
                <w:szCs w:val="13"/>
              </w:rPr>
              <w:t xml:space="preserve">                    ALLSELECTED ( DimSupplier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Concentration measure. Paired with Active Suppliers on spec 9.6 — share rising while count holds is a different story from share rising because suppliers left.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Return Rows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FactItemMovement ),</w:t>
            </w:r>
          </w:p>
          <w:p>
            <w:pPr>
              <w:spacing w:after="0" w:line="230"/>
            </w:pPr>
            <w:r>
              <w:rPr>
                <w:rFonts w:ascii="Consolas" w:cs="Consolas" w:eastAsia="Consolas" w:hAnsi="Consolas"/>
                <w:b w:val="false"/>
                <w:bCs w:val="false"/>
                <w:sz w:val="13"/>
                <w:szCs w:val="13"/>
              </w:rPr>
              <w:t xml:space="preserve">    FactItemMovement[RetailSales] &lt; 0 )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Count of negative retail rows. A data-quality CONTROL, not a filter: returns and transfers are retained and the card carries a tooltip saying so.</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8.5 — 03 Micro. 12 measures. Close the folder when: Total Cases unfiltered reconciles to the fact-table sum in SQL.</w:t>
      </w:r>
    </w:p>
    <w:p>
      <w:pPr>
        <w:pStyle w:val="Heading2"/>
        <w:spacing w:after="120" w:before="280"/>
      </w:pPr>
      <w:r>
        <w:rPr>
          <w:rFonts w:ascii="Times New Roman" w:cs="Times New Roman" w:eastAsia="Times New Roman" w:hAnsi="Times New Roman"/>
          <w:b/>
          <w:bCs/>
          <w:color w:val="2E5496"/>
          <w:sz w:val="25"/>
          <w:szCs w:val="25"/>
        </w:rPr>
        <w:t xml:space="preserve">8.7 04 Cross-Tier</w:t>
      </w:r>
    </w:p>
    <w:p>
      <w:pPr>
        <w:spacing w:after="120" w:line="276"/>
      </w:pPr>
      <w:r>
        <w:rPr>
          <w:rFonts w:ascii="Times New Roman" w:cs="Times New Roman" w:eastAsia="Times New Roman" w:hAnsi="Times New Roman"/>
          <w:sz w:val="22"/>
          <w:szCs w:val="22"/>
        </w:rPr>
        <w:t xml:space="preserve">The bridge between dollars and cases — each measure compares rates of change, never levels.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[Sector Sales], ALL ( DimCategory ),</w:t>
            </w:r>
          </w:p>
          <w:p>
            <w:pPr>
              <w:spacing w:after="0" w:line="230"/>
            </w:pPr>
            <w:r>
              <w:rPr>
                <w:rFonts w:ascii="Consolas" w:cs="Consolas" w:eastAsia="Consolas" w:hAnsi="Consolas"/>
                <w:b w:val="false"/>
                <w:bCs w:val="false"/>
                <w:sz w:val="13"/>
                <w:szCs w:val="13"/>
              </w:rPr>
              <w:t xml:space="preserve">    DimCategory[CategoryCode] = "4453"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Census 4453, nominal dollars. The national comparator BEFORE deflation.</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Real Sales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 · National Liquor Stores Sales</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Cpi = CALCULATE ( [Macro Value], ALL ( DimIndicator ),</w:t>
            </w:r>
          </w:p>
          <w:p>
            <w:pPr>
              <w:spacing w:after="0" w:line="230"/>
            </w:pPr>
            <w:r>
              <w:rPr>
                <w:rFonts w:ascii="Consolas" w:cs="Consolas" w:eastAsia="Consolas" w:hAnsi="Consolas"/>
                <w:b w:val="false"/>
                <w:bCs w:val="false"/>
                <w:sz w:val="13"/>
                <w:szCs w:val="13"/>
              </w:rPr>
              <w:t xml:space="preserve">    DimIndicator[SeriesId] = "CPIAUCSL" )</w:t>
            </w:r>
          </w:p>
          <w:p>
            <w:pPr>
              <w:spacing w:after="0" w:line="230"/>
            </w:pPr>
            <w:r>
              <w:rPr>
                <w:rFonts w:ascii="Consolas" w:cs="Consolas" w:eastAsia="Consolas" w:hAnsi="Consolas"/>
                <w:b w:val="false"/>
                <w:bCs w:val="false"/>
                <w:sz w:val="13"/>
                <w:szCs w:val="13"/>
              </w:rPr>
              <w:t xml:space="preserve">RETURN DIVIDE ( [National Liquor Stores Sales], Cpi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Deflated. This is the volume-comparable counterpart to a case count.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Nominal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[National Liquor Stores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[National Liquor Stores Sales]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Dollar growth. Reported only alongside the real series so the price share is visible.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National Liquor Stores Real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Real Sales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[National Liquor Stores Real Sales],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[National Liquor Stores Real Sales]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growth of the national category. Spec 3.5 pairs this with Total Cases YoY % and nothing else.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Gap vs National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Real YoY % · Total Cases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[Total Cases YoY %] - [National Liquor Stores Real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Local volume growth less national REAL growth. Positive: the local market outgrew the category in real terms. Both sides are volume-comparable; neither carries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Implied Price Contribution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National Liquor Stores Nominal YoY % · National Liquor Stores Real YoY %</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w:t>
            </w:r>
          </w:p>
          <w:p>
            <w:pPr>
              <w:spacing w:after="0" w:line="230"/>
            </w:pPr>
            <w:r>
              <w:rPr>
                <w:rFonts w:ascii="Consolas" w:cs="Consolas" w:eastAsia="Consolas" w:hAnsi="Consolas"/>
                <w:b w:val="false"/>
                <w:bCs w:val="false"/>
                <w:sz w:val="13"/>
                <w:szCs w:val="13"/>
              </w:rPr>
              <w:t xml:space="preserve">    [National Liquor Stores Nominal YoY %] - [National Liquor Stores Real YoY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nominal-minus-real wedge, reported beside the volume gap so a reader can see how much of the dollar headline was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8.6 — 04 Cross-Tier. 6 measures. Close the folder when: National Liquor Stores Real Sales moves with, not against, RRSFS.</w:t>
      </w:r>
    </w:p>
    <w:p>
      <w:pPr>
        <w:pStyle w:val="Heading2"/>
        <w:spacing w:after="120" w:before="280"/>
      </w:pPr>
      <w:r>
        <w:rPr>
          <w:rFonts w:ascii="Times New Roman" w:cs="Times New Roman" w:eastAsia="Times New Roman" w:hAnsi="Times New Roman"/>
          <w:b/>
          <w:bCs/>
          <w:color w:val="2E5496"/>
          <w:sz w:val="25"/>
          <w:szCs w:val="25"/>
        </w:rPr>
        <w:t xml:space="preserve">8.8 05 Channel</w:t>
      </w:r>
    </w:p>
    <w:p>
      <w:pPr>
        <w:spacing w:after="120" w:line="276"/>
      </w:pPr>
      <w:r>
        <w:rPr>
          <w:rFonts w:ascii="Times New Roman" w:cs="Times New Roman" w:eastAsia="Times New Roman" w:hAnsi="Times New Roman"/>
          <w:sz w:val="22"/>
          <w:szCs w:val="22"/>
        </w:rPr>
        <w:t xml:space="preserve">Retail versus warehouse movement as the off-premise and on-premise proxy, against a 2019 baseline.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Retail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[Retail Cases]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Alias with channel semantics. Exists so the channel panel reads in channel language rather than source-column language.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Warehouse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[Warehouse Cases]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Cases to licensees — bars and restaurants.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[On-Premise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movement going to on-premise accounts.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[Total Cases], DimItem[ItemType] = "Kegs"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Kegs are almost never sold for home consumption, so this is close to an uncontaminated on-premise indicator.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Keg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Keg Cases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[Keg Cases], [Total Cases]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Spec 3.11. Moves earlier and harder than the blended channel series.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2019 Baseline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 · 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DIVIDE ( [On-Premise Cases], [Total Cases] ),</w:t>
            </w:r>
          </w:p>
          <w:p>
            <w:pPr>
              <w:spacing w:after="0" w:line="230"/>
            </w:pPr>
            <w:r>
              <w:rPr>
                <w:rFonts w:ascii="Consolas" w:cs="Consolas" w:eastAsia="Consolas" w:hAnsi="Consolas"/>
                <w:b w:val="false"/>
                <w:bCs w:val="false"/>
                <w:sz w:val="13"/>
                <w:szCs w:val="13"/>
              </w:rPr>
              <w:t xml:space="preserve">            ALL ( DimDate ), DimDate[Year] = 2019 )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last complete pre-disruption year. Must return a value under every slicer combination used on R1 Page 3 — a blank baseline silently blanks every vs-2019 measure downstream.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Share vs 2019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Share % · On-Premise Share 2019 Baseline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[On-Premise Share %] - [On-Premise Share 2019 Baseline]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Negative and persistent: consumption relocated to the home and stayed. Returning toward zero: the shift was transitory. Spec 3.10.</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On-Premise Cases vs 2019 Same Month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On-Premise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Base = CALCULATE ( [On-Premise Cases], ALL ( DimDate ),</w:t>
            </w:r>
          </w:p>
          <w:p>
            <w:pPr>
              <w:spacing w:after="0" w:line="230"/>
            </w:pPr>
            <w:r>
              <w:rPr>
                <w:rFonts w:ascii="Consolas" w:cs="Consolas" w:eastAsia="Consolas" w:hAnsi="Consolas"/>
                <w:b w:val="false"/>
                <w:bCs w:val="false"/>
                <w:sz w:val="13"/>
                <w:szCs w:val="13"/>
              </w:rPr>
              <w:t xml:space="preserve">                       VALUES ( DimDate[MonthNumber] ),</w:t>
            </w:r>
          </w:p>
          <w:p>
            <w:pPr>
              <w:spacing w:after="0" w:line="230"/>
            </w:pPr>
            <w:r>
              <w:rPr>
                <w:rFonts w:ascii="Consolas" w:cs="Consolas" w:eastAsia="Consolas" w:hAnsi="Consolas"/>
                <w:b w:val="false"/>
                <w:bCs w:val="false"/>
                <w:sz w:val="13"/>
                <w:szCs w:val="13"/>
              </w:rPr>
              <w:t xml:space="preserve">                           DimDate[Year] = 2019 )</w:t>
            </w:r>
          </w:p>
          <w:p>
            <w:pPr>
              <w:spacing w:after="0" w:line="230"/>
            </w:pPr>
            <w:r>
              <w:rPr>
                <w:rFonts w:ascii="Consolas" w:cs="Consolas" w:eastAsia="Consolas" w:hAnsi="Consolas"/>
                <w:b w:val="false"/>
                <w:bCs w:val="false"/>
                <w:sz w:val="13"/>
                <w:szCs w:val="13"/>
              </w:rPr>
              <w:t xml:space="preserve">RETURN DIVIDE ( [On-Premise Cases] - Base, Base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Level recovery against the pre-disruption comparable month, which controls for seasonality without modelling it.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Channel Divergence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Off-Premise Cases · On-Premise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OffPy = CALCULATE ( [Off-Premise Cases],</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VAR OnPy = CALCULATE ( [On-Premise Cases], DATEADD ( DimDate[Date],</w:t>
            </w:r>
          </w:p>
          <w:p>
            <w:pPr>
              <w:spacing w:after="0" w:line="230"/>
            </w:pPr>
            <w:r>
              <w:rPr>
                <w:rFonts w:ascii="Consolas" w:cs="Consolas" w:eastAsia="Consolas" w:hAnsi="Consolas"/>
                <w:b w:val="false"/>
                <w:bCs w:val="false"/>
                <w:sz w:val="13"/>
                <w:szCs w:val="13"/>
              </w:rPr>
              <w:t xml:space="preserve">    -12, MONTH ) )</w:t>
            </w:r>
          </w:p>
          <w:p>
            <w:pPr>
              <w:spacing w:after="0" w:line="230"/>
            </w:pPr>
            <w:r>
              <w:rPr>
                <w:rFonts w:ascii="Consolas" w:cs="Consolas" w:eastAsia="Consolas" w:hAnsi="Consolas"/>
                <w:b w:val="false"/>
                <w:bCs w:val="false"/>
                <w:sz w:val="13"/>
                <w:szCs w:val="13"/>
              </w:rPr>
              <w:t xml:space="preserve">RETURN ( DIVIDE ( [Off-Premise Cases] - OffPy, OffPy )</w:t>
            </w:r>
          </w:p>
          <w:p>
            <w:pPr>
              <w:spacing w:after="0" w:line="230"/>
            </w:pPr>
            <w:r>
              <w:rPr>
                <w:rFonts w:ascii="Consolas" w:cs="Consolas" w:eastAsia="Consolas" w:hAnsi="Consolas"/>
                <w:b w:val="false"/>
                <w:bCs w:val="false"/>
                <w:sz w:val="13"/>
                <w:szCs w:val="13"/>
              </w:rPr>
              <w:t xml:space="preserve">       - DIVIDE ( [On-Premise Cases] - OnPy, OnPy )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Off-premise growth less on-premise growth. The 2020 spike states the substitution effect as a single number.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8.7 — 05 Channel. 9 measures. Close the folder when: On-Premise Share 2019 Baseline returns a value under every R1 Page 3 slicer combination.</w:t>
      </w:r>
    </w:p>
    <w:p>
      <w:pPr>
        <w:pStyle w:val="Heading2"/>
        <w:spacing w:after="120" w:before="280"/>
      </w:pPr>
      <w:r>
        <w:rPr>
          <w:rFonts w:ascii="Times New Roman" w:cs="Times New Roman" w:eastAsia="Times New Roman" w:hAnsi="Times New Roman"/>
          <w:b/>
          <w:bCs/>
          <w:color w:val="2E5496"/>
          <w:sz w:val="25"/>
          <w:szCs w:val="25"/>
        </w:rPr>
        <w:t xml:space="preserve">8.9 06 Elasticity</w:t>
      </w:r>
    </w:p>
    <w:p>
      <w:pPr>
        <w:spacing w:after="120" w:line="276"/>
      </w:pPr>
      <w:r>
        <w:rPr>
          <w:rFonts w:ascii="Times New Roman" w:cs="Times New Roman" w:eastAsia="Times New Roman" w:hAnsi="Times New Roman"/>
          <w:sz w:val="22"/>
          <w:szCs w:val="22"/>
        </w:rPr>
        <w:t xml:space="preserve">Ordinary least squares in DAX over the visible filter context. Descriptive, not inferential.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Unemployment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"UNRATE"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Labour slack. Enters the stress composite positively.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Personal Saving Rate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"PSAVERT"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Precautionary saving. Enters the stress composite positively.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Disposable Income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Macro Value</w:t>
            </w:r>
          </w:p>
          <w:p>
            <w:pPr>
              <w:spacing w:after="0" w:line="230"/>
            </w:pPr>
            <w:r>
              <w:rPr>
                <w:rFonts w:ascii="Times New Roman" w:cs="Times New Roman" w:eastAsia="Times New Roman" w:hAnsi="Times New Roman"/>
                <w:b w:val="false"/>
                <w:bCs w:val="false"/>
                <w:sz w:val="15"/>
                <w:szCs w:val="15"/>
              </w:rPr>
              <w:t xml:space="preserve">DimIndicator</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[Macro Value], DimIndicator[SeriesId] = "DSPIC96"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Purchasing power, billions of chained dollars.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Real Disposable Income YoY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Real Disposable Income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Prior = CALCULATE ( [Real Disposable Income],</w:t>
            </w:r>
          </w:p>
          <w:p>
            <w:pPr>
              <w:spacing w:after="0" w:line="230"/>
            </w:pPr>
            <w:r>
              <w:rPr>
                <w:rFonts w:ascii="Consolas" w:cs="Consolas" w:eastAsia="Consolas" w:hAnsi="Consolas"/>
                <w:b w:val="false"/>
                <w:bCs w:val="false"/>
                <w:sz w:val="13"/>
                <w:szCs w:val="13"/>
              </w:rPr>
              <w:t xml:space="preserve">    DATEADD ( DimDate[Date], -12, MONTH ) )</w:t>
            </w:r>
          </w:p>
          <w:p>
            <w:pPr>
              <w:spacing w:after="0" w:line="230"/>
            </w:pPr>
            <w:r>
              <w:rPr>
                <w:rFonts w:ascii="Consolas" w:cs="Consolas" w:eastAsia="Consolas" w:hAnsi="Consolas"/>
                <w:b w:val="false"/>
                <w:bCs w:val="false"/>
                <w:sz w:val="13"/>
                <w:szCs w:val="13"/>
              </w:rPr>
              <w:t xml:space="preserve">RETURN DIVIDE ( [Real Disposable Income] - Prior, Prior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Tests the income channel separately from the sentiment channel (spec 4.7).</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Consumer Stress Index</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Consumer Sentiment · Personal Saving Rate · Unemployment Rate</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AllDates = CALCULATETABLE ( VALUES ( DimDate[DateKey] ),</w:t>
            </w:r>
          </w:p>
          <w:p>
            <w:pPr>
              <w:spacing w:after="0" w:line="230"/>
            </w:pPr>
            <w:r>
              <w:rPr>
                <w:rFonts w:ascii="Consolas" w:cs="Consolas" w:eastAsia="Consolas" w:hAnsi="Consolas"/>
                <w:b w:val="false"/>
                <w:bCs w:val="false"/>
                <w:sz w:val="13"/>
                <w:szCs w:val="13"/>
              </w:rPr>
              <w:t xml:space="preserve">    ALL ( DimDate ) )</w:t>
            </w:r>
          </w:p>
          <w:p>
            <w:pPr>
              <w:spacing w:after="0" w:line="230"/>
            </w:pPr>
            <w:r>
              <w:rPr>
                <w:rFonts w:ascii="Consolas" w:cs="Consolas" w:eastAsia="Consolas" w:hAnsi="Consolas"/>
                <w:b w:val="false"/>
                <w:bCs w:val="false"/>
                <w:sz w:val="13"/>
                <w:szCs w:val="13"/>
              </w:rPr>
              <w:t xml:space="preserve">VAR UnZ = DIVIDE ( [Unemployment Rate] - AVERAGEX ( AllDates,</w:t>
            </w:r>
          </w:p>
          <w:p>
            <w:pPr>
              <w:spacing w:after="0" w:line="230"/>
            </w:pPr>
            <w:r>
              <w:rPr>
                <w:rFonts w:ascii="Consolas" w:cs="Consolas" w:eastAsia="Consolas" w:hAnsi="Consolas"/>
                <w:b w:val="false"/>
                <w:bCs w:val="false"/>
                <w:sz w:val="13"/>
                <w:szCs w:val="13"/>
              </w:rPr>
              <w:t xml:space="preserve">    CALCULATE ( [Unemployment Rate] ) ), STDEVX.P ( AllDates,</w:t>
            </w:r>
          </w:p>
          <w:p>
            <w:pPr>
              <w:spacing w:after="0" w:line="230"/>
            </w:pPr>
            <w:r>
              <w:rPr>
                <w:rFonts w:ascii="Consolas" w:cs="Consolas" w:eastAsia="Consolas" w:hAnsi="Consolas"/>
                <w:b w:val="false"/>
                <w:bCs w:val="false"/>
                <w:sz w:val="13"/>
                <w:szCs w:val="13"/>
              </w:rPr>
              <w:t xml:space="preserve">    CALCULATE ( [Unemployment Rate] ) ) )</w:t>
            </w:r>
          </w:p>
          <w:p>
            <w:pPr>
              <w:spacing w:after="0" w:line="230"/>
            </w:pPr>
            <w:r>
              <w:rPr>
                <w:rFonts w:ascii="Consolas" w:cs="Consolas" w:eastAsia="Consolas" w:hAnsi="Consolas"/>
                <w:b w:val="false"/>
                <w:bCs w:val="false"/>
                <w:sz w:val="13"/>
                <w:szCs w:val="13"/>
              </w:rPr>
              <w:t xml:space="preserve">VAR SenZ = DIVIDE ( [Consumer Sentiment] - AVERAGEX ( AllDates,</w:t>
            </w:r>
          </w:p>
          <w:p>
            <w:pPr>
              <w:spacing w:after="0" w:line="230"/>
            </w:pPr>
            <w:r>
              <w:rPr>
                <w:rFonts w:ascii="Consolas" w:cs="Consolas" w:eastAsia="Consolas" w:hAnsi="Consolas"/>
                <w:b w:val="false"/>
                <w:bCs w:val="false"/>
                <w:sz w:val="13"/>
                <w:szCs w:val="13"/>
              </w:rPr>
              <w:t xml:space="preserve">    CALCULATE ( [Consumer Sentiment] ) ), STDEVX.P ( AllDates,</w:t>
            </w:r>
          </w:p>
          <w:p>
            <w:pPr>
              <w:spacing w:after="0" w:line="230"/>
            </w:pPr>
            <w:r>
              <w:rPr>
                <w:rFonts w:ascii="Consolas" w:cs="Consolas" w:eastAsia="Consolas" w:hAnsi="Consolas"/>
                <w:b w:val="false"/>
                <w:bCs w:val="false"/>
                <w:sz w:val="13"/>
                <w:szCs w:val="13"/>
              </w:rPr>
              <w:t xml:space="preserve">    CALCULATE ( [Consumer Sentiment] ) ) )</w:t>
            </w:r>
          </w:p>
          <w:p>
            <w:pPr>
              <w:spacing w:after="0" w:line="230"/>
            </w:pPr>
            <w:r>
              <w:rPr>
                <w:rFonts w:ascii="Consolas" w:cs="Consolas" w:eastAsia="Consolas" w:hAnsi="Consolas"/>
                <w:b w:val="false"/>
                <w:bCs w:val="false"/>
                <w:sz w:val="13"/>
                <w:szCs w:val="13"/>
              </w:rPr>
              <w:t xml:space="preserve">VAR SavZ = DIVIDE ( [Personal Saving Rate] - AVERAGEX ( AllDates,</w:t>
            </w:r>
          </w:p>
          <w:p>
            <w:pPr>
              <w:spacing w:after="0" w:line="230"/>
            </w:pPr>
            <w:r>
              <w:rPr>
                <w:rFonts w:ascii="Consolas" w:cs="Consolas" w:eastAsia="Consolas" w:hAnsi="Consolas"/>
                <w:b w:val="false"/>
                <w:bCs w:val="false"/>
                <w:sz w:val="13"/>
                <w:szCs w:val="13"/>
              </w:rPr>
              <w:t xml:space="preserve">    CALCULATE ( [Personal Saving Rate] ) ), STDEVX.P ( AllDates,</w:t>
            </w:r>
          </w:p>
          <w:p>
            <w:pPr>
              <w:spacing w:after="0" w:line="230"/>
            </w:pPr>
            <w:r>
              <w:rPr>
                <w:rFonts w:ascii="Consolas" w:cs="Consolas" w:eastAsia="Consolas" w:hAnsi="Consolas"/>
                <w:b w:val="false"/>
                <w:bCs w:val="false"/>
                <w:sz w:val="13"/>
                <w:szCs w:val="13"/>
              </w:rPr>
              <w:t xml:space="preserve">    CALCULATE ( [Personal Saving Rate] ) ) )</w:t>
            </w:r>
          </w:p>
          <w:p>
            <w:pPr>
              <w:spacing w:after="0" w:line="230"/>
            </w:pPr>
            <w:r>
              <w:rPr>
                <w:rFonts w:ascii="Consolas" w:cs="Consolas" w:eastAsia="Consolas" w:hAnsi="Consolas"/>
                <w:b w:val="false"/>
                <w:bCs w:val="false"/>
                <w:sz w:val="13"/>
                <w:szCs w:val="13"/>
              </w:rPr>
              <w:t xml:space="preserve">RETURN DIVIDE ( UnZ - SenZ + SavZ, 3 )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Equal-weighted composite of three standardised series. Standardised over ALL dates so the scale does not move when a slicer changes. Sentiment enters NEGATIVE — falling sentiment is rising stress.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Stress Sensitivity</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Consumer Stress Index · Total Cases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Points = ADDCOLUMNS ( CALCULATETABLE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"@x", [Consumer Stress Index], "@y", [Total Cases YoY %] )</w:t>
            </w:r>
          </w:p>
          <w:p>
            <w:pPr>
              <w:spacing w:after="0" w:line="230"/>
            </w:pPr>
            <w:r>
              <w:rPr>
                <w:rFonts w:ascii="Consolas" w:cs="Consolas" w:eastAsia="Consolas" w:hAnsi="Consolas"/>
                <w:b w:val="false"/>
                <w:bCs w:val="false"/>
                <w:sz w:val="13"/>
                <w:szCs w:val="13"/>
              </w:rPr>
              <w:t xml:space="preserve">VAR Known = FILTER ( Points,</w:t>
            </w:r>
          </w:p>
          <w:p>
            <w:pPr>
              <w:spacing w:after="0" w:line="230"/>
            </w:pPr>
            <w:r>
              <w:rPr>
                <w:rFonts w:ascii="Consolas" w:cs="Consolas" w:eastAsia="Consolas" w:hAnsi="Consolas"/>
                <w:b w:val="false"/>
                <w:bCs w:val="false"/>
                <w:sz w:val="13"/>
                <w:szCs w:val="13"/>
              </w:rPr>
              <w:t xml:space="preserve">    NOT ISBLANK ( [@x] ) &amp;&amp; NOT ISBLANK ( [@y] ) )</w:t>
            </w:r>
          </w:p>
          <w:p>
            <w:pPr>
              <w:spacing w:after="0" w:line="230"/>
            </w:pPr>
            <w:r>
              <w:rPr>
                <w:rFonts w:ascii="Consolas" w:cs="Consolas" w:eastAsia="Consolas" w:hAnsi="Consolas"/>
                <w:b w:val="false"/>
                <w:bCs w:val="false"/>
                <w:sz w:val="13"/>
                <w:szCs w:val="13"/>
              </w:rPr>
              <w:t xml:space="preserve">VAR MeanX = AVERAGEX ( Known, [@x] )</w:t>
            </w:r>
          </w:p>
          <w:p>
            <w:pPr>
              <w:spacing w:after="0" w:line="230"/>
            </w:pPr>
            <w:r>
              <w:rPr>
                <w:rFonts w:ascii="Consolas" w:cs="Consolas" w:eastAsia="Consolas" w:hAnsi="Consolas"/>
                <w:b w:val="false"/>
                <w:bCs w:val="false"/>
                <w:sz w:val="13"/>
                <w:szCs w:val="13"/>
              </w:rPr>
              <w:t xml:space="preserve">VAR MeanY = AVERAGEX ( Known, [@y] )</w:t>
            </w:r>
          </w:p>
          <w:p>
            <w:pPr>
              <w:spacing w:after="0" w:line="230"/>
            </w:pPr>
            <w:r>
              <w:rPr>
                <w:rFonts w:ascii="Consolas" w:cs="Consolas" w:eastAsia="Consolas" w:hAnsi="Consolas"/>
                <w:b w:val="false"/>
                <w:bCs w:val="false"/>
                <w:sz w:val="13"/>
                <w:szCs w:val="13"/>
              </w:rPr>
              <w:t xml:space="preserve">RETURN DIVIDE ( SUMX ( Known, ( [@x] - MeanX ) * ( [@y] - MeanY ) ),</w:t>
            </w:r>
          </w:p>
          <w:p>
            <w:pPr>
              <w:spacing w:after="0" w:line="230"/>
            </w:pPr>
            <w:r>
              <w:rPr>
                <w:rFonts w:ascii="Consolas" w:cs="Consolas" w:eastAsia="Consolas" w:hAnsi="Consolas"/>
                <w:b w:val="false"/>
                <w:bCs w:val="false"/>
                <w:sz w:val="13"/>
                <w:szCs w:val="13"/>
              </w:rPr>
              <w:t xml:space="preserve">                SUMX ( Known, ( [@x] - MeanX ) ^ 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OLS slope of volume growth on the stress composite. Negative: volume falls as stress rises. Near zero supports the inelastic-demand claim.</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DESCRIPTIVE ONLY — no standard errors, no lags, no controls.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Volume Stress Correlation</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Consumer Stress Index · Total Cases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Points = ADDCOLUMNS ( CALCULATETABLE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"@x", [Consumer Stress Index], "@y", [Total Cases YoY %] )</w:t>
            </w:r>
          </w:p>
          <w:p>
            <w:pPr>
              <w:spacing w:after="0" w:line="230"/>
            </w:pPr>
            <w:r>
              <w:rPr>
                <w:rFonts w:ascii="Consolas" w:cs="Consolas" w:eastAsia="Consolas" w:hAnsi="Consolas"/>
                <w:b w:val="false"/>
                <w:bCs w:val="false"/>
                <w:sz w:val="13"/>
                <w:szCs w:val="13"/>
              </w:rPr>
              <w:t xml:space="preserve">VAR Known = FILTER ( Points,</w:t>
            </w:r>
          </w:p>
          <w:p>
            <w:pPr>
              <w:spacing w:after="0" w:line="230"/>
            </w:pPr>
            <w:r>
              <w:rPr>
                <w:rFonts w:ascii="Consolas" w:cs="Consolas" w:eastAsia="Consolas" w:hAnsi="Consolas"/>
                <w:b w:val="false"/>
                <w:bCs w:val="false"/>
                <w:sz w:val="13"/>
                <w:szCs w:val="13"/>
              </w:rPr>
              <w:t xml:space="preserve">    NOT ISBLANK ( [@x] ) &amp;&amp; NOT ISBLANK ( [@y] ) )</w:t>
            </w:r>
          </w:p>
          <w:p>
            <w:pPr>
              <w:spacing w:after="0" w:line="230"/>
            </w:pPr>
            <w:r>
              <w:rPr>
                <w:rFonts w:ascii="Consolas" w:cs="Consolas" w:eastAsia="Consolas" w:hAnsi="Consolas"/>
                <w:b w:val="false"/>
                <w:bCs w:val="false"/>
                <w:sz w:val="13"/>
                <w:szCs w:val="13"/>
              </w:rPr>
              <w:t xml:space="preserve">VAR MeanX = AVERAGEX ( Known, [@x] )</w:t>
            </w:r>
          </w:p>
          <w:p>
            <w:pPr>
              <w:spacing w:after="0" w:line="230"/>
            </w:pPr>
            <w:r>
              <w:rPr>
                <w:rFonts w:ascii="Consolas" w:cs="Consolas" w:eastAsia="Consolas" w:hAnsi="Consolas"/>
                <w:b w:val="false"/>
                <w:bCs w:val="false"/>
                <w:sz w:val="13"/>
                <w:szCs w:val="13"/>
              </w:rPr>
              <w:t xml:space="preserve">VAR MeanY = AVERAGEX ( Known, [@y] )</w:t>
            </w:r>
          </w:p>
          <w:p>
            <w:pPr>
              <w:spacing w:after="0" w:line="230"/>
            </w:pPr>
            <w:r>
              <w:rPr>
                <w:rFonts w:ascii="Consolas" w:cs="Consolas" w:eastAsia="Consolas" w:hAnsi="Consolas"/>
                <w:b w:val="false"/>
                <w:bCs w:val="false"/>
                <w:sz w:val="13"/>
                <w:szCs w:val="13"/>
              </w:rPr>
              <w:t xml:space="preserve">VAR Cov = SUMX ( Known, ( [@x] - MeanX ) * ( [@y] - MeanY ) )</w:t>
            </w:r>
          </w:p>
          <w:p>
            <w:pPr>
              <w:spacing w:after="0" w:line="230"/>
            </w:pPr>
            <w:r>
              <w:rPr>
                <w:rFonts w:ascii="Consolas" w:cs="Consolas" w:eastAsia="Consolas" w:hAnsi="Consolas"/>
                <w:b w:val="false"/>
                <w:bCs w:val="false"/>
                <w:sz w:val="13"/>
                <w:szCs w:val="13"/>
              </w:rPr>
              <w:t xml:space="preserve">RETURN DIVIDE ( Cov, SQRT ( SUMX ( Known, ( [@x] - MeanX ) ^ 2 ) )</w:t>
            </w:r>
          </w:p>
          <w:p>
            <w:pPr>
              <w:spacing w:after="0" w:line="230"/>
            </w:pPr>
            <w:r>
              <w:rPr>
                <w:rFonts w:ascii="Consolas" w:cs="Consolas" w:eastAsia="Consolas" w:hAnsi="Consolas"/>
                <w:b w:val="false"/>
                <w:bCs w:val="false"/>
                <w:sz w:val="13"/>
                <w:szCs w:val="13"/>
              </w:rPr>
              <w:t xml:space="preserve">              * SQRT ( SUMX ( Known, ( [@y] - MeanY ) ^ 2 )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Pearson r on the same points as Volume Stress Sensitivity. Reported beside the slope so a reader can see how much of the relationship the slope explains. Written out in full rather than as a note, because a measure cannot inherit another measure's variables.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Observation Count</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COUNTROWS ( FILTER ( CALCULATETABLE ( VALUES (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NOT ISBLANK ( [Total Cases YoY %]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REQUIRED on every visual displaying a slope or a correlation. A coefficient computed on a handful of months is not a finding, and validation check 15 enforces this.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[Total Cases], CALCULATE ( [Total Cases],</w:t>
            </w:r>
          </w:p>
          <w:p>
            <w:pPr>
              <w:spacing w:after="0" w:line="230"/>
            </w:pPr>
            <w:r>
              <w:rPr>
                <w:rFonts w:ascii="Consolas" w:cs="Consolas" w:eastAsia="Consolas" w:hAnsi="Consolas"/>
                <w:b w:val="false"/>
                <w:bCs w:val="false"/>
                <w:sz w:val="13"/>
                <w:szCs w:val="13"/>
              </w:rPr>
              <w:t xml:space="preserve">    ALL ( DimItem[ItemType]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Mix composition. Spec 5.5.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2019 Baseline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DIVIDE ( [Total Cases], CALCULATE ( [Total Cases],</w:t>
            </w:r>
          </w:p>
          <w:p>
            <w:pPr>
              <w:spacing w:after="0" w:line="230"/>
            </w:pPr>
            <w:r>
              <w:rPr>
                <w:rFonts w:ascii="Consolas" w:cs="Consolas" w:eastAsia="Consolas" w:hAnsi="Consolas"/>
                <w:b w:val="false"/>
                <w:bCs w:val="false"/>
                <w:sz w:val="13"/>
                <w:szCs w:val="13"/>
              </w:rPr>
              <w:t xml:space="preserve">    ALL ( DimItem[ItemType] ) ) ),</w:t>
            </w:r>
          </w:p>
          <w:p>
            <w:pPr>
              <w:spacing w:after="0" w:line="230"/>
            </w:pPr>
            <w:r>
              <w:rPr>
                <w:rFonts w:ascii="Consolas" w:cs="Consolas" w:eastAsia="Consolas" w:hAnsi="Consolas"/>
                <w:b w:val="false"/>
                <w:bCs w:val="false"/>
                <w:sz w:val="13"/>
                <w:szCs w:val="13"/>
              </w:rPr>
              <w:t xml:space="preserve">            ALL ( DimDate ), DimDate[Year] = 2019 )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Pre-disruption mix.</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Type Share vs 2019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Type Share % · Item Type Share 2019 Baseline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 [Item Type Share %] - [Item Type Share 2019 Baseline] ) * 100</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Separates genuine mix movement from level movement. Spec 5.6.</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Mix Shift Magnitude (pp)</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Type Share vs 2019 (pp)</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Shifts =</w:t>
            </w:r>
          </w:p>
          <w:p>
            <w:pPr>
              <w:spacing w:after="0" w:line="230"/>
            </w:pPr>
            <w:r>
              <w:rPr>
                <w:rFonts w:ascii="Consolas" w:cs="Consolas" w:eastAsia="Consolas" w:hAnsi="Consolas"/>
                <w:b w:val="false"/>
                <w:bCs w:val="false"/>
                <w:sz w:val="13"/>
                <w:szCs w:val="13"/>
              </w:rPr>
              <w:t xml:space="preserve">    ADDCOLUMNS ( VALUES ( DimItem[ItemType] ), "@d",</w:t>
            </w:r>
          </w:p>
          <w:p>
            <w:pPr>
              <w:spacing w:after="0" w:line="230"/>
            </w:pPr>
            <w:r>
              <w:rPr>
                <w:rFonts w:ascii="Consolas" w:cs="Consolas" w:eastAsia="Consolas" w:hAnsi="Consolas"/>
                <w:b w:val="false"/>
                <w:bCs w:val="false"/>
                <w:sz w:val="13"/>
                <w:szCs w:val="13"/>
              </w:rPr>
              <w:t xml:space="preserve">        [Item Type Share vs 2019 (pp)] )</w:t>
            </w:r>
          </w:p>
          <w:p>
            <w:pPr>
              <w:spacing w:after="0" w:line="230"/>
            </w:pPr>
            <w:r>
              <w:rPr>
                <w:rFonts w:ascii="Consolas" w:cs="Consolas" w:eastAsia="Consolas" w:hAnsi="Consolas"/>
                <w:b w:val="false"/>
                <w:bCs w:val="false"/>
                <w:sz w:val="13"/>
                <w:szCs w:val="13"/>
              </w:rPr>
              <w:t xml:space="preserve">RETURN</w:t>
            </w:r>
          </w:p>
          <w:p>
            <w:pPr>
              <w:spacing w:after="0" w:line="230"/>
            </w:pPr>
            <w:r>
              <w:rPr>
                <w:rFonts w:ascii="Consolas" w:cs="Consolas" w:eastAsia="Consolas" w:hAnsi="Consolas"/>
                <w:b w:val="false"/>
                <w:bCs w:val="false"/>
                <w:sz w:val="13"/>
                <w:szCs w:val="13"/>
              </w:rPr>
              <w:t xml:space="preserve">    DIVIDE ( SUMX ( Shifts, ABS ( [@d] ) ), 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How far the whole composition has moved from its 2019 mix, in percentage points. Halved because share changes 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8.8 — 06 Elasticity. 12 measures. Close the folder when: Observation Count is non-zero and plausible before any slope is trusted.</w:t>
      </w:r>
    </w:p>
    <w:p>
      <w:pPr>
        <w:pStyle w:val="Heading2"/>
        <w:spacing w:after="120" w:before="280"/>
      </w:pPr>
      <w:r>
        <w:rPr>
          <w:rFonts w:ascii="Times New Roman" w:cs="Times New Roman" w:eastAsia="Times New Roman" w:hAnsi="Times New Roman"/>
          <w:b/>
          <w:bCs/>
          <w:color w:val="2E5496"/>
          <w:sz w:val="25"/>
          <w:szCs w:val="25"/>
        </w:rPr>
        <w:t xml:space="preserve">8.10 07 Rotation</w:t>
      </w:r>
    </w:p>
    <w:p>
      <w:pPr>
        <w:spacing w:after="120" w:line="276"/>
      </w:pPr>
      <w:r>
        <w:rPr>
          <w:rFonts w:ascii="Times New Roman" w:cs="Times New Roman" w:eastAsia="Times New Roman" w:hAnsi="Times New Roman"/>
          <w:sz w:val="22"/>
          <w:szCs w:val="22"/>
        </w:rPr>
        <w:t xml:space="preserve">The same regression machinery as 06, applied across categories rather than within one.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E-commerce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"4541"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Electronic shopping and mail-order houses as a share of total retail. The structural trend of the period.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Department Store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"4522"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Plotted with the warehouse-club share on spec 6.6 — the transfer between the two is the story.</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Warehouse Club Share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 · Total Retail and Food Services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"452311" ),</w:t>
            </w:r>
          </w:p>
          <w:p>
            <w:pPr>
              <w:spacing w:after="0" w:line="230"/>
            </w:pPr>
            <w:r>
              <w:rPr>
                <w:rFonts w:ascii="Consolas" w:cs="Consolas" w:eastAsia="Consolas" w:hAnsi="Consolas"/>
                <w:b w:val="false"/>
                <w:bCs w:val="false"/>
                <w:sz w:val="13"/>
                <w:szCs w:val="13"/>
              </w:rPr>
              <w:t xml:space="preserve">         [Total Retail and Food Services]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gainer against department stores.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Goods to Services Ratio</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Sector Sales</w:t>
            </w:r>
          </w:p>
          <w:p>
            <w:pPr>
              <w:spacing w:after="0" w:line="230"/>
            </w:pPr>
            <w:r>
              <w:rPr>
                <w:rFonts w:ascii="Times New Roman" w:cs="Times New Roman" w:eastAsia="Times New Roman" w:hAnsi="Times New Roman"/>
                <w:b w:val="false"/>
                <w:bCs w:val="false"/>
                <w:sz w:val="15"/>
                <w:szCs w:val="15"/>
              </w:rPr>
              <w:t xml:space="preserve">DimCategory</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[Sector Sales], ALL ( DimCategory ),</w:t>
            </w:r>
          </w:p>
          <w:p>
            <w:pPr>
              <w:spacing w:after="0" w:line="230"/>
            </w:pPr>
            <w:r>
              <w:rPr>
                <w:rFonts w:ascii="Consolas" w:cs="Consolas" w:eastAsia="Consolas" w:hAnsi="Consolas"/>
                <w:b w:val="false"/>
                <w:bCs w:val="false"/>
                <w:sz w:val="13"/>
                <w:szCs w:val="13"/>
              </w:rPr>
              <w:t xml:space="preserve">    DimCategory[CategoryCode] = "44000" ),</w:t>
            </w:r>
          </w:p>
          <w:p>
            <w:pPr>
              <w:spacing w:after="0" w:line="230"/>
            </w:pPr>
            <w:r>
              <w:rPr>
                <w:rFonts w:ascii="Consolas" w:cs="Consolas" w:eastAsia="Consolas" w:hAnsi="Consolas"/>
                <w:b w:val="false"/>
                <w:bCs w:val="false"/>
                <w:sz w:val="13"/>
                <w:szCs w:val="13"/>
              </w:rPr>
              <w:t xml:space="preserve">         CALCULATE ( [Sector Sales], ALL ( DimCategory ),</w:t>
            </w:r>
          </w:p>
          <w:p>
            <w:pPr>
              <w:spacing w:after="0" w:line="230"/>
            </w:pPr>
            <w:r>
              <w:rPr>
                <w:rFonts w:ascii="Consolas" w:cs="Consolas" w:eastAsia="Consolas" w:hAnsi="Consolas"/>
                <w:b w:val="false"/>
                <w:bCs w:val="false"/>
                <w:sz w:val="13"/>
                <w:szCs w:val="13"/>
              </w:rPr>
              <w:t xml:space="preserve">             DimCategory[CategoryCode] = "722"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Retail trade against food services. Falls when consumers rotate spending back toward experiences.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Rate Sensitivity Beta</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Fed Funds Rate · Real Sector Sales YoY %</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Points = ADDCOLUMNS ( CALCULATETABLE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"@x", [Fed Funds Rate], "@y", [Real Sector Sales YoY %] )</w:t>
            </w:r>
          </w:p>
          <w:p>
            <w:pPr>
              <w:spacing w:after="0" w:line="230"/>
            </w:pPr>
            <w:r>
              <w:rPr>
                <w:rFonts w:ascii="Consolas" w:cs="Consolas" w:eastAsia="Consolas" w:hAnsi="Consolas"/>
                <w:b w:val="false"/>
                <w:bCs w:val="false"/>
                <w:sz w:val="13"/>
                <w:szCs w:val="13"/>
              </w:rPr>
              <w:t xml:space="preserve">VAR Known = FILTER ( Points,</w:t>
            </w:r>
          </w:p>
          <w:p>
            <w:pPr>
              <w:spacing w:after="0" w:line="230"/>
            </w:pPr>
            <w:r>
              <w:rPr>
                <w:rFonts w:ascii="Consolas" w:cs="Consolas" w:eastAsia="Consolas" w:hAnsi="Consolas"/>
                <w:b w:val="false"/>
                <w:bCs w:val="false"/>
                <w:sz w:val="13"/>
                <w:szCs w:val="13"/>
              </w:rPr>
              <w:t xml:space="preserve">    NOT ISBLANK ( [@x] ) &amp;&amp; NOT ISBLANK ( [@y] ) )</w:t>
            </w:r>
          </w:p>
          <w:p>
            <w:pPr>
              <w:spacing w:after="0" w:line="230"/>
            </w:pPr>
            <w:r>
              <w:rPr>
                <w:rFonts w:ascii="Consolas" w:cs="Consolas" w:eastAsia="Consolas" w:hAnsi="Consolas"/>
                <w:b w:val="false"/>
                <w:bCs w:val="false"/>
                <w:sz w:val="13"/>
                <w:szCs w:val="13"/>
              </w:rPr>
              <w:t xml:space="preserve">VAR MeanX = AVERAGEX ( Known, [@x] )</w:t>
            </w:r>
          </w:p>
          <w:p>
            <w:pPr>
              <w:spacing w:after="0" w:line="230"/>
            </w:pPr>
            <w:r>
              <w:rPr>
                <w:rFonts w:ascii="Consolas" w:cs="Consolas" w:eastAsia="Consolas" w:hAnsi="Consolas"/>
                <w:b w:val="false"/>
                <w:bCs w:val="false"/>
                <w:sz w:val="13"/>
                <w:szCs w:val="13"/>
              </w:rPr>
              <w:t xml:space="preserve">VAR MeanY = AVERAGEX ( Known, [@y] )</w:t>
            </w:r>
          </w:p>
          <w:p>
            <w:pPr>
              <w:spacing w:after="0" w:line="230"/>
            </w:pPr>
            <w:r>
              <w:rPr>
                <w:rFonts w:ascii="Consolas" w:cs="Consolas" w:eastAsia="Consolas" w:hAnsi="Consolas"/>
                <w:b w:val="false"/>
                <w:bCs w:val="false"/>
                <w:sz w:val="13"/>
                <w:szCs w:val="13"/>
              </w:rPr>
              <w:t xml:space="preserve">RETURN DIVIDE ( SUMX ( Known, ( [@x] - MeanX ) * ( [@y] - MeanY ) ),</w:t>
            </w:r>
          </w:p>
          <w:p>
            <w:pPr>
              <w:spacing w:after="0" w:line="230"/>
            </w:pPr>
            <w:r>
              <w:rPr>
                <w:rFonts w:ascii="Consolas" w:cs="Consolas" w:eastAsia="Consolas" w:hAnsi="Consolas"/>
                <w:b w:val="false"/>
                <w:bCs w:val="false"/>
                <w:sz w:val="13"/>
                <w:szCs w:val="13"/>
              </w:rPr>
              <w:t xml:space="preserve">                SUMX ( Known, ( [@x] - MeanX ) ^ 2 )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Evaluated PER CATEGORY on a visual. Strongly negative identifies the rate-sensitive kinds of business (autos, furniture, building materials); near zero identifies staples. If those categories do not land negative, check the deflation before publishing.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8.9 — 07 Rotation. 5 measures. Close the folder when: Rate Sensitivity Beta lands negative for 441, 442 and 444.</w:t>
      </w:r>
    </w:p>
    <w:p>
      <w:pPr>
        <w:pStyle w:val="Heading2"/>
        <w:spacing w:after="120" w:before="280"/>
      </w:pPr>
      <w:r>
        <w:rPr>
          <w:rFonts w:ascii="Times New Roman" w:cs="Times New Roman" w:eastAsia="Times New Roman" w:hAnsi="Times New Roman"/>
          <w:b/>
          <w:bCs/>
          <w:color w:val="2E5496"/>
          <w:sz w:val="25"/>
          <w:szCs w:val="25"/>
        </w:rPr>
        <w:t xml:space="preserve">8.11 08 Assortment</w:t>
      </w:r>
    </w:p>
    <w:p>
      <w:pPr>
        <w:spacing w:after="120" w:line="276"/>
      </w:pPr>
      <w:r>
        <w:rPr>
          <w:rFonts w:ascii="Times New Roman" w:cs="Times New Roman" w:eastAsia="Times New Roman" w:hAnsi="Times New Roman"/>
          <w:sz w:val="22"/>
          <w:szCs w:val="22"/>
        </w:rPr>
        <w:t xml:space="preserve">Item lifecycle and long-tail concentration. The ranking measures are the most filter-context sensitive in the model.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New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DimItem ),</w:t>
            </w:r>
          </w:p>
          <w:p>
            <w:pPr>
              <w:spacing w:after="0" w:line="230"/>
            </w:pPr>
            <w:r>
              <w:rPr>
                <w:rFonts w:ascii="Consolas" w:cs="Consolas" w:eastAsia="Consolas" w:hAnsi="Consolas"/>
                <w:b w:val="false"/>
                <w:bCs w:val="false"/>
                <w:sz w:val="13"/>
                <w:szCs w:val="13"/>
              </w:rPr>
              <w:t xml:space="preserve">  FILTER ( ALL ( DimItem ),</w:t>
            </w:r>
          </w:p>
          <w:p>
            <w:pPr>
              <w:spacing w:after="0" w:line="230"/>
            </w:pPr>
            <w:r>
              <w:rPr>
                <w:rFonts w:ascii="Consolas" w:cs="Consolas" w:eastAsia="Consolas" w:hAnsi="Consolas"/>
                <w:b w:val="false"/>
                <w:bCs w:val="false"/>
                <w:sz w:val="13"/>
                <w:szCs w:val="13"/>
              </w:rPr>
              <w:t xml:space="preserve">      DimItem[FirstSeenDateKey] IN VALUES ( DimDate[DateKey] )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whose first movement falls in the visible period.</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Discontinued Items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DimDate · 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LastLoaded = CALCULATE ( MAX ( DimDate[DateKey] ),</w:t>
            </w:r>
          </w:p>
          <w:p>
            <w:pPr>
              <w:spacing w:after="0" w:line="230"/>
            </w:pPr>
            <w:r>
              <w:rPr>
                <w:rFonts w:ascii="Consolas" w:cs="Consolas" w:eastAsia="Consolas" w:hAnsi="Consolas"/>
                <w:b w:val="false"/>
                <w:bCs w:val="false"/>
                <w:sz w:val="13"/>
                <w:szCs w:val="13"/>
              </w:rPr>
              <w:t xml:space="preserve">    ALL ( DimDate ) )</w:t>
            </w:r>
          </w:p>
          <w:p>
            <w:pPr>
              <w:spacing w:after="0" w:line="230"/>
            </w:pPr>
            <w:r>
              <w:rPr>
                <w:rFonts w:ascii="Consolas" w:cs="Consolas" w:eastAsia="Consolas" w:hAnsi="Consolas"/>
                <w:b w:val="false"/>
                <w:bCs w:val="false"/>
                <w:sz w:val="13"/>
                <w:szCs w:val="13"/>
              </w:rPr>
              <w:t xml:space="preserve">RETURN CALCULATE ( COUNTROWS ( DimItem ),</w:t>
            </w:r>
          </w:p>
          <w:p>
            <w:pPr>
              <w:spacing w:after="0" w:line="230"/>
            </w:pPr>
            <w:r>
              <w:rPr>
                <w:rFonts w:ascii="Consolas" w:cs="Consolas" w:eastAsia="Consolas" w:hAnsi="Consolas"/>
                <w:b w:val="false"/>
                <w:bCs w:val="false"/>
                <w:sz w:val="13"/>
                <w:szCs w:val="13"/>
              </w:rPr>
              <w:t xml:space="preserve">  FILTER ( ALL ( DimItem ),</w:t>
            </w:r>
          </w:p>
          <w:p>
            <w:pPr>
              <w:spacing w:after="0" w:line="230"/>
            </w:pPr>
            <w:r>
              <w:rPr>
                <w:rFonts w:ascii="Consolas" w:cs="Consolas" w:eastAsia="Consolas" w:hAnsi="Consolas"/>
                <w:b w:val="false"/>
                <w:bCs w:val="false"/>
                <w:sz w:val="13"/>
                <w:szCs w:val="13"/>
              </w:rPr>
              <w:t xml:space="preserve">      DimItem[LastSeenDateKey] IN VALUES ( DimDate[DateKey] )</w:t>
            </w:r>
          </w:p>
          <w:p>
            <w:pPr>
              <w:spacing w:after="0" w:line="230"/>
            </w:pPr>
            <w:r>
              <w:rPr>
                <w:rFonts w:ascii="Consolas" w:cs="Consolas" w:eastAsia="Consolas" w:hAnsi="Consolas"/>
                <w:b w:val="false"/>
                <w:bCs w:val="false"/>
                <w:sz w:val="13"/>
                <w:szCs w:val="13"/>
              </w:rPr>
              <w:t xml:space="preserve">          &amp;&amp; DimItem[LastSeenDateKey] &lt;&gt; LastLoaded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EXCLUDES the most recent loaded month. Every still-selling item carries that month as its last appearance, so an unfiltered count spikes at the right edge of every chart.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Do not re-add that filter at visual level.</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Net Assortment Change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Discontinued Items · New Items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[New Items] - [Discontinued Items]</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Positive: the assortment is expanding.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Size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CALCULATE ( COUNTROWS ( DimItem ),</w:t>
            </w:r>
          </w:p>
          <w:p>
            <w:pPr>
              <w:spacing w:after="0" w:line="230"/>
            </w:pPr>
            <w:r>
              <w:rPr>
                <w:rFonts w:ascii="Consolas" w:cs="Consolas" w:eastAsia="Consolas" w:hAnsi="Consolas"/>
                <w:b w:val="false"/>
                <w:bCs w:val="false"/>
                <w:sz w:val="13"/>
                <w:szCs w:val="13"/>
              </w:rPr>
              <w:t xml:space="preserve">    ALLSELECTED ( DimItem[CohortYear]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introduced in the selected cohort year.</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Survival 12M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COUNTROWS ( DimItem ),</w:t>
            </w:r>
          </w:p>
          <w:p>
            <w:pPr>
              <w:spacing w:after="0" w:line="230"/>
            </w:pPr>
            <w:r>
              <w:rPr>
                <w:rFonts w:ascii="Consolas" w:cs="Consolas" w:eastAsia="Consolas" w:hAnsi="Consolas"/>
                <w:b w:val="false"/>
                <w:bCs w:val="false"/>
                <w:sz w:val="13"/>
                <w:szCs w:val="13"/>
              </w:rPr>
              <w:t xml:space="preserve">    DimItem[MonthsActive] &gt;= 12 ),</w:t>
            </w:r>
          </w:p>
          <w:p>
            <w:pPr>
              <w:spacing w:after="0" w:line="230"/>
            </w:pPr>
            <w:r>
              <w:rPr>
                <w:rFonts w:ascii="Consolas" w:cs="Consolas" w:eastAsia="Consolas" w:hAnsi="Consolas"/>
                <w:b w:val="false"/>
                <w:bCs w:val="false"/>
                <w:sz w:val="13"/>
                <w:szCs w:val="13"/>
              </w:rPr>
              <w:t xml:space="preserve">         COUNTROWS ( DimItem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Share of a cohort with at least twelve months of movement.</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The 2017 cohort is LEFT-CENSORED and is excluded from or labelled on every survival visual.</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Cohort Survival 24M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CALCULATE ( COUNTROWS ( DimItem ),</w:t>
            </w:r>
          </w:p>
          <w:p>
            <w:pPr>
              <w:spacing w:after="0" w:line="230"/>
            </w:pPr>
            <w:r>
              <w:rPr>
                <w:rFonts w:ascii="Consolas" w:cs="Consolas" w:eastAsia="Consolas" w:hAnsi="Consolas"/>
                <w:b w:val="false"/>
                <w:bCs w:val="false"/>
                <w:sz w:val="13"/>
                <w:szCs w:val="13"/>
              </w:rPr>
              <w:t xml:space="preserve">    DimItem[MonthsActive] &gt;= 24 ),</w:t>
            </w:r>
          </w:p>
          <w:p>
            <w:pPr>
              <w:spacing w:after="0" w:line="230"/>
            </w:pPr>
            <w:r>
              <w:rPr>
                <w:rFonts w:ascii="Consolas" w:cs="Consolas" w:eastAsia="Consolas" w:hAnsi="Consolas"/>
                <w:b w:val="false"/>
                <w:bCs w:val="false"/>
                <w:sz w:val="13"/>
                <w:szCs w:val="13"/>
              </w:rPr>
              <w:t xml:space="preserve">         COUNTROWS ( DimItem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Two-year survival.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Median Months Active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MEDIANX ( DimItem, DimItem[MonthsActive]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Typical item tenure. Paired with the spec 8.5 binned distribution, which shows the shape the median hides.</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 Rank by Volume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RANKX ( ALLSELECTED ( DimItem[ItemDescription] ), [Total Cases],,</w:t>
            </w:r>
          </w:p>
          <w:p>
            <w:pPr>
              <w:spacing w:after="0" w:line="230"/>
            </w:pPr>
            <w:r>
              <w:rPr>
                <w:rFonts w:ascii="Consolas" w:cs="Consolas" w:eastAsia="Consolas" w:hAnsi="Consolas"/>
                <w:b w:val="false"/>
                <w:bCs w:val="false"/>
                <w:sz w:val="13"/>
                <w:szCs w:val="13"/>
              </w:rPr>
              <w:t xml:space="preserve">    DESC, DENSE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Ranking within the current filter context; the ordering basis of the Pareto.</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Cumulative Cases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Rank by Volume · 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ThisRank = [Item Rank by Volume]</w:t>
            </w:r>
          </w:p>
          <w:p>
            <w:pPr>
              <w:spacing w:after="0" w:line="230"/>
            </w:pPr>
            <w:r>
              <w:rPr>
                <w:rFonts w:ascii="Consolas" w:cs="Consolas" w:eastAsia="Consolas" w:hAnsi="Consolas"/>
                <w:b w:val="false"/>
                <w:bCs w:val="false"/>
                <w:sz w:val="13"/>
                <w:szCs w:val="13"/>
              </w:rPr>
              <w:t xml:space="preserve">VAR Ranked = ADDCOLUMNS ( ALLSELECTED ( DimItem[ItemDescription] ),</w:t>
            </w:r>
          </w:p>
          <w:p>
            <w:pPr>
              <w:spacing w:after="0" w:line="230"/>
            </w:pPr>
            <w:r>
              <w:rPr>
                <w:rFonts w:ascii="Consolas" w:cs="Consolas" w:eastAsia="Consolas" w:hAnsi="Consolas"/>
                <w:b w:val="false"/>
                <w:bCs w:val="false"/>
                <w:sz w:val="13"/>
                <w:szCs w:val="13"/>
              </w:rPr>
              <w:t xml:space="preserve">    "@rank", [Item Rank by Volume], "@vol", [Total Cases] )</w:t>
            </w:r>
          </w:p>
          <w:p>
            <w:pPr>
              <w:spacing w:after="0" w:line="230"/>
            </w:pPr>
            <w:r>
              <w:rPr>
                <w:rFonts w:ascii="Consolas" w:cs="Consolas" w:eastAsia="Consolas" w:hAnsi="Consolas"/>
                <w:b w:val="false"/>
                <w:bCs w:val="false"/>
                <w:sz w:val="13"/>
                <w:szCs w:val="13"/>
              </w:rPr>
              <w:t xml:space="preserve">RETURN DIVIDE ( SUMX ( FILTER ( Ranked, [@rank] &lt;= ThisRank ),</w:t>
            </w:r>
          </w:p>
          <w:p>
            <w:pPr>
              <w:spacing w:after="0" w:line="230"/>
            </w:pPr>
            <w:r>
              <w:rPr>
                <w:rFonts w:ascii="Consolas" w:cs="Consolas" w:eastAsia="Consolas" w:hAnsi="Consolas"/>
                <w:b w:val="false"/>
                <w:bCs w:val="false"/>
                <w:sz w:val="13"/>
                <w:szCs w:val="13"/>
              </w:rPr>
              <w:t xml:space="preserve">    [@vol] ),</w:t>
            </w:r>
          </w:p>
          <w:p>
            <w:pPr>
              <w:spacing w:after="0" w:line="230"/>
            </w:pPr>
            <w:r>
              <w:rPr>
                <w:rFonts w:ascii="Consolas" w:cs="Consolas" w:eastAsia="Consolas" w:hAnsi="Consolas"/>
                <w:b w:val="false"/>
                <w:bCs w:val="false"/>
                <w:sz w:val="13"/>
                <w:szCs w:val="13"/>
              </w:rPr>
              <w:t xml:space="preserve">                SUMX ( Ranked, [@vol]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Pareto accumulation, secondary axis of spec 7.5.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Validation check 14: this must reach exactly 100% at the lowest-ranked item — falling short means the ranking context and the total context disagree, the most common defect in this pattern.</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Items to 80% of Volume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Item Rank by Volume · Total Cases</w:t>
            </w:r>
          </w:p>
          <w:p>
            <w:pPr>
              <w:spacing w:after="0" w:line="230"/>
            </w:pPr>
            <w:r>
              <w:rPr>
                <w:rFonts w:ascii="Times New Roman" w:cs="Times New Roman" w:eastAsia="Times New Roman" w:hAnsi="Times New Roman"/>
                <w:b w:val="false"/>
                <w:bCs w:val="false"/>
                <w:sz w:val="15"/>
                <w:szCs w:val="15"/>
              </w:rPr>
              <w:t xml:space="preserve">DimItem</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Ranked = ADDCOLUMNS ( ALLSELECTED ( DimItem[ItemDescription] ),</w:t>
            </w:r>
          </w:p>
          <w:p>
            <w:pPr>
              <w:spacing w:after="0" w:line="230"/>
            </w:pPr>
            <w:r>
              <w:rPr>
                <w:rFonts w:ascii="Consolas" w:cs="Consolas" w:eastAsia="Consolas" w:hAnsi="Consolas"/>
                <w:b w:val="false"/>
                <w:bCs w:val="false"/>
                <w:sz w:val="13"/>
                <w:szCs w:val="13"/>
              </w:rPr>
              <w:t xml:space="preserve">    "@rank", [Item Rank by Volume], "@vol", [Total Cases] )</w:t>
            </w:r>
          </w:p>
          <w:p>
            <w:pPr>
              <w:spacing w:after="0" w:line="230"/>
            </w:pPr>
            <w:r>
              <w:rPr>
                <w:rFonts w:ascii="Consolas" w:cs="Consolas" w:eastAsia="Consolas" w:hAnsi="Consolas"/>
                <w:b w:val="false"/>
                <w:bCs w:val="false"/>
                <w:sz w:val="13"/>
                <w:szCs w:val="13"/>
              </w:rPr>
              <w:t xml:space="preserve">VAR Total = SUMX ( Ranked, [@vol] )</w:t>
            </w:r>
          </w:p>
          <w:p>
            <w:pPr>
              <w:spacing w:after="0" w:line="230"/>
            </w:pPr>
            <w:r>
              <w:rPr>
                <w:rFonts w:ascii="Consolas" w:cs="Consolas" w:eastAsia="Consolas" w:hAnsi="Consolas"/>
                <w:b w:val="false"/>
                <w:bCs w:val="false"/>
                <w:sz w:val="13"/>
                <w:szCs w:val="13"/>
              </w:rPr>
              <w:t xml:space="preserve">VAR WithCum = ADDCOLUMNS ( Ranked, "@cum",</w:t>
            </w:r>
          </w:p>
          <w:p>
            <w:pPr>
              <w:spacing w:after="0" w:line="230"/>
            </w:pPr>
            <w:r>
              <w:rPr>
                <w:rFonts w:ascii="Consolas" w:cs="Consolas" w:eastAsia="Consolas" w:hAnsi="Consolas"/>
                <w:b w:val="false"/>
                <w:bCs w:val="false"/>
                <w:sz w:val="13"/>
                <w:szCs w:val="13"/>
              </w:rPr>
              <w:t xml:space="preserve">    DIVIDE ( SUMX ( FILTER ( Ranked,</w:t>
            </w:r>
          </w:p>
          <w:p>
            <w:pPr>
              <w:spacing w:after="0" w:line="230"/>
            </w:pPr>
            <w:r>
              <w:rPr>
                <w:rFonts w:ascii="Consolas" w:cs="Consolas" w:eastAsia="Consolas" w:hAnsi="Consolas"/>
                <w:b w:val="false"/>
                <w:bCs w:val="false"/>
                <w:sz w:val="13"/>
                <w:szCs w:val="13"/>
              </w:rPr>
              <w:t xml:space="preserve">        [@rank] &lt;= EARLIER ( [@rank] ) ), [@vol] ), Total ) )</w:t>
            </w:r>
          </w:p>
          <w:p>
            <w:pPr>
              <w:spacing w:after="0" w:line="230"/>
            </w:pPr>
            <w:r>
              <w:rPr>
                <w:rFonts w:ascii="Consolas" w:cs="Consolas" w:eastAsia="Consolas" w:hAnsi="Consolas"/>
                <w:b w:val="false"/>
                <w:bCs w:val="false"/>
                <w:sz w:val="13"/>
                <w:szCs w:val="13"/>
              </w:rPr>
              <w:t xml:space="preserve">RETURN COUNTROWS ( FILTER ( WithCum, [@cum] &lt;= 0.8 )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long-tail headline: how few items carry most of the movement. Falling over time means the assortment is concentrating.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8.10 — 08 Assortment. 10 measures. Close the folder when: Cumulative Cases % reaches exactly 100% at the lowest-ranked item.</w:t>
      </w:r>
    </w:p>
    <w:p>
      <w:pPr>
        <w:pStyle w:val="Heading2"/>
        <w:spacing w:after="120" w:before="280"/>
      </w:pPr>
      <w:r>
        <w:rPr>
          <w:rFonts w:ascii="Times New Roman" w:cs="Times New Roman" w:eastAsia="Times New Roman" w:hAnsi="Times New Roman"/>
          <w:b/>
          <w:bCs/>
          <w:color w:val="2E5496"/>
          <w:sz w:val="25"/>
          <w:szCs w:val="25"/>
        </w:rPr>
        <w:t xml:space="preserve">8.12 09 Supplier</w:t>
      </w:r>
    </w:p>
    <w:p>
      <w:pPr>
        <w:spacing w:after="120" w:line="276"/>
      </w:pPr>
      <w:r>
        <w:rPr>
          <w:rFonts w:ascii="Times New Roman" w:cs="Times New Roman" w:eastAsia="Times New Roman" w:hAnsi="Times New Roman"/>
          <w:sz w:val="22"/>
          <w:szCs w:val="22"/>
        </w:rPr>
        <w:t xml:space="preserve">Supplier concentration. Two measures, both structural rather than temporal.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 HHI</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Shares = ADDCOLUMNS ( ALLSELECTED ( DimSupplier ), "@vol",</w:t>
            </w:r>
          </w:p>
          <w:p>
            <w:pPr>
              <w:spacing w:after="0" w:line="230"/>
            </w:pPr>
            <w:r>
              <w:rPr>
                <w:rFonts w:ascii="Consolas" w:cs="Consolas" w:eastAsia="Consolas" w:hAnsi="Consolas"/>
                <w:b w:val="false"/>
                <w:bCs w:val="false"/>
                <w:sz w:val="13"/>
                <w:szCs w:val="13"/>
              </w:rPr>
              <w:t xml:space="preserve">    [Total Cases] )</w:t>
            </w:r>
          </w:p>
          <w:p>
            <w:pPr>
              <w:spacing w:after="0" w:line="230"/>
            </w:pPr>
            <w:r>
              <w:rPr>
                <w:rFonts w:ascii="Consolas" w:cs="Consolas" w:eastAsia="Consolas" w:hAnsi="Consolas"/>
                <w:b w:val="false"/>
                <w:bCs w:val="false"/>
                <w:sz w:val="13"/>
                <w:szCs w:val="13"/>
              </w:rPr>
              <w:t xml:space="preserve">VAR Total = SUMX ( Shares, [@vol] )</w:t>
            </w:r>
          </w:p>
          <w:p>
            <w:pPr>
              <w:spacing w:after="0" w:line="230"/>
            </w:pPr>
            <w:r>
              <w:rPr>
                <w:rFonts w:ascii="Consolas" w:cs="Consolas" w:eastAsia="Consolas" w:hAnsi="Consolas"/>
                <w:b w:val="false"/>
                <w:bCs w:val="false"/>
                <w:sz w:val="13"/>
                <w:szCs w:val="13"/>
              </w:rPr>
              <w:t xml:space="preserve">RETURN SUMX ( Shares, ( DIVIDE ( [@vol], Total ) * 100 ) ^ 2 )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Herfindahl-Hirschman Index on a 0–10,000 scale. Below 1,500 unconcentrated; above 2,500 highly concentrated. Reference lines at both thresholds on spec 9.5.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Supplier Return Rate %</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FactItemMovement</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Returned = CALCULATE ( SUM ( FactItemMovement[RetailSales] ),</w:t>
            </w:r>
          </w:p>
          <w:p>
            <w:pPr>
              <w:spacing w:after="0" w:line="230"/>
            </w:pPr>
            <w:r>
              <w:rPr>
                <w:rFonts w:ascii="Consolas" w:cs="Consolas" w:eastAsia="Consolas" w:hAnsi="Consolas"/>
                <w:b w:val="false"/>
                <w:bCs w:val="false"/>
                <w:sz w:val="13"/>
                <w:szCs w:val="13"/>
              </w:rPr>
              <w:t xml:space="preserve">    FactItemMovement[RetailSales] &lt; 0 )</w:t>
            </w:r>
          </w:p>
          <w:p>
            <w:pPr>
              <w:spacing w:after="0" w:line="230"/>
            </w:pPr>
            <w:r>
              <w:rPr>
                <w:rFonts w:ascii="Consolas" w:cs="Consolas" w:eastAsia="Consolas" w:hAnsi="Consolas"/>
                <w:b w:val="false"/>
                <w:bCs w:val="false"/>
                <w:sz w:val="13"/>
                <w:szCs w:val="13"/>
              </w:rPr>
              <w:t xml:space="preserve">VAR Gross = CALCULATE ( SUM ( FactItemMovement[RetailSales] ),</w:t>
            </w:r>
          </w:p>
          <w:p>
            <w:pPr>
              <w:spacing w:after="0" w:line="230"/>
            </w:pPr>
            <w:r>
              <w:rPr>
                <w:rFonts w:ascii="Consolas" w:cs="Consolas" w:eastAsia="Consolas" w:hAnsi="Consolas"/>
                <w:b w:val="false"/>
                <w:bCs w:val="false"/>
                <w:sz w:val="13"/>
                <w:szCs w:val="13"/>
              </w:rPr>
              <w:t xml:space="preserve">    FactItemMovement[RetailSales] &gt; 0 )</w:t>
            </w:r>
          </w:p>
          <w:p>
            <w:pPr>
              <w:spacing w:after="0" w:line="230"/>
            </w:pPr>
            <w:r>
              <w:rPr>
                <w:rFonts w:ascii="Consolas" w:cs="Consolas" w:eastAsia="Consolas" w:hAnsi="Consolas"/>
                <w:b w:val="false"/>
                <w:bCs w:val="false"/>
                <w:sz w:val="13"/>
                <w:szCs w:val="13"/>
              </w:rPr>
              <w:t xml:space="preserve">RETURN DIVIDE ( -Returned, Gross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Returned cases as a share of gross cases sold. Evaluated per supplier on a visual; a persistent outlier is a quality or ordering signal.</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8.11 — 09 Supplier. 2 measures. Close the folder when: Supplier HHI falls between 0 and 10,000.</w:t>
      </w:r>
    </w:p>
    <w:p>
      <w:pPr>
        <w:pStyle w:val="Heading2"/>
        <w:spacing w:after="120" w:before="280"/>
      </w:pPr>
      <w:r>
        <w:rPr>
          <w:rFonts w:ascii="Times New Roman" w:cs="Times New Roman" w:eastAsia="Times New Roman" w:hAnsi="Times New Roman"/>
          <w:b/>
          <w:bCs/>
          <w:color w:val="2E5496"/>
          <w:sz w:val="25"/>
          <w:szCs w:val="25"/>
        </w:rPr>
        <w:t xml:space="preserve">8.13 10 Seasonality</w:t>
      </w:r>
    </w:p>
    <w:p>
      <w:pPr>
        <w:spacing w:after="120" w:line="276"/>
      </w:pPr>
      <w:r>
        <w:rPr>
          <w:rFonts w:ascii="Times New Roman" w:cs="Times New Roman" w:eastAsia="Times New Roman" w:hAnsi="Times New Roman"/>
          <w:sz w:val="22"/>
          <w:szCs w:val="22"/>
        </w:rPr>
        <w:t xml:space="preserve">Ratio-to-average seasonal factors computed here, not taken from Census.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26"/>
        <w:gridCol w:w="1426"/>
        <w:gridCol w:w="4406"/>
        <w:gridCol w:w="778"/>
        <w:gridCol w:w="2851"/>
        <w:gridCol w:w="2074"/>
      </w:tblGrid>
      <w:tr>
        <w:trPr>
          <w:tblHeader/>
        </w:trPr>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Name</w:t>
            </w:r>
          </w:p>
        </w:tc>
        <w:tc>
          <w:tcPr>
            <w:tcW w:type="dxa" w:w="142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Depends on</w:t>
            </w:r>
          </w:p>
        </w:tc>
        <w:tc>
          <w:tcPr>
            <w:tcW w:type="dxa" w:w="4406"/>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3"/>
                <w:szCs w:val="13"/>
              </w:rPr>
              <w:t xml:space="preserve">Definition</w:t>
            </w:r>
          </w:p>
        </w:tc>
        <w:tc>
          <w:tcPr>
            <w:tcW w:type="dxa" w:w="778"/>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Format</w:t>
            </w:r>
          </w:p>
        </w:tc>
        <w:tc>
          <w:tcPr>
            <w:tcW w:type="dxa" w:w="2851"/>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6"/>
                <w:szCs w:val="16"/>
              </w:rPr>
              <w:t xml:space="preserve">Description</w:t>
            </w:r>
          </w:p>
        </w:tc>
        <w:tc>
          <w:tcPr>
            <w:tcW w:type="dxa" w:w="2074"/>
            <w:shd w:fill="D9D9D9" w:color="auto" w:val="clear"/>
            <w:tcMar>
              <w:top w:type="dxa" w:w="50"/>
              <w:left w:type="dxa" w:w="90"/>
              <w:bottom w:type="dxa" w:w="50"/>
              <w:right w:type="dxa" w:w="90"/>
            </w:tcMar>
          </w:tcPr>
          <w:p>
            <w:pPr>
              <w:spacing w:after="0" w:line="230"/>
            </w:pPr>
            <w:r>
              <w:rPr>
                <w:rFonts w:ascii="Times New Roman" w:cs="Times New Roman" w:eastAsia="Times New Roman" w:hAnsi="Times New Roman"/>
                <w:b/>
                <w:bCs/>
                <w:sz w:val="15"/>
                <w:szCs w:val="15"/>
              </w:rPr>
              <w:t xml:space="preserve">Notes</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Month Seasonal Factor</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Total Cases</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M = SELECTEDVALUE ( DimDate[MonthNumber] )</w:t>
            </w:r>
          </w:p>
          <w:p>
            <w:pPr>
              <w:spacing w:after="0" w:line="230"/>
            </w:pPr>
            <w:r>
              <w:rPr>
                <w:rFonts w:ascii="Consolas" w:cs="Consolas" w:eastAsia="Consolas" w:hAnsi="Consolas"/>
                <w:b w:val="false"/>
                <w:bCs w:val="false"/>
                <w:sz w:val="13"/>
                <w:szCs w:val="13"/>
              </w:rPr>
              <w:t xml:space="preserve">VAR SameMonthAvg = CALCULATE ( AVERAGEX ( VALUES (</w:t>
            </w:r>
          </w:p>
          <w:p>
            <w:pPr>
              <w:spacing w:after="0" w:line="230"/>
            </w:pPr>
            <w:r>
              <w:rPr>
                <w:rFonts w:ascii="Consolas" w:cs="Consolas" w:eastAsia="Consolas" w:hAnsi="Consolas"/>
                <w:b w:val="false"/>
                <w:bCs w:val="false"/>
                <w:sz w:val="13"/>
                <w:szCs w:val="13"/>
              </w:rPr>
              <w:t xml:space="preserve">    DimDate[DateKey] ),</w:t>
            </w:r>
          </w:p>
          <w:p>
            <w:pPr>
              <w:spacing w:after="0" w:line="230"/>
            </w:pPr>
            <w:r>
              <w:rPr>
                <w:rFonts w:ascii="Consolas" w:cs="Consolas" w:eastAsia="Consolas" w:hAnsi="Consolas"/>
                <w:b w:val="false"/>
                <w:bCs w:val="false"/>
                <w:sz w:val="13"/>
                <w:szCs w:val="13"/>
              </w:rPr>
              <w:t xml:space="preserve">    [Total Cases] ),</w:t>
            </w:r>
          </w:p>
          <w:p>
            <w:pPr>
              <w:spacing w:after="0" w:line="230"/>
            </w:pPr>
            <w:r>
              <w:rPr>
                <w:rFonts w:ascii="Consolas" w:cs="Consolas" w:eastAsia="Consolas" w:hAnsi="Consolas"/>
                <w:b w:val="false"/>
                <w:bCs w:val="false"/>
                <w:sz w:val="13"/>
                <w:szCs w:val="13"/>
              </w:rPr>
              <w:t xml:space="preserve">                               ALL ( DimDate ),</w:t>
            </w:r>
          </w:p>
          <w:p>
            <w:pPr>
              <w:spacing w:after="0" w:line="230"/>
            </w:pPr>
            <w:r>
              <w:rPr>
                <w:rFonts w:ascii="Consolas" w:cs="Consolas" w:eastAsia="Consolas" w:hAnsi="Consolas"/>
                <w:b w:val="false"/>
                <w:bCs w:val="false"/>
                <w:sz w:val="13"/>
                <w:szCs w:val="13"/>
              </w:rPr>
              <w:t xml:space="preserve">                                   DimDate[MonthNumber] = M )</w:t>
            </w:r>
          </w:p>
          <w:p>
            <w:pPr>
              <w:spacing w:after="0" w:line="230"/>
            </w:pPr>
            <w:r>
              <w:rPr>
                <w:rFonts w:ascii="Consolas" w:cs="Consolas" w:eastAsia="Consolas" w:hAnsi="Consolas"/>
                <w:b w:val="false"/>
                <w:bCs w:val="false"/>
                <w:sz w:val="13"/>
                <w:szCs w:val="13"/>
              </w:rPr>
              <w:t xml:space="preserve">VAR OverallAvg = CALCULATE ( AVERAGEX ( VALUES ( DimDate[DateKey] ),</w:t>
            </w:r>
          </w:p>
          <w:p>
            <w:pPr>
              <w:spacing w:after="0" w:line="230"/>
            </w:pPr>
            <w:r>
              <w:rPr>
                <w:rFonts w:ascii="Consolas" w:cs="Consolas" w:eastAsia="Consolas" w:hAnsi="Consolas"/>
                <w:b w:val="false"/>
                <w:bCs w:val="false"/>
                <w:sz w:val="13"/>
                <w:szCs w:val="13"/>
              </w:rPr>
              <w:t xml:space="preserve">    [Total Cases] ), ALL ( DimDate ) )</w:t>
            </w:r>
          </w:p>
          <w:p>
            <w:pPr>
              <w:spacing w:after="0" w:line="230"/>
            </w:pPr>
            <w:r>
              <w:rPr>
                <w:rFonts w:ascii="Consolas" w:cs="Consolas" w:eastAsia="Consolas" w:hAnsi="Consolas"/>
                <w:b w:val="false"/>
                <w:bCs w:val="false"/>
                <w:sz w:val="13"/>
                <w:szCs w:val="13"/>
              </w:rPr>
              <w:t xml:space="preserve">RETURN DIVIDE ( SameMonthAvg, OverallAvg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Ratio-to-average factor. Above 1.00 marks a seasonal peak.</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NOT X-13ARIMA-SEATS — Census applies outlier and trading-day handling this does not, and the page says so.</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Seasonally Adjusted Cases</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 · Total Cases</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DIVIDE ( [Total Cases], [Month Seasonal Factor]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The trend with seasonality removed, plotted against the raw series on spec 10.5.</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Seasonal Amplitude</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Factors = ADDCOLUMNS ( CALCULATETABLE ( VALUES (</w:t>
            </w:r>
          </w:p>
          <w:p>
            <w:pPr>
              <w:spacing w:after="0" w:line="230"/>
            </w:pPr>
            <w:r>
              <w:rPr>
                <w:rFonts w:ascii="Consolas" w:cs="Consolas" w:eastAsia="Consolas" w:hAnsi="Consolas"/>
                <w:b w:val="false"/>
                <w:bCs w:val="false"/>
                <w:sz w:val="13"/>
                <w:szCs w:val="13"/>
              </w:rPr>
              <w:t xml:space="preserve">    DimDate[MonthNumber] ),</w:t>
            </w:r>
          </w:p>
          <w:p>
            <w:pPr>
              <w:spacing w:after="0" w:line="230"/>
            </w:pPr>
            <w:r>
              <w:rPr>
                <w:rFonts w:ascii="Consolas" w:cs="Consolas" w:eastAsia="Consolas" w:hAnsi="Consolas"/>
                <w:b w:val="false"/>
                <w:bCs w:val="false"/>
                <w:sz w:val="13"/>
                <w:szCs w:val="13"/>
              </w:rPr>
              <w:t xml:space="preserve">    ALLSELECTED ( DimDate ) ),</w:t>
            </w:r>
          </w:p>
          <w:p>
            <w:pPr>
              <w:spacing w:after="0" w:line="230"/>
            </w:pPr>
            <w:r>
              <w:rPr>
                <w:rFonts w:ascii="Consolas" w:cs="Consolas" w:eastAsia="Consolas" w:hAnsi="Consolas"/>
                <w:b w:val="false"/>
                <w:bCs w:val="false"/>
                <w:sz w:val="13"/>
                <w:szCs w:val="13"/>
              </w:rPr>
              <w:t xml:space="preserve">    "@f", [Month Seasonal Factor] )</w:t>
            </w:r>
          </w:p>
          <w:p>
            <w:pPr>
              <w:spacing w:after="0" w:line="230"/>
            </w:pPr>
            <w:r>
              <w:rPr>
                <w:rFonts w:ascii="Consolas" w:cs="Consolas" w:eastAsia="Consolas" w:hAnsi="Consolas"/>
                <w:b w:val="false"/>
                <w:bCs w:val="false"/>
                <w:sz w:val="13"/>
                <w:szCs w:val="13"/>
              </w:rPr>
              <w:t xml:space="preserve">RETURN MAXX ( Factors, [@f] ) - MINX ( Factors, [@f]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0.00</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Spread between the strongest and weakest month. A narrowing spread means seasonality is flattening — itself a consumer-behaviour finding.</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Peak Month</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 = ADDCOLUMNS ( ALL ( DimDate[MonthNumber],</w:t>
            </w:r>
          </w:p>
          <w:p>
            <w:pPr>
              <w:spacing w:after="0" w:line="230"/>
            </w:pPr>
            <w:r>
              <w:rPr>
                <w:rFonts w:ascii="Consolas" w:cs="Consolas" w:eastAsia="Consolas" w:hAnsi="Consolas"/>
                <w:b w:val="false"/>
                <w:bCs w:val="false"/>
                <w:sz w:val="13"/>
                <w:szCs w:val="13"/>
              </w:rPr>
              <w:t xml:space="preserve">    DimDate[MonthName] ), "@f", [Month Seasonal Factor] )</w:t>
            </w:r>
          </w:p>
          <w:p>
            <w:pPr>
              <w:spacing w:after="0" w:line="230"/>
            </w:pPr>
            <w:r>
              <w:rPr>
                <w:rFonts w:ascii="Consolas" w:cs="Consolas" w:eastAsia="Consolas" w:hAnsi="Consolas"/>
                <w:b w:val="false"/>
                <w:bCs w:val="false"/>
                <w:sz w:val="13"/>
                <w:szCs w:val="13"/>
              </w:rPr>
              <w:t xml:space="preserve">RETURN MAXX ( TOPN ( 1, T, [@f], DESC ), DimDate[MonthName]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Text measure. Card visuals accept text measures — this is spec 10.2.</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r>
        <w:trPr>
          <w:cantSplit w:val="false"/>
        </w:trPr>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Trough Month</w:t>
            </w:r>
          </w:p>
        </w:tc>
        <w:tc>
          <w:tcPr>
            <w:tcW w:type="dxa" w:w="1426"/>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Month Seasonal Factor</w:t>
            </w:r>
          </w:p>
          <w:p>
            <w:pPr>
              <w:spacing w:after="0" w:line="230"/>
            </w:pPr>
            <w:r>
              <w:rPr>
                <w:rFonts w:ascii="Times New Roman" w:cs="Times New Roman" w:eastAsia="Times New Roman" w:hAnsi="Times New Roman"/>
                <w:b w:val="false"/>
                <w:bCs w:val="false"/>
                <w:sz w:val="15"/>
                <w:szCs w:val="15"/>
              </w:rPr>
              <w:t xml:space="preserve">DimDate</w:t>
            </w:r>
          </w:p>
        </w:tc>
        <w:tc>
          <w:tcPr>
            <w:tcW w:type="dxa" w:w="4406"/>
            <w:shd w:fill="F2F2F2" w:color="auto" w:val="clear"/>
            <w:tcMar>
              <w:top w:type="dxa" w:w="50"/>
              <w:left w:type="dxa" w:w="90"/>
              <w:bottom w:type="dxa" w:w="50"/>
              <w:right w:type="dxa" w:w="90"/>
            </w:tcMar>
          </w:tcPr>
          <w:p>
            <w:pPr>
              <w:spacing w:after="0" w:line="230"/>
            </w:pPr>
            <w:r>
              <w:rPr>
                <w:rFonts w:ascii="Consolas" w:cs="Consolas" w:eastAsia="Consolas" w:hAnsi="Consolas"/>
                <w:b w:val="false"/>
                <w:bCs w:val="false"/>
                <w:sz w:val="13"/>
                <w:szCs w:val="13"/>
              </w:rPr>
              <w:t xml:space="preserve">VAR T = ADDCOLUMNS ( ALL ( DimDate[MonthNumber],</w:t>
            </w:r>
          </w:p>
          <w:p>
            <w:pPr>
              <w:spacing w:after="0" w:line="230"/>
            </w:pPr>
            <w:r>
              <w:rPr>
                <w:rFonts w:ascii="Consolas" w:cs="Consolas" w:eastAsia="Consolas" w:hAnsi="Consolas"/>
                <w:b w:val="false"/>
                <w:bCs w:val="false"/>
                <w:sz w:val="13"/>
                <w:szCs w:val="13"/>
              </w:rPr>
              <w:t xml:space="preserve">    DimDate[MonthName] ), "@f", [Month Seasonal Factor] )</w:t>
            </w:r>
          </w:p>
          <w:p>
            <w:pPr>
              <w:spacing w:after="0" w:line="230"/>
            </w:pPr>
            <w:r>
              <w:rPr>
                <w:rFonts w:ascii="Consolas" w:cs="Consolas" w:eastAsia="Consolas" w:hAnsi="Consolas"/>
                <w:b w:val="false"/>
                <w:bCs w:val="false"/>
                <w:sz w:val="13"/>
                <w:szCs w:val="13"/>
              </w:rPr>
              <w:t xml:space="preserve">RETURN MAXX ( TOPN ( 1, T, [@f], ASC ), DimDate[MonthName] )</w:t>
            </w:r>
          </w:p>
        </w:tc>
        <w:tc>
          <w:tcPr>
            <w:tcW w:type="dxa" w:w="778"/>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w:t>
            </w:r>
          </w:p>
        </w:tc>
        <w:tc>
          <w:tcPr>
            <w:tcW w:type="dxa" w:w="2851"/>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6"/>
                <w:szCs w:val="16"/>
              </w:rPr>
              <w:t xml:space="preserve">Text measure. Spec 10.3.</w:t>
            </w:r>
          </w:p>
        </w:tc>
        <w:tc>
          <w:tcPr>
            <w:tcW w:type="dxa" w:w="2074"/>
            <w:tcMar>
              <w:top w:type="dxa" w:w="50"/>
              <w:left w:type="dxa" w:w="90"/>
              <w:bottom w:type="dxa" w:w="50"/>
              <w:right w:type="dxa" w:w="90"/>
            </w:tcMar>
          </w:tcPr>
          <w:p>
            <w:pPr>
              <w:spacing w:after="0" w:line="230"/>
            </w:pPr>
            <w:r>
              <w:rPr>
                <w:rFonts w:ascii="Times New Roman" w:cs="Times New Roman" w:eastAsia="Times New Roman" w:hAnsi="Times New Roman"/>
                <w:b w:val="false"/>
                <w:bCs w:val="false"/>
                <w:sz w:val="15"/>
                <w:szCs w:val="15"/>
              </w:rPr>
              <w:t xml:space="preserve">—</w:t>
            </w:r>
          </w:p>
        </w:tc>
      </w:tr>
    </w:tbl>
    <w:p>
      <w:pPr>
        <w:spacing w:after="200" w:before="40"/>
      </w:pPr>
      <w:r>
        <w:rPr>
          <w:rFonts w:ascii="Times New Roman" w:cs="Times New Roman" w:eastAsia="Times New Roman" w:hAnsi="Times New Roman"/>
          <w:i/>
          <w:iCs/>
          <w:color w:val="595959"/>
          <w:sz w:val="19"/>
          <w:szCs w:val="19"/>
        </w:rPr>
        <w:t xml:space="preserve">Table 8.12 — 10 Seasonality. 5 measures. Close the folder when: The twelve Month Seasonal Factor values average to approximately 1.00.</w:t>
      </w:r>
    </w:p>
    <w:p>
      <w:pPr>
        <w:sectPr>
          <w:pgSz w:w="15840" w:h="12240" w:orient="landscape"/>
          <w:pgMar w:top="1440" w:right="1440" w:bottom="1440" w:left="1440" w:header="708" w:footer="708" w:gutter="0"/>
          <w:pgNumType/>
          <w:docGrid w:linePitch="360"/>
        </w:sectPr>
      </w:pPr>
    </w:p>
    <w:p>
      <w:pPr>
        <w:pStyle w:val="Heading1"/>
        <w:spacing w:after="160" w:before="360"/>
      </w:pPr>
      <w:r>
        <w:rPr>
          <w:rFonts w:ascii="Times New Roman" w:cs="Times New Roman" w:eastAsia="Times New Roman" w:hAnsi="Times New Roman"/>
          <w:b/>
          <w:bCs/>
          <w:color w:val="1F3864"/>
          <w:sz w:val="30"/>
          <w:szCs w:val="30"/>
        </w:rPr>
        <w:t xml:space="preserve">9. Validation Before Publishing</w:t>
      </w:r>
    </w:p>
    <w:p>
      <w:pPr>
        <w:spacing w:after="120" w:line="276"/>
      </w:pPr>
      <w:r>
        <w:rPr>
          <w:rFonts w:ascii="Times New Roman" w:cs="Times New Roman" w:eastAsia="Times New Roman" w:hAnsi="Times New Roman"/>
          <w:sz w:val="22"/>
          <w:szCs w:val="22"/>
        </w:rPr>
        <w:t xml:space="preserve">Run all seventeen. Record every result in document 22, docs/22_Validation_Results.xlsx, on the Check Results tab — the check, the observed value and the date — so the numbers in the reports are reproducible rather than merely present. The Run Summary tab counts the run for you and will not report a pass while any check is still unrecorded.</w:t>
      </w:r>
    </w:p>
    <w:p>
      <w:pPr>
        <w:spacing w:after="120" w:line="276"/>
      </w:pPr>
      <w:r>
        <w:rPr>
          <w:rFonts w:ascii="Times New Roman" w:cs="Times New Roman" w:eastAsia="Times New Roman" w:hAnsi="Times New Roman"/>
          <w:sz w:val="22"/>
          <w:szCs w:val="22"/>
        </w:rPr>
        <w:t xml:space="preserve">A run is not a one-off. Re-run the whole suite after any fact-table reload; the Check Catalog tab in document 22 marks which eleven checks are data-dependent and must be repeated. Anything recorded as Fail goes on the Failure Log tab and stays open there until a later run re-verifies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5522"/>
      </w:tblGrid>
      <w:tr>
        <w:trPr>
          <w:tblHeader/>
        </w:trPr>
        <w:tc>
          <w:tcPr>
            <w:tcW w:type="dxa" w:w="65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Check</w:t>
            </w:r>
          </w:p>
        </w:tc>
        <w:tc>
          <w:tcPr>
            <w:tcW w:type="dxa" w:w="552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Pass criterion</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Staged versus loaded rows</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Zero difference, or every dropped row explained and documented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month coverage</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gaps in the monthly sequence for 44X72 across the window</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Aggregate reconciliation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Non-aggregate categories approximate 44X72 directionally; categories overlap, so exact equality is not expected — document what you find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versus FRED cross-check</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MARTS 452 for a given month is within rounding of MRTSSM452USS. A material gap means a wrong code or a seasonal-adjustment mismatch</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Referential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§6.4 coverage query returns zero rows</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Date relationship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blank row appears in DimDate in Model view</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unit consistency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visual places a percent and a dollar series on one axis without indexing or a secondary axis</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Cases versus dollars separation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visual, matrix or sentence places a case measure beside a nominal dollar measure. Every Tier 3 axis is labelled Cases. The only permitted pairing is Total Cases YoY % against National Liquor Stores Real YoY %</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baseline integrity</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 Share 2019 Baseline returns a value under every slicer combination used, including a BeverageClass with no 2019 history</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story has a national counterpart</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2020 divergence between 722 and 4453 moves in the same direction and months as the local on-premise collapse. If not, the local series reflects county policy rather than consumer behaviour and the narrative must be reframed</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11</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Negative value handling</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Return Rows is non-zero and the report explains it rather than filtering it away</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Lifecycle columns current</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MAX(LastSeenDateKey) in DimItem equals MAX(DateKey) in the fact. A mismatch means §5.8 was not re-run and every survival figure is stale</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13</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census</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Size summed across CohortYear equals the DimItem row count</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14</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Pareto accumulation</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reaches exactly 100% at the lowest-ranked item under every slicer combination</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Coefficients carry their sample</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visual showing a slope or correlation also shows Observation Count</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16</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Left-censored cohort labelled</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2017 is excluded from or explicitly labelled on every survival visual</w:t>
            </w:r>
          </w:p>
        </w:tc>
      </w:tr>
      <w:tr>
        <w:trPr>
          <w:cantSplit/>
        </w:trPr>
        <w:tc>
          <w:tcPr>
            <w:tcW w:type="dxa" w:w="65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17</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Report-to-model binding</w:t>
            </w:r>
          </w:p>
        </w:tc>
        <w:tc>
          <w:tcPr>
            <w:tcW w:type="dxa" w:w="552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three reports open against the published model with no local model — the live connection indicator, not an editable Fields pane</w:t>
            </w:r>
          </w:p>
        </w:tc>
      </w:tr>
    </w:tbl>
    <w:p>
      <w:pPr>
        <w:pStyle w:val="Heading1"/>
        <w:spacing w:after="160" w:before="360"/>
      </w:pPr>
      <w:r>
        <w:rPr>
          <w:rFonts w:ascii="Times New Roman" w:cs="Times New Roman" w:eastAsia="Times New Roman" w:hAnsi="Times New Roman"/>
          <w:b/>
          <w:bCs/>
          <w:color w:val="1F3864"/>
          <w:sz w:val="30"/>
          <w:szCs w:val="30"/>
        </w:rPr>
        <w:t xml:space="preserve">10. Publish and Bind the Reports</w:t>
      </w:r>
    </w:p>
    <w:p>
      <w:pPr>
        <w:spacing w:after="120" w:line="276"/>
      </w:pPr>
      <w:r>
        <w:rPr>
          <w:rFonts w:ascii="Times New Roman" w:cs="Times New Roman" w:eastAsia="Times New Roman" w:hAnsi="Times New Roman"/>
          <w:sz w:val="22"/>
          <w:szCs w:val="22"/>
        </w:rPr>
        <w:t xml:space="preserve">Steps 1 to 7 finish the model. Step 8 is where the three report files first exist — see §1.1 for what each of them may and may not contain, and document 15 for building them.</w:t>
      </w:r>
    </w:p>
    <w:p>
      <w:pPr>
        <w:pStyle w:val="ListParagraph"/>
        <w:numPr>
          <w:ilvl w:val="0"/>
          <w:numId w:val="9"/>
        </w:numPr>
        <w:spacing w:after="60" w:line="276"/>
      </w:pPr>
      <w:r>
        <w:rPr>
          <w:rFonts w:ascii="Times New Roman" w:cs="Times New Roman" w:eastAsia="Times New Roman" w:hAnsi="Times New Roman"/>
          <w:sz w:val="22"/>
          <w:szCs w:val="22"/>
        </w:rPr>
        <w:t xml:space="preserve">Save the model file as RetailEconomics_Model.pbip inside the clone’s pbip/ folder. Keep it to one blank page — this file is a model, not a report.</w:t>
      </w:r>
    </w:p>
    <w:p>
      <w:pPr>
        <w:pStyle w:val="ListParagraph"/>
        <w:numPr>
          <w:ilvl w:val="0"/>
          <w:numId w:val="9"/>
        </w:numPr>
        <w:spacing w:after="60" w:line="276"/>
      </w:pPr>
      <w:r>
        <w:rPr>
          <w:rFonts w:ascii="Times New Roman" w:cs="Times New Roman" w:eastAsia="Times New Roman" w:hAnsi="Times New Roman"/>
          <w:sz w:val="22"/>
          <w:szCs w:val="22"/>
        </w:rPr>
        <w:t xml:space="preserve">Publish it to the Power BI Pro workspace.</w:t>
      </w:r>
    </w:p>
    <w:p>
      <w:pPr>
        <w:pStyle w:val="ListParagraph"/>
        <w:numPr>
          <w:ilvl w:val="0"/>
          <w:numId w:val="9"/>
        </w:numPr>
        <w:spacing w:after="60" w:line="276"/>
      </w:pPr>
      <w:r>
        <w:rPr>
          <w:rFonts w:ascii="Times New Roman" w:cs="Times New Roman" w:eastAsia="Times New Roman" w:hAnsi="Times New Roman"/>
          <w:sz w:val="22"/>
          <w:szCs w:val="22"/>
        </w:rPr>
        <w:t xml:space="preserve">Install the on-premises data gateway in personal mode on the machine hosting SQL Server.</w:t>
      </w:r>
    </w:p>
    <w:p>
      <w:pPr>
        <w:pStyle w:val="ListParagraph"/>
        <w:numPr>
          <w:ilvl w:val="0"/>
          <w:numId w:val="9"/>
        </w:numPr>
        <w:spacing w:after="60" w:line="276"/>
      </w:pPr>
      <w:r>
        <w:rPr>
          <w:rFonts w:ascii="Times New Roman" w:cs="Times New Roman" w:eastAsia="Times New Roman" w:hAnsi="Times New Roman"/>
          <w:sz w:val="22"/>
          <w:szCs w:val="22"/>
        </w:rPr>
        <w:t xml:space="preserve">In the Service, open the semantic model settings → Gateway and cloud connections. Map the SQL Server source to the gateway with Windows or SQL authentication.</w:t>
      </w:r>
    </w:p>
    <w:p>
      <w:pPr>
        <w:pStyle w:val="ListParagraph"/>
        <w:numPr>
          <w:ilvl w:val="0"/>
          <w:numId w:val="9"/>
        </w:numPr>
        <w:spacing w:after="60" w:line="276"/>
      </w:pPr>
      <w:r>
        <w:rPr>
          <w:rFonts w:ascii="Times New Roman" w:cs="Times New Roman" w:eastAsia="Times New Roman" w:hAnsi="Times New Roman"/>
          <w:sz w:val="22"/>
          <w:szCs w:val="22"/>
        </w:rPr>
        <w:t xml:space="preserve">Map api.census.gov and fred.stlouisfed.org with Anonymous authentication. These do not route through the gateway.</w:t>
      </w:r>
    </w:p>
    <w:p>
      <w:pPr>
        <w:pStyle w:val="ListParagraph"/>
        <w:numPr>
          <w:ilvl w:val="0"/>
          <w:numId w:val="9"/>
        </w:numPr>
        <w:spacing w:after="60" w:line="276"/>
      </w:pPr>
      <w:r>
        <w:rPr>
          <w:rFonts w:ascii="Times New Roman" w:cs="Times New Roman" w:eastAsia="Times New Roman" w:hAnsi="Times New Roman"/>
          <w:sz w:val="22"/>
          <w:szCs w:val="22"/>
        </w:rPr>
        <w:t xml:space="preserve">Map RefMappings.xlsx to the gateway, using the same UNC path as pRefMappingsPath and Windows authentication. The personal gateway reaches it only while this machine is on and signed in; moving the workbook to OneDrive or SharePoint removes that dependency entirely.</w:t>
      </w:r>
    </w:p>
    <w:p>
      <w:pPr>
        <w:pStyle w:val="ListParagraph"/>
        <w:numPr>
          <w:ilvl w:val="0"/>
          <w:numId w:val="9"/>
        </w:numPr>
        <w:spacing w:after="60" w:line="276"/>
      </w:pPr>
      <w:r>
        <w:rPr>
          <w:rFonts w:ascii="Times New Roman" w:cs="Times New Roman" w:eastAsia="Times New Roman" w:hAnsi="Times New Roman"/>
          <w:sz w:val="22"/>
          <w:szCs w:val="22"/>
        </w:rPr>
        <w:t xml:space="preserve">Set the refresh schedule. Twice weekly is sufficient: MARTS advance estimates arrive mid-month, FRED follows its source agencies, and the county file updates monthly.</w:t>
      </w:r>
    </w:p>
    <w:p>
      <w:pPr>
        <w:pStyle w:val="ListParagraph"/>
        <w:numPr>
          <w:ilvl w:val="0"/>
          <w:numId w:val="9"/>
        </w:numPr>
        <w:spacing w:after="60" w:line="276"/>
      </w:pPr>
      <w:r>
        <w:rPr>
          <w:rFonts w:ascii="Times New Roman" w:cs="Times New Roman" w:eastAsia="Times New Roman" w:hAnsi="Times New Roman"/>
          <w:sz w:val="22"/>
          <w:szCs w:val="22"/>
        </w:rPr>
        <w:t xml:space="preserve">Open a new Desktop file → Get data → Power BI semantic models → select the published model. Build R1. Save as pbip/R1_Retail_Sector_Health. Repeat for R2 and R3.</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reports are never republished when a measure changes.  </w:t>
      </w:r>
      <w:r>
        <w:rPr>
          <w:rFonts w:ascii="Times New Roman" w:cs="Times New Roman" w:eastAsia="Times New Roman" w:hAnsi="Times New Roman"/>
          <w:sz w:val="21"/>
          <w:szCs w:val="21"/>
        </w:rPr>
        <w:t xml:space="preserve">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pPr>
        <w:pStyle w:val="Heading1"/>
        <w:spacing w:after="160" w:before="360"/>
      </w:pPr>
      <w:r>
        <w:rPr>
          <w:rFonts w:ascii="Times New Roman" w:cs="Times New Roman" w:eastAsia="Times New Roman" w:hAnsi="Times New Roman"/>
          <w:b/>
          <w:bCs/>
          <w:color w:val="1F3864"/>
          <w:sz w:val="30"/>
          <w:szCs w:val="30"/>
        </w:rPr>
        <w:t xml:space="preserve">11.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Symptom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Cause and fix</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valid key must be included with each data API request”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pCensusKey is empty or misspelled in the Query record. Every Census Data API call needs a key.</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refreshes in Desktop, fails in the Service</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dynamic data source. The URL is being built by concatenation somewhere. Rewrite it using Web.Contents with RelativePath and Query (§3.6) and re-check Data source settings.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 loads but Value is blank for one series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series ID is wrong, or FRED changed the CSV shape. fnGetFredSeries renames positionally, so a header change is survivable — a wrong ID is not. Open the fredgraph URL in a browser to confirm.</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 labels sort alphabetically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MonthYear has no sort-by column. Set it to DateKey (§7.3 item 2).</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time-intelligence measure returns blank</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 was not marked as a date table, or the relationship is on the wrong column.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BULK INSERT: “Cannot bulk load”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SQL Server service account cannot read C:\Data. Use the Import Flat File wizard instead (§5.4).</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Staged and loaded row counts differ</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Rows failed the date predicate or a dimension join. Query the staging table for rows whose YEAR or MONTH will not convert, and for ITEM CODE values absent from DimItem.</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Survival figures look wrong after a reload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§5.8 was not re-run. Check 12 in §9 catches this.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stops short of 100%</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ranking context and the total context disagree. Both ADDCOLUMNS calls must use the same ALLSELECTED grain.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slicer shows a blank entry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unmatched mapping. Run §6.4 for categories; for item types, the merge in §6.3 fills unmatched values with “Unmapped” so they are visible rather than blank.</w:t>
            </w:r>
          </w:p>
        </w:tc>
      </w:tr>
    </w:tbl>
    <w:p>
      <w:pPr>
        <w:pStyle w:val="Heading1"/>
        <w:spacing w:after="160" w:before="360"/>
      </w:pPr>
      <w:r>
        <w:rPr>
          <w:rFonts w:ascii="Times New Roman" w:cs="Times New Roman" w:eastAsia="Times New Roman" w:hAnsi="Times New Roman"/>
          <w:b/>
          <w:bCs/>
          <w:color w:val="1F3864"/>
          <w:sz w:val="30"/>
          <w:szCs w:val="30"/>
        </w:rPr>
        <w:t xml:space="preserve">12. References</w:t>
      </w:r>
    </w:p>
    <w:p>
      <w:pPr>
        <w:spacing w:after="120" w:line="276"/>
      </w:pPr>
      <w:r>
        <w:rPr>
          <w:rFonts w:ascii="Times New Roman" w:cs="Times New Roman" w:eastAsia="Times New Roman" w:hAnsi="Times New Roman"/>
          <w:sz w:val="22"/>
          <w:szCs w:val="22"/>
        </w:rPr>
        <w:t xml:space="preserve">Every URL below was verified against the live page in September 2026. Microsoft documentation is cited as direct Microsoft Learn links only.</w:t>
      </w:r>
    </w:p>
    <w:p>
      <w:pPr>
        <w:pStyle w:val="Heading2"/>
        <w:spacing w:after="120" w:before="280"/>
      </w:pPr>
      <w:r>
        <w:rPr>
          <w:rFonts w:ascii="Times New Roman" w:cs="Times New Roman" w:eastAsia="Times New Roman" w:hAnsi="Times New Roman"/>
          <w:b/>
          <w:bCs/>
          <w:color w:val="2E5496"/>
          <w:sz w:val="25"/>
          <w:szCs w:val="25"/>
        </w:rPr>
        <w:t xml:space="preserve">12.1 Data Sources</w:t>
      </w:r>
    </w:p>
    <w:p>
      <w:pPr>
        <w:spacing w:after="80" w:line="276"/>
      </w:pPr>
      <w:r>
        <w:rPr>
          <w:rFonts w:ascii="Times New Roman" w:cs="Times New Roman" w:eastAsia="Times New Roman" w:hAnsi="Times New Roman"/>
          <w:sz w:val="21"/>
          <w:szCs w:val="21"/>
        </w:rPr>
        <w:t xml:space="preserve">U.S. Census Bureau — About the Monthly Retail Trade Surveys — </w:t>
      </w:r>
      <w:hyperlink w:history="1" r:id="rIdiwm-fxtp-p_gux5nugvbq">
        <w:r>
          <w:rPr>
            <w:rFonts w:ascii="Times New Roman" w:cs="Times New Roman" w:eastAsia="Times New Roman" w:hAnsi="Times New Roman"/>
            <w:color w:val="0563C1"/>
            <w:sz w:val="21"/>
            <w:szCs w:val="21"/>
            <w:u w:val="single"/>
          </w:rPr>
          <w:t xml:space="preserve">https://www.census.gov/retail/about_the_surveys.html</w:t>
        </w:r>
      </w:hyperlink>
    </w:p>
    <w:p>
      <w:pPr>
        <w:spacing w:after="80" w:line="276"/>
      </w:pPr>
      <w:r>
        <w:rPr>
          <w:rFonts w:ascii="Times New Roman" w:cs="Times New Roman" w:eastAsia="Times New Roman" w:hAnsi="Times New Roman"/>
          <w:sz w:val="21"/>
          <w:szCs w:val="21"/>
        </w:rPr>
        <w:t xml:space="preserve">Census Data API — MARTS time series endpoint — </w:t>
      </w:r>
      <w:hyperlink w:history="1" r:id="rIdzugezjmum_hpfbmaobabj">
        <w:r>
          <w:rPr>
            <w:rFonts w:ascii="Times New Roman" w:cs="Times New Roman" w:eastAsia="Times New Roman" w:hAnsi="Times New Roman"/>
            <w:color w:val="0563C1"/>
            <w:sz w:val="21"/>
            <w:szCs w:val="21"/>
            <w:u w:val="single"/>
          </w:rPr>
          <w:t xml:space="preserve">https://api.census.gov/data/timeseries/eits/marts.html</w:t>
        </w:r>
      </w:hyperlink>
    </w:p>
    <w:p>
      <w:pPr>
        <w:spacing w:after="80" w:line="276"/>
      </w:pPr>
      <w:r>
        <w:rPr>
          <w:rFonts w:ascii="Times New Roman" w:cs="Times New Roman" w:eastAsia="Times New Roman" w:hAnsi="Times New Roman"/>
          <w:sz w:val="21"/>
          <w:szCs w:val="21"/>
        </w:rPr>
        <w:t xml:space="preserve">Census Data API — MARTS variables — </w:t>
      </w:r>
      <w:hyperlink w:history="1" r:id="rIdafk7agyxrp3yranlhlxmi">
        <w:r>
          <w:rPr>
            <w:rFonts w:ascii="Times New Roman" w:cs="Times New Roman" w:eastAsia="Times New Roman" w:hAnsi="Times New Roman"/>
            <w:color w:val="0563C1"/>
            <w:sz w:val="21"/>
            <w:szCs w:val="21"/>
            <w:u w:val="single"/>
          </w:rPr>
          <w:t xml:space="preserve">https://api.census.gov/data/timeseries/eits/marts/variables.html</w:t>
        </w:r>
      </w:hyperlink>
    </w:p>
    <w:p>
      <w:pPr>
        <w:spacing w:after="80" w:line="276"/>
      </w:pPr>
      <w:r>
        <w:rPr>
          <w:rFonts w:ascii="Times New Roman" w:cs="Times New Roman" w:eastAsia="Times New Roman" w:hAnsi="Times New Roman"/>
          <w:sz w:val="21"/>
          <w:szCs w:val="21"/>
        </w:rPr>
        <w:t xml:space="preserve">Census Data API — key signup — </w:t>
      </w:r>
      <w:hyperlink w:history="1" r:id="rIdjrudpij241y5ckua-homo">
        <w:r>
          <w:rPr>
            <w:rFonts w:ascii="Times New Roman" w:cs="Times New Roman" w:eastAsia="Times New Roman" w:hAnsi="Times New Roman"/>
            <w:color w:val="0563C1"/>
            <w:sz w:val="21"/>
            <w:szCs w:val="21"/>
            <w:u w:val="single"/>
          </w:rPr>
          <w:t xml:space="preserve">https://api.census.gov/data/key_signup.html</w:t>
        </w:r>
      </w:hyperlink>
    </w:p>
    <w:p>
      <w:pPr>
        <w:spacing w:after="80" w:line="276"/>
      </w:pPr>
      <w:r>
        <w:rPr>
          <w:rFonts w:ascii="Times New Roman" w:cs="Times New Roman" w:eastAsia="Times New Roman" w:hAnsi="Times New Roman"/>
          <w:sz w:val="21"/>
          <w:szCs w:val="21"/>
        </w:rPr>
        <w:t xml:space="preserve">Federal Reserve Economic Data (FRED) — </w:t>
      </w:r>
      <w:hyperlink w:history="1" r:id="rIdkm38ygrjcty0y0ysakgyq">
        <w:r>
          <w:rPr>
            <w:rFonts w:ascii="Times New Roman" w:cs="Times New Roman" w:eastAsia="Times New Roman" w:hAnsi="Times New Roman"/>
            <w:color w:val="0563C1"/>
            <w:sz w:val="21"/>
            <w:szCs w:val="21"/>
            <w:u w:val="single"/>
          </w:rPr>
          <w:t xml:space="preserve">https://fred.stlouisfed.org/</w:t>
        </w:r>
      </w:hyperlink>
    </w:p>
    <w:p>
      <w:pPr>
        <w:spacing w:after="80" w:line="276"/>
      </w:pPr>
      <w:r>
        <w:rPr>
          <w:rFonts w:ascii="Times New Roman" w:cs="Times New Roman" w:eastAsia="Times New Roman" w:hAnsi="Times New Roman"/>
          <w:sz w:val="21"/>
          <w:szCs w:val="21"/>
        </w:rPr>
        <w:t xml:space="preserve">Montgomery County, MD — Warehouse and Retail Sales (data.gov) — </w:t>
      </w:r>
      <w:hyperlink w:history="1" r:id="rId2r78o2v0uwyc8xw3xff_8">
        <w:r>
          <w:rPr>
            <w:rFonts w:ascii="Times New Roman" w:cs="Times New Roman" w:eastAsia="Times New Roman" w:hAnsi="Times New Roman"/>
            <w:color w:val="0563C1"/>
            <w:sz w:val="21"/>
            <w:szCs w:val="21"/>
            <w:u w:val="single"/>
          </w:rPr>
          <w:t xml:space="preserve">https://catalog.data.gov/dataset/warehouse-and-retail-sales</w:t>
        </w:r>
      </w:hyperlink>
    </w:p>
    <w:p>
      <w:pPr>
        <w:spacing w:after="80" w:line="276"/>
      </w:pPr>
      <w:r>
        <w:rPr>
          <w:rFonts w:ascii="Times New Roman" w:cs="Times New Roman" w:eastAsia="Times New Roman" w:hAnsi="Times New Roman"/>
          <w:sz w:val="21"/>
          <w:szCs w:val="21"/>
        </w:rPr>
        <w:t xml:space="preserve">Montgomery County open data portal — dataset v76h-r7br — </w:t>
      </w:r>
      <w:hyperlink w:history="1" r:id="rIdvbvraqy3bkil5hdjl2bik">
        <w:r>
          <w:rPr>
            <w:rFonts w:ascii="Times New Roman" w:cs="Times New Roman" w:eastAsia="Times New Roman" w:hAnsi="Times New Roman"/>
            <w:color w:val="0563C1"/>
            <w:sz w:val="21"/>
            <w:szCs w:val="21"/>
            <w:u w:val="single"/>
          </w:rPr>
          <w:t xml:space="preserve">https://data.montgomerycountymd.gov/Community-Recreation/Warehouse-and-Retail-Sales/v76h-r7br</w:t>
        </w:r>
      </w:hyperlink>
    </w:p>
    <w:p>
      <w:pPr>
        <w:spacing w:after="80" w:line="276"/>
      </w:pPr>
      <w:r>
        <w:rPr>
          <w:rFonts w:ascii="Times New Roman" w:cs="Times New Roman" w:eastAsia="Times New Roman" w:hAnsi="Times New Roman"/>
          <w:sz w:val="21"/>
          <w:szCs w:val="21"/>
        </w:rPr>
        <w:t xml:space="preserve">Montgomery County — column metadata, the source of the “cases” definition — </w:t>
      </w:r>
      <w:hyperlink w:history="1" r:id="rIdedc0fp2inmate2ptlsbf5">
        <w:r>
          <w:rPr>
            <w:rFonts w:ascii="Times New Roman" w:cs="Times New Roman" w:eastAsia="Times New Roman" w:hAnsi="Times New Roman"/>
            <w:color w:val="0563C1"/>
            <w:sz w:val="21"/>
            <w:szCs w:val="21"/>
            <w:u w:val="single"/>
          </w:rPr>
          <w:t xml:space="preserve">https://data.montgomerycountymd.gov/api/views/v76h-r7br/columns.json</w:t>
        </w:r>
      </w:hyperlink>
    </w:p>
    <w:p>
      <w:pPr>
        <w:pStyle w:val="Heading2"/>
        <w:spacing w:after="120" w:before="280"/>
      </w:pPr>
      <w:r>
        <w:rPr>
          <w:rFonts w:ascii="Times New Roman" w:cs="Times New Roman" w:eastAsia="Times New Roman" w:hAnsi="Times New Roman"/>
          <w:b/>
          <w:bCs/>
          <w:color w:val="2E5496"/>
          <w:sz w:val="25"/>
          <w:szCs w:val="25"/>
        </w:rPr>
        <w:t xml:space="preserve">12.2 Microsoft Documentation</w:t>
      </w:r>
    </w:p>
    <w:p>
      <w:pPr>
        <w:spacing w:after="80" w:line="276"/>
      </w:pPr>
      <w:r>
        <w:rPr>
          <w:rFonts w:ascii="Times New Roman" w:cs="Times New Roman" w:eastAsia="Times New Roman" w:hAnsi="Times New Roman"/>
          <w:sz w:val="21"/>
          <w:szCs w:val="21"/>
        </w:rPr>
        <w:t xml:space="preserve">Web.Contents — Power Query M reference (§3.5, §3.6, §4.2) — </w:t>
      </w:r>
      <w:hyperlink w:history="1" r:id="rIdupdyorziirceeucjtvgwl">
        <w:r>
          <w:rPr>
            <w:rFonts w:ascii="Times New Roman" w:cs="Times New Roman" w:eastAsia="Times New Roman" w:hAnsi="Times New Roman"/>
            <w:color w:val="0563C1"/>
            <w:sz w:val="21"/>
            <w:szCs w:val="21"/>
            <w:u w:val="single"/>
          </w:rPr>
          <w:t xml:space="preserve">https://learn.microsoft.com/en-us/powerquery-m/web-contents</w:t>
        </w:r>
      </w:hyperlink>
    </w:p>
    <w:p>
      <w:pPr>
        <w:spacing w:after="80" w:line="276"/>
      </w:pPr>
      <w:r>
        <w:rPr>
          <w:rFonts w:ascii="Times New Roman" w:cs="Times New Roman" w:eastAsia="Times New Roman" w:hAnsi="Times New Roman"/>
          <w:sz w:val="21"/>
          <w:szCs w:val="21"/>
        </w:rPr>
        <w:t xml:space="preserve">Json.Document — Power Query M reference (§3.4, §3.5) — </w:t>
      </w:r>
      <w:hyperlink w:history="1" r:id="rId69erf0cupyd3e8zlkezrl">
        <w:r>
          <w:rPr>
            <w:rFonts w:ascii="Times New Roman" w:cs="Times New Roman" w:eastAsia="Times New Roman" w:hAnsi="Times New Roman"/>
            <w:color w:val="0563C1"/>
            <w:sz w:val="21"/>
            <w:szCs w:val="21"/>
            <w:u w:val="single"/>
          </w:rPr>
          <w:t xml:space="preserve">https://learn.microsoft.com/en-us/powerquery-m/json-document</w:t>
        </w:r>
      </w:hyperlink>
    </w:p>
    <w:p>
      <w:pPr>
        <w:spacing w:after="80" w:line="276"/>
      </w:pPr>
      <w:r>
        <w:rPr>
          <w:rFonts w:ascii="Times New Roman" w:cs="Times New Roman" w:eastAsia="Times New Roman" w:hAnsi="Times New Roman"/>
          <w:sz w:val="21"/>
          <w:szCs w:val="21"/>
        </w:rPr>
        <w:t xml:space="preserve">Data refresh — Refresh and dynamic data sources (§3.6) — </w:t>
      </w:r>
      <w:hyperlink w:history="1" r:id="rId452o4hjk7zybqdogfzkld">
        <w:r>
          <w:rPr>
            <w:rFonts w:ascii="Times New Roman" w:cs="Times New Roman" w:eastAsia="Times New Roman" w:hAnsi="Times New Roman"/>
            <w:color w:val="0563C1"/>
            <w:sz w:val="21"/>
            <w:szCs w:val="21"/>
            <w:u w:val="single"/>
          </w:rPr>
          <w:t xml:space="preserve">https://learn.microsoft.com/en-us/power-bi/connect-data/refresh-data#refresh-and-dynamic-data-sources</w:t>
        </w:r>
      </w:hyperlink>
    </w:p>
    <w:p>
      <w:pPr>
        <w:spacing w:after="80" w:line="276"/>
      </w:pPr>
      <w:r>
        <w:rPr>
          <w:rFonts w:ascii="Times New Roman" w:cs="Times New Roman" w:eastAsia="Times New Roman" w:hAnsi="Times New Roman"/>
          <w:sz w:val="21"/>
          <w:szCs w:val="21"/>
        </w:rPr>
        <w:t xml:space="preserve">Parameters — Power Query (§3.1) — </w:t>
      </w:r>
      <w:hyperlink w:history="1" r:id="rIdchgvecl3gcpqtxwfcbrrf">
        <w:r>
          <w:rPr>
            <w:rFonts w:ascii="Times New Roman" w:cs="Times New Roman" w:eastAsia="Times New Roman" w:hAnsi="Times New Roman"/>
            <w:color w:val="0563C1"/>
            <w:sz w:val="21"/>
            <w:szCs w:val="21"/>
            <w:u w:val="single"/>
          </w:rPr>
          <w:t xml:space="preserve">https://learn.microsoft.com/en-us/power-query/power-query-query-parameters</w:t>
        </w:r>
      </w:hyperlink>
    </w:p>
    <w:p>
      <w:pPr>
        <w:spacing w:after="80" w:line="276"/>
      </w:pPr>
      <w:r>
        <w:rPr>
          <w:rFonts w:ascii="Times New Roman" w:cs="Times New Roman" w:eastAsia="Times New Roman" w:hAnsi="Times New Roman"/>
          <w:sz w:val="21"/>
          <w:szCs w:val="21"/>
        </w:rPr>
        <w:t xml:space="preserve">Power Query SQL Server connector (§5.11) — </w:t>
      </w:r>
      <w:hyperlink w:history="1" r:id="rId-spkwdk5zibpfy8rerqct">
        <w:r>
          <w:rPr>
            <w:rFonts w:ascii="Times New Roman" w:cs="Times New Roman" w:eastAsia="Times New Roman" w:hAnsi="Times New Roman"/>
            <w:color w:val="0563C1"/>
            <w:sz w:val="21"/>
            <w:szCs w:val="21"/>
            <w:u w:val="single"/>
          </w:rPr>
          <w:t xml:space="preserve">https://learn.microsoft.com/en-us/power-query/connectors/sql-server</w:t>
        </w:r>
      </w:hyperlink>
    </w:p>
    <w:p>
      <w:pPr>
        <w:spacing w:after="80" w:line="276"/>
      </w:pPr>
      <w:r>
        <w:rPr>
          <w:rFonts w:ascii="Times New Roman" w:cs="Times New Roman" w:eastAsia="Times New Roman" w:hAnsi="Times New Roman"/>
          <w:sz w:val="21"/>
          <w:szCs w:val="21"/>
        </w:rPr>
        <w:t xml:space="preserve">Understand star schema and the importance for Power BI (§7) — </w:t>
      </w:r>
      <w:hyperlink w:history="1" r:id="rId7pg4hediqu5wsvk0buqpa">
        <w:r>
          <w:rPr>
            <w:rFonts w:ascii="Times New Roman" w:cs="Times New Roman" w:eastAsia="Times New Roman" w:hAnsi="Times New Roman"/>
            <w:color w:val="0563C1"/>
            <w:sz w:val="21"/>
            <w:szCs w:val="21"/>
            <w:u w:val="single"/>
          </w:rPr>
          <w:t xml:space="preserve">https://learn.microsoft.com/en-us/power-bi/guidance/star-schema</w:t>
        </w:r>
      </w:hyperlink>
    </w:p>
    <w:p>
      <w:pPr>
        <w:spacing w:after="80" w:line="276"/>
      </w:pPr>
      <w:r>
        <w:rPr>
          <w:rFonts w:ascii="Times New Roman" w:cs="Times New Roman" w:eastAsia="Times New Roman" w:hAnsi="Times New Roman"/>
          <w:sz w:val="21"/>
          <w:szCs w:val="21"/>
        </w:rPr>
        <w:t xml:space="preserve">CALENDAR function — DAX — </w:t>
      </w:r>
      <w:hyperlink w:history="1" r:id="rIdelhyhqjrkubzl9avlsv9j">
        <w:r>
          <w:rPr>
            <w:rFonts w:ascii="Times New Roman" w:cs="Times New Roman" w:eastAsia="Times New Roman" w:hAnsi="Times New Roman"/>
            <w:color w:val="0563C1"/>
            <w:sz w:val="21"/>
            <w:szCs w:val="21"/>
            <w:u w:val="single"/>
          </w:rPr>
          <w:t xml:space="preserve">https://learn.microsoft.com/en-us/dax/calendar-function-dax</w:t>
        </w:r>
      </w:hyperlink>
    </w:p>
    <w:p>
      <w:pPr>
        <w:spacing w:after="80" w:line="276"/>
      </w:pPr>
      <w:r>
        <w:rPr>
          <w:rFonts w:ascii="Times New Roman" w:cs="Times New Roman" w:eastAsia="Times New Roman" w:hAnsi="Times New Roman"/>
          <w:sz w:val="21"/>
          <w:szCs w:val="21"/>
        </w:rPr>
        <w:t xml:space="preserve">On-premises data gateway (§10) — </w:t>
      </w:r>
      <w:hyperlink w:history="1" r:id="rIdqbdvf8ksvfsjmno0wlysx">
        <w:r>
          <w:rPr>
            <w:rFonts w:ascii="Times New Roman" w:cs="Times New Roman" w:eastAsia="Times New Roman" w:hAnsi="Times New Roman"/>
            <w:color w:val="0563C1"/>
            <w:sz w:val="21"/>
            <w:szCs w:val="21"/>
            <w:u w:val="single"/>
          </w:rPr>
          <w:t xml:space="preserve">https://learn.microsoft.com/en-us/power-bi/connect-data/service-gateway-onprem</w:t>
        </w:r>
      </w:hyperlink>
    </w:p>
    <w:p>
      <w:pPr>
        <w:spacing w:after="80" w:line="276"/>
      </w:pPr>
      <w:r>
        <w:rPr>
          <w:rFonts w:ascii="Times New Roman" w:cs="Times New Roman" w:eastAsia="Times New Roman" w:hAnsi="Times New Roman"/>
          <w:sz w:val="21"/>
          <w:szCs w:val="21"/>
        </w:rPr>
        <w:t xml:space="preserve">Connect to semantic models in the Power BI service from Power BI Desktop (§10) — </w:t>
      </w:r>
      <w:hyperlink w:history="1" r:id="rIdoxog1biocjaknp5cddny3">
        <w:r>
          <w:rPr>
            <w:rFonts w:ascii="Times New Roman" w:cs="Times New Roman" w:eastAsia="Times New Roman" w:hAnsi="Times New Roman"/>
            <w:color w:val="0563C1"/>
            <w:sz w:val="21"/>
            <w:szCs w:val="21"/>
            <w:u w:val="single"/>
          </w:rPr>
          <w:t xml:space="preserve">https://learn.microsoft.com/en-us/power-bi/connect-data/desktop-report-lifecycle-datasets</w:t>
        </w:r>
      </w:hyperlink>
    </w:p>
    <w:p>
      <w:pPr>
        <w:spacing w:after="80" w:line="276"/>
      </w:pPr>
      <w:r>
        <w:rPr>
          <w:rFonts w:ascii="Times New Roman" w:cs="Times New Roman" w:eastAsia="Times New Roman" w:hAnsi="Times New Roman"/>
          <w:sz w:val="21"/>
          <w:szCs w:val="21"/>
        </w:rPr>
        <w:t xml:space="preserve">Configure incremental refresh for Power BI semantic models — </w:t>
      </w:r>
      <w:hyperlink w:history="1" r:id="rIdl0gar3rgqzar8tp92qy-h">
        <w:r>
          <w:rPr>
            <w:rFonts w:ascii="Times New Roman" w:cs="Times New Roman" w:eastAsia="Times New Roman" w:hAnsi="Times New Roman"/>
            <w:color w:val="0563C1"/>
            <w:sz w:val="21"/>
            <w:szCs w:val="21"/>
            <w:u w:val="single"/>
          </w:rPr>
          <w:t xml:space="preserve">https://learn.microsoft.com/en-us/power-bi/connect-data/incremental-refresh-overview</w:t>
        </w:r>
      </w:hyperlink>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dynamic-data-source rule is the one to read before building.  </w:t>
      </w:r>
      <w:r>
        <w:rPr>
          <w:rFonts w:ascii="Times New Roman" w:cs="Times New Roman" w:eastAsia="Times New Roman" w:hAnsi="Times New Roman"/>
          <w:sz w:val="21"/>
          <w:szCs w:val="21"/>
        </w:rPr>
        <w:t xml:space="preserve">Section 3.6 rests entirely on the refresh article above. It is the difference between a model that refreshes in the Service and one that passes every test in Desktop and then fails after publication.</w:t>
      </w:r>
    </w:p>
    <w:p>
      <w:pPr>
        <w:pStyle w:val="Heading1"/>
        <w:spacing w:after="160" w:before="360"/>
      </w:pPr>
      <w:r>
        <w:rPr>
          <w:rFonts w:ascii="Times New Roman" w:cs="Times New Roman" w:eastAsia="Times New Roman" w:hAnsi="Times New Roman"/>
          <w:b/>
          <w:bCs/>
          <w:color w:val="1F3864"/>
          <w:sz w:val="30"/>
          <w:szCs w:val="30"/>
        </w:rPr>
        <w:t xml:space="preserve">13. AI Assistance Disclosure</w:t>
      </w:r>
    </w:p>
    <w:p>
      <w:pPr>
        <w:spacing w:after="120" w:line="276"/>
      </w:pPr>
      <w:r>
        <w:rPr>
          <w:rFonts w:ascii="Times New Roman" w:cs="Times New Roman" w:eastAsia="Times New Roman" w:hAnsi="Times New Roman"/>
          <w:sz w:val="22"/>
          <w:szCs w:val="22"/>
        </w:rPr>
        <w:t xml:space="preserve">Portions of this document were drafted with the assistance of a generative AI system. The author defined the project scope, selected and vetted the data sources, and reviewed all technical content prior to publication.</w:t>
      </w:r>
    </w:p>
    <w:p>
      <w:pPr>
        <w:spacing w:after="120" w:line="276"/>
      </w:pPr>
      <w:r>
        <w:rPr>
          <w:rFonts w:ascii="Times New Roman" w:cs="Times New Roman" w:eastAsia="Times New Roman" w:hAnsi="Times New Roman"/>
          <w:sz w:val="22"/>
          <w:szCs w:val="22"/>
        </w:rPr>
        <w:t xml:space="preserve">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wm-fxtp-p_gux5nugvbq" Type="http://schemas.openxmlformats.org/officeDocument/2006/relationships/hyperlink" Target="https://www.census.gov/retail/about_the_surveys.html" TargetMode="External"/><Relationship Id="rIdzugezjmum_hpfbmaobabj" Type="http://schemas.openxmlformats.org/officeDocument/2006/relationships/hyperlink" Target="https://api.census.gov/data/timeseries/eits/marts.html" TargetMode="External"/><Relationship Id="rIdafk7agyxrp3yranlhlxmi" Type="http://schemas.openxmlformats.org/officeDocument/2006/relationships/hyperlink" Target="https://api.census.gov/data/timeseries/eits/marts/variables.html" TargetMode="External"/><Relationship Id="rIdjrudpij241y5ckua-homo" Type="http://schemas.openxmlformats.org/officeDocument/2006/relationships/hyperlink" Target="https://api.census.gov/data/key_signup.html" TargetMode="External"/><Relationship Id="rIdkm38ygrjcty0y0ysakgyq" Type="http://schemas.openxmlformats.org/officeDocument/2006/relationships/hyperlink" Target="https://fred.stlouisfed.org/" TargetMode="External"/><Relationship Id="rId2r78o2v0uwyc8xw3xff_8" Type="http://schemas.openxmlformats.org/officeDocument/2006/relationships/hyperlink" Target="https://catalog.data.gov/dataset/warehouse-and-retail-sales" TargetMode="External"/><Relationship Id="rIdvbvraqy3bkil5hdjl2bik" Type="http://schemas.openxmlformats.org/officeDocument/2006/relationships/hyperlink" Target="https://data.montgomerycountymd.gov/Community-Recreation/Warehouse-and-Retail-Sales/v76h-r7br" TargetMode="External"/><Relationship Id="rIdedc0fp2inmate2ptlsbf5" Type="http://schemas.openxmlformats.org/officeDocument/2006/relationships/hyperlink" Target="https://data.montgomerycountymd.gov/api/views/v76h-r7br/columns.json" TargetMode="External"/><Relationship Id="rIdupdyorziirceeucjtvgwl" Type="http://schemas.openxmlformats.org/officeDocument/2006/relationships/hyperlink" Target="https://learn.microsoft.com/en-us/powerquery-m/web-contents" TargetMode="External"/><Relationship Id="rId69erf0cupyd3e8zlkezrl" Type="http://schemas.openxmlformats.org/officeDocument/2006/relationships/hyperlink" Target="https://learn.microsoft.com/en-us/powerquery-m/json-document" TargetMode="External"/><Relationship Id="rId452o4hjk7zybqdogfzkld" Type="http://schemas.openxmlformats.org/officeDocument/2006/relationships/hyperlink" Target="https://learn.microsoft.com/en-us/power-bi/connect-data/refresh-data#refresh-and-dynamic-data-sources" TargetMode="External"/><Relationship Id="rIdchgvecl3gcpqtxwfcbrrf" Type="http://schemas.openxmlformats.org/officeDocument/2006/relationships/hyperlink" Target="https://learn.microsoft.com/en-us/power-query/power-query-query-parameters" TargetMode="External"/><Relationship Id="rId-spkwdk5zibpfy8rerqct" Type="http://schemas.openxmlformats.org/officeDocument/2006/relationships/hyperlink" Target="https://learn.microsoft.com/en-us/power-query/connectors/sql-server" TargetMode="External"/><Relationship Id="rId7pg4hediqu5wsvk0buqpa" Type="http://schemas.openxmlformats.org/officeDocument/2006/relationships/hyperlink" Target="https://learn.microsoft.com/en-us/power-bi/guidance/star-schema" TargetMode="External"/><Relationship Id="rIdelhyhqjrkubzl9avlsv9j" Type="http://schemas.openxmlformats.org/officeDocument/2006/relationships/hyperlink" Target="https://learn.microsoft.com/en-us/dax/calendar-function-dax" TargetMode="External"/><Relationship Id="rIdqbdvf8ksvfsjmno0wlysx" Type="http://schemas.openxmlformats.org/officeDocument/2006/relationships/hyperlink" Target="https://learn.microsoft.com/en-us/power-bi/connect-data/service-gateway-onprem" TargetMode="External"/><Relationship Id="rIdoxog1biocjaknp5cddny3" Type="http://schemas.openxmlformats.org/officeDocument/2006/relationships/hyperlink" Target="https://learn.microsoft.com/en-us/power-bi/connect-data/desktop-report-lifecycle-datasets" TargetMode="External"/><Relationship Id="rIdl0gar3rgqzar8tp92qy-h" Type="http://schemas.openxmlformats.org/officeDocument/2006/relationships/hyperlink" Target="https://learn.microsoft.com/en-us/power-bi/connect-data/incremental-refresh-overview" TargetMode="External"/><Relationship Id="rId7" Type="http://schemas.openxmlformats.org/officeDocument/2006/relationships/image" Target="media/110aef2feea7f01d7d7985ad81a5f11054afe586.png"/><Relationship Id="rId8" Type="http://schemas.openxmlformats.org/officeDocument/2006/relationships/image" Target="media/9e8d1be328b527d293337615eef52d4ac7071067.png"/><Relationship Id="rId9" Type="http://schemas.openxmlformats.org/officeDocument/2006/relationships/image" Target="media/3d69cb134dc824afb5105e3b3cbcc2fda7f57258.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2026-09-21T21:59:13.974Z</dcterms:created>
  <dcterms:modified xsi:type="dcterms:W3CDTF">2026-09-21T21:59:13.975Z</dcterms:modified>
</cp:coreProperties>
</file>

<file path=docProps/custom.xml><?xml version="1.0" encoding="utf-8"?>
<Properties xmlns="http://schemas.openxmlformats.org/officeDocument/2006/custom-properties" xmlns:vt="http://schemas.openxmlformats.org/officeDocument/2006/docPropsVTypes"/>
</file>