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DOCUMENT 00</w:t>
      </w:r>
    </w:p>
    <w:p>
      <w:pPr>
        <w:spacing w:after="60"/>
      </w:pPr>
      <w:r>
        <w:rPr>
          <w:rFonts w:ascii="Times New Roman" w:cs="Times New Roman" w:eastAsia="Times New Roman" w:hAnsi="Times New Roman"/>
          <w:b/>
          <w:bCs/>
          <w:color w:val="1F3864"/>
          <w:sz w:val="30"/>
          <w:szCs w:val="30"/>
        </w:rPr>
        <w:t xml:space="preserve">Development Environment and Source Control Setup Guide</w:t>
      </w:r>
    </w:p>
    <w:p>
      <w:pPr>
        <w:spacing w:after="120"/>
      </w:pPr>
      <w:r>
        <w:rPr>
          <w:rFonts w:ascii="Times New Roman" w:cs="Times New Roman" w:eastAsia="Times New Roman" w:hAnsi="Times New Roman"/>
          <w:color w:val="2E5496"/>
          <w:sz w:val="26"/>
          <w:szCs w:val="26"/>
        </w:rPr>
        <w:t xml:space="preserve">Local Development, Version Control and the PBIP Workflow for a Shared Model with Three Thin Reports</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All project roles. No prior Git or GitHub experience assumed.</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PBI-MACRO-001</w:t>
      </w:r>
    </w:p>
    <w:p>
      <w:pPr>
        <w:spacing w:after="240" w:line="276"/>
      </w:pPr>
      <w:r>
        <w:rPr>
          <w:rFonts w:ascii="Times New Roman" w:cs="Times New Roman" w:eastAsia="Times New Roman" w:hAnsi="Times New Roman"/>
          <w:i/>
          <w:iCs/>
          <w:sz w:val="20"/>
          <w:szCs w:val="20"/>
        </w:rPr>
        <w:t xml:space="preserve">Do this section before any other work on the project. The repository is created first and cloned second, and everything after that happens inside the clone. Three things make this project’s repository less ordinary than most: a relational warehouse means SQL scripts are version-controlled alongside the Power BI artifacts; four .pbix files ship rather than one, and three of them serialize differently from the fourth (§3.3); and there is a real secret in play, the Census API key, so §12 is not boilerplate.</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Purpose</w:t>
      </w:r>
    </w:p>
    <w:p>
      <w:pPr>
        <w:spacing w:after="120" w:line="276"/>
      </w:pPr>
      <w:r>
        <w:rPr>
          <w:rFonts w:ascii="Times New Roman" w:cs="Times New Roman" w:eastAsia="Times New Roman" w:hAnsi="Times New Roman"/>
          <w:sz w:val="22"/>
          <w:szCs w:val="22"/>
        </w:rPr>
        <w:t xml:space="preserve">This guide covers everything needed to develop the U.S. Retail Sector Health project on a local Windows machine and version-control it in a public GitHub repository: the numbered document set, the SQL scripts that build the warehouse, the Power Query and DAX source, the Power BI Project (PBIP) text files for one semantic model and three reports, the .pbix binaries, and the report screenshots. It establishes where each artifact lives, which tool puts it there, and what must never be committed.</w:t>
      </w:r>
    </w:p>
    <w:p>
      <w:pPr>
        <w:spacing w:after="120" w:line="276"/>
      </w:pPr>
      <w:r>
        <w:rPr>
          <w:rFonts w:ascii="Times New Roman" w:cs="Times New Roman" w:eastAsia="Times New Roman" w:hAnsi="Times New Roman"/>
          <w:sz w:val="22"/>
          <w:szCs w:val="22"/>
        </w:rPr>
        <w:t xml:space="preserve">Development happens locally. SQL Server 2025 Developer Edition runs on the same machine as Power BI Desktop, the repository is cloned to that machine, and every Power BI file is saved inside the clone so that work is version-controlled by default rather than by remembering to copy it somewhere.</w:t>
      </w:r>
    </w:p>
    <w:p>
      <w:pPr>
        <w:spacing w:after="120" w:line="276"/>
      </w:pPr>
      <w:r>
        <w:rPr>
          <w:rFonts w:ascii="Times New Roman" w:cs="Times New Roman" w:eastAsia="Times New Roman" w:hAnsi="Times New Roman"/>
          <w:b/>
          <w:bCs/>
          <w:sz w:val="22"/>
          <w:szCs w:val="22"/>
        </w:rPr>
        <w:t xml:space="preserve">This is document 00 because it precedes every other document in the set. </w:t>
      </w:r>
      <w:r>
        <w:rPr>
          <w:rFonts w:ascii="Times New Roman" w:cs="Times New Roman" w:eastAsia="Times New Roman" w:hAnsi="Times New Roman"/>
          <w:sz w:val="22"/>
          <w:szCs w:val="22"/>
        </w:rPr>
        <w:t xml:space="preserve">The repository is created and cloned before the first SQL script is written, before the first query is authored, and before the first .pbix is saved. Document 01 §7 Block 0 and document 02 §1 both point back here for that reason. Work produced outside the clone has to be relocated later, and its history collapses into a single bulk commit.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Why this matters for a portfolio</w:t>
            </w:r>
          </w:p>
          <w:p>
            <w:pPr>
              <w:spacing w:after="100" w:line="276"/>
            </w:pPr>
            <w:r>
              <w:rPr>
                <w:rFonts w:ascii="Times New Roman" w:cs="Times New Roman" w:eastAsia="Times New Roman" w:hAnsi="Times New Roman"/>
                <w:sz w:val="21"/>
                <w:szCs w:val="21"/>
              </w:rPr>
              <w:t xml:space="preserve">A public repository with a real commit history is itself a portfolio artifact. It shows a reviewer not only the finished reports but how the work was done — incremental commits, meaningful messages, and a disciplined separation of code from credentials.</w:t>
            </w:r>
          </w:p>
          <w:p>
            <w:pPr>
              <w:spacing w:after="0" w:line="276"/>
            </w:pPr>
            <w:r>
              <w:rPr>
                <w:rFonts w:ascii="Times New Roman" w:cs="Times New Roman" w:eastAsia="Times New Roman" w:hAnsi="Times New Roman"/>
                <w:sz w:val="21"/>
                <w:szCs w:val="21"/>
              </w:rPr>
              <w:t xml:space="preserve">For a Power BI project specifically, committing the PBIP text format rather than only the binary .pbix is a senior signal: DAX measure changes appear as reviewable line-by-line diffs, which is exactly how enterprise BI teams run source control. This project adds a second such signal — SQL DDL and the semantic model evolving together in the same commit history.</w:t>
            </w:r>
          </w:p>
        </w:tc>
      </w:tr>
    </w:tbl>
    <w:p>
      <w:pPr>
        <w:pStyle w:val="Heading1"/>
        <w:spacing w:after="160" w:before="360"/>
      </w:pPr>
      <w:r>
        <w:rPr>
          <w:rFonts w:ascii="Times New Roman" w:cs="Times New Roman" w:eastAsia="Times New Roman" w:hAnsi="Times New Roman"/>
          <w:b/>
          <w:bCs/>
          <w:color w:val="1F3864"/>
          <w:sz w:val="30"/>
          <w:szCs w:val="30"/>
        </w:rPr>
        <w:t xml:space="preserve">2. Concepts in Plain Language</w:t>
      </w:r>
    </w:p>
    <w:p>
      <w:pPr>
        <w:spacing w:after="120" w:line="276"/>
      </w:pPr>
      <w:r>
        <w:rPr>
          <w:rFonts w:ascii="Times New Roman" w:cs="Times New Roman" w:eastAsia="Times New Roman" w:hAnsi="Times New Roman"/>
          <w:sz w:val="22"/>
          <w:szCs w:val="22"/>
        </w:rPr>
        <w:t xml:space="preserve">Twelve terms cover everything this guide uses. The last two are specific to this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Term</w:t>
            </w:r>
          </w:p>
        </w:tc>
        <w:tc>
          <w:tcPr>
            <w:tcW w:type="dxa" w:w="711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Meaning</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Repository (repo)</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project folder whose entire history is tracked. Yours will be called retail-sector-health</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GitHub</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website that hosts a copy of your repo online and displays it to the world</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Local vs. remote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copy on your PC (local) versus the copy on GitHub (remote). You work locally, then sync</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Clone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Download the remote repo to your PC for the first time, keeping the link between the two</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Commit</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saved snapshot of your changes with a message describing them — the unit of history</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Push</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Send your local commits up to GitHub</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Pull</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Bring down changes from GitHub that are not on your PC yet</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Branch</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parallel line of work. main is the official line; you can experiment on a branch and merge back</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Pull request (PR)</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GitHub’s review step for merging a branch into main — overkill for solo work, shown once because interviewers ask</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.gitignore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list of file patterns Git must never track — where the data-redistribution and credential rules live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PBIP</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Project: a save format that writes the model and report out as readable text files instead of one binary blob</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Thin report</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report with no data model of its own, connected live to a published semantic model. Three of this project’s four .pbix files are thin reports</w:t>
            </w:r>
          </w:p>
        </w:tc>
      </w:tr>
    </w:tbl>
    <w:p>
      <w:pPr>
        <w:pStyle w:val="Heading1"/>
        <w:spacing w:after="160" w:before="360"/>
      </w:pPr>
      <w:r>
        <w:rPr>
          <w:rFonts w:ascii="Times New Roman" w:cs="Times New Roman" w:eastAsia="Times New Roman" w:hAnsi="Times New Roman"/>
          <w:b/>
          <w:bCs/>
          <w:color w:val="1F3864"/>
          <w:sz w:val="30"/>
          <w:szCs w:val="30"/>
        </w:rPr>
        <w:t xml:space="preserve">3. Repository Design</w:t>
      </w:r>
    </w:p>
    <w:p>
      <w:pPr>
        <w:pStyle w:val="Heading2"/>
        <w:spacing w:after="120" w:before="280"/>
      </w:pPr>
      <w:r>
        <w:rPr>
          <w:rFonts w:ascii="Times New Roman" w:cs="Times New Roman" w:eastAsia="Times New Roman" w:hAnsi="Times New Roman"/>
          <w:b/>
          <w:bCs/>
          <w:color w:val="2E5496"/>
          <w:sz w:val="25"/>
          <w:szCs w:val="25"/>
        </w:rPr>
        <w:t xml:space="preserve">3.1 Structure (single repository)</w:t>
      </w:r>
    </w:p>
    <w:p>
      <w:pPr>
        <w:spacing w:after="120" w:line="276"/>
      </w:pPr>
      <w:r>
        <w:rPr>
          <w:rFonts w:ascii="Times New Roman" w:cs="Times New Roman" w:eastAsia="Times New Roman" w:hAnsi="Times New Roman"/>
          <w:sz w:val="22"/>
          <w:szCs w:val="22"/>
        </w:rPr>
        <w:t xml:space="preserve">One repository holds the whole project — documents, SQL, Power Query, DAX, both Power BI serializations, and screenshots.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X:\retail-sector-health\        (the clone of github.com/EvyLynne/retail-sector-health)</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README.md              &lt;- portfolio landing page (Section 11)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CONTRIBUTING.md        &lt;- workflow distillation (Appendix 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.gitignore             &lt;- data &amp; credential exclusions (Section 4.3)</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LICENSE                &lt;- MIT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docs/                  &lt;- numbered set: 00 . 01 . 02 . 12 . 13 . 14 . 15 . 20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sql/                   &lt;- warehouse build scripts, run in order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|-- 01_create_database.sql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|-- 02_staging_table.sql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|-- 03_profiling_queries.sql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|-- 04_dimensions.sql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|-- 05_fact_and_proc.sql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|-- 06_item_lifecycle.sql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|-- 07_indexes.sql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\-- 08_presentation_views.sql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powerquery/            &lt;- M source, one file per query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fnGetFredSeries.m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FactMacro.m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FactSectorSales.m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DimCategory.m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dax/                   &lt;- measure catalog by display folder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|-- 01_macro.dax ... 10_seasonality.dax</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pbip/                  &lt;- diffable text form of all four files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RetailEconomics_Model/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R1_Retail_Sector_Health/</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R2_Consumer_Stress/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R3_Assortment_Supplier/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pbix/                  &lt;- the four binaries, refreshed at milestones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reference/             &lt;- RefMappings.xlsx (analyst-maintained mappings)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theme/                 &lt;- one theme .json per report (Appendix C.8)</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assets/                &lt;- 10 page screenshots + model-view screenshot</w:t>
      </w:r>
    </w:p>
    <w:p>
      <w:pPr>
        <w:pStyle w:val="ListParagraph"/>
        <w:numPr>
          <w:ilvl w:val="0"/>
          <w:numId w:val="2"/>
        </w:numPr>
        <w:spacing w:after="60" w:line="276"/>
      </w:pPr>
      <w:r>
        <w:rPr>
          <w:rFonts w:ascii="Times New Roman" w:cs="Times New Roman" w:eastAsia="Times New Roman" w:hAnsi="Times New Roman"/>
          <w:sz w:val="22"/>
          <w:szCs w:val="22"/>
        </w:rPr>
        <w:t xml:space="preserve">pbix/ and pbip/ are deliberate twins. The .pbix files are what a recruiter double-clicks; pbip/ is the text serialization Git can actually diff. Section 9 keeps PBIP current; pbix/ is refreshed at milestones (Section 11).</w:t>
      </w:r>
    </w:p>
    <w:p>
      <w:pPr>
        <w:pStyle w:val="ListParagraph"/>
        <w:numPr>
          <w:ilvl w:val="0"/>
          <w:numId w:val="2"/>
        </w:numPr>
        <w:spacing w:after="60" w:line="276"/>
      </w:pPr>
      <w:r>
        <w:rPr>
          <w:rFonts w:ascii="Times New Roman" w:cs="Times New Roman" w:eastAsia="Times New Roman" w:hAnsi="Times New Roman"/>
          <w:sz w:val="22"/>
          <w:szCs w:val="22"/>
        </w:rPr>
        <w:t xml:space="preserve">sql/ is numbered because the scripts must run in that order on a fresh machine. This is the one folder where the numbering is an instruction rather than a filing convention.</w:t>
      </w:r>
    </w:p>
    <w:p>
      <w:pPr>
        <w:pStyle w:val="ListParagraph"/>
        <w:numPr>
          <w:ilvl w:val="0"/>
          <w:numId w:val="2"/>
        </w:numPr>
        <w:spacing w:after="60" w:line="276"/>
      </w:pPr>
      <w:r>
        <w:rPr>
          <w:rFonts w:ascii="Times New Roman" w:cs="Times New Roman" w:eastAsia="Times New Roman" w:hAnsi="Times New Roman"/>
          <w:sz w:val="22"/>
          <w:szCs w:val="22"/>
        </w:rPr>
        <w:t xml:space="preserve">Naming rule: if a human reads it in lifecycle sequence, it is numbered and lives in docs/; if a system consumes it, it keeps a functional name in its purpose folder. Never renumber system-referenced artifacts.</w:t>
      </w:r>
    </w:p>
    <w:p>
      <w:pPr>
        <w:pStyle w:val="Heading2"/>
        <w:spacing w:after="120" w:before="280"/>
      </w:pPr>
      <w:r>
        <w:rPr>
          <w:rFonts w:ascii="Times New Roman" w:cs="Times New Roman" w:eastAsia="Times New Roman" w:hAnsi="Times New Roman"/>
          <w:b/>
          <w:bCs/>
          <w:color w:val="2E5496"/>
          <w:sz w:val="25"/>
          <w:szCs w:val="25"/>
        </w:rPr>
        <w:t xml:space="preserve">3.2 Visibility: public</w:t>
      </w:r>
    </w:p>
    <w:p>
      <w:pPr>
        <w:spacing w:after="120" w:line="276"/>
      </w:pPr>
      <w:r>
        <w:rPr>
          <w:rFonts w:ascii="Times New Roman" w:cs="Times New Roman" w:eastAsia="Times New Roman" w:hAnsi="Times New Roman"/>
          <w:sz w:val="22"/>
          <w:szCs w:val="22"/>
        </w:rPr>
        <w:t xml:space="preserve">The repository is public as a portfolio showcase. Two consequences follow. The exclusion rules in Section 4.3 are non-negotiable, because anything committed to a public repository is published to the internet permanently — Git history preserves deleted files. And the Montgomery County CSV is never committed; the README links to the source instead. This keeps the repository lean and sidesteps redistribution questions entirely, and anyone can rebuild by downloading the file from the linked source.</w:t>
      </w:r>
    </w:p>
    <w:p>
      <w:pPr>
        <w:pStyle w:val="Heading2"/>
        <w:spacing w:after="120" w:before="280"/>
      </w:pPr>
      <w:r>
        <w:rPr>
          <w:rFonts w:ascii="Times New Roman" w:cs="Times New Roman" w:eastAsia="Times New Roman" w:hAnsi="Times New Roman"/>
          <w:b/>
          <w:bCs/>
          <w:color w:val="2E5496"/>
          <w:sz w:val="25"/>
          <w:szCs w:val="25"/>
        </w:rPr>
        <w:t xml:space="preserve">3.3 Four Power BI Files, Two Serializations</w:t>
      </w:r>
    </w:p>
    <w:p>
      <w:pPr>
        <w:spacing w:after="120" w:line="276"/>
      </w:pPr>
      <w:r>
        <w:rPr>
          <w:rFonts w:ascii="Times New Roman" w:cs="Times New Roman" w:eastAsia="Times New Roman" w:hAnsi="Times New Roman"/>
          <w:sz w:val="22"/>
          <w:szCs w:val="22"/>
        </w:rPr>
        <w:t xml:space="preserve">This project ships four .pbix files. Understanding what each one contains is what makes the rest of this guide make sense.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4680"/>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File</w:t>
            </w:r>
          </w:p>
        </w:tc>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Contains</w:t>
            </w:r>
          </w:p>
        </w:tc>
        <w:tc>
          <w:tcPr>
            <w:tcW w:type="dxa" w:w="468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Serializes to</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RetailEconomics_Model.pbix</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 Power Query, all relationships, the full measure library. One blank page.</w:t>
            </w:r>
          </w:p>
        </w:tc>
        <w:tc>
          <w:tcPr>
            <w:tcW w:type="dxa" w:w="468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.SemanticModel folder of TMDL text plus a nearly empty .Report folder</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R1_Retail_Sector_Health.pbix</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Three report pages. No data model.</w:t>
            </w:r>
          </w:p>
        </w:tc>
        <w:tc>
          <w:tcPr>
            <w:tcW w:type="dxa" w:w="468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.Report folder only — the model is referenced by connection, not embedded</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R2_Consumer_Stress.pbix</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Three report pages. No data model.</w:t>
            </w:r>
          </w:p>
        </w:tc>
        <w:tc>
          <w:tcPr>
            <w:tcW w:type="dxa" w:w="468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.Report folder only</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R3_Assortment_Supplier.pbix</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Four report pages. No data model.</w:t>
            </w:r>
          </w:p>
        </w:tc>
        <w:tc>
          <w:tcPr>
            <w:tcW w:type="dxa" w:w="468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.Report folder only</w:t>
            </w:r>
          </w:p>
        </w:tc>
      </w:tr>
    </w:tbl>
    <w:p>
      <w:pPr>
        <w:spacing w:after="200" w:before="40"/>
      </w:pPr>
      <w:r>
        <w:rPr>
          <w:rFonts w:ascii="Times New Roman" w:cs="Times New Roman" w:eastAsia="Times New Roman" w:hAnsi="Times New Roman"/>
          <w:i/>
          <w:iCs/>
          <w:color w:val="595959"/>
          <w:sz w:val="19"/>
          <w:szCs w:val="19"/>
        </w:rPr>
        <w:t xml:space="preserve">Table 3.1 — The four files and how each serializes under PBIP.</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three reports have no semantic model of their own.  </w:t>
      </w:r>
      <w:r>
        <w:rPr>
          <w:rFonts w:ascii="Times New Roman" w:cs="Times New Roman" w:eastAsia="Times New Roman" w:hAnsi="Times New Roman"/>
          <w:sz w:val="21"/>
          <w:szCs w:val="21"/>
        </w:rPr>
        <w:t xml:space="preserve">Because they are live-connected, their PBIP output carries a report definition and a pointer to the published semantic model — there is no TMDL to diff in those three folders. All measure diffs live in pbip/RetailEconomics_Model/. That is correct and is the whole point of the pattern: one definition of every measure, in one place, with one history.</w:t>
      </w:r>
    </w:p>
    <w:p>
      <w:pPr>
        <w:pStyle w:val="Heading1"/>
        <w:spacing w:after="160" w:before="360"/>
      </w:pPr>
      <w:r>
        <w:rPr>
          <w:rFonts w:ascii="Times New Roman" w:cs="Times New Roman" w:eastAsia="Times New Roman" w:hAnsi="Times New Roman"/>
          <w:b/>
          <w:bCs/>
          <w:color w:val="1F3864"/>
          <w:sz w:val="30"/>
          <w:szCs w:val="30"/>
        </w:rPr>
        <w:t xml:space="preserve">4. Create the GitHub Account and Repository</w:t>
      </w:r>
    </w:p>
    <w:p>
      <w:pPr>
        <w:pStyle w:val="Heading2"/>
        <w:spacing w:after="120" w:before="280"/>
      </w:pPr>
      <w:r>
        <w:rPr>
          <w:rFonts w:ascii="Times New Roman" w:cs="Times New Roman" w:eastAsia="Times New Roman" w:hAnsi="Times New Roman"/>
          <w:b/>
          <w:bCs/>
          <w:color w:val="2E5496"/>
          <w:sz w:val="25"/>
          <w:szCs w:val="25"/>
        </w:rPr>
        <w:t xml:space="preserve">4.1 Account</w:t>
      </w:r>
    </w:p>
    <w:p>
      <w:pPr>
        <w:spacing w:after="120" w:line="276"/>
      </w:pPr>
      <w:r>
        <w:rPr>
          <w:rFonts w:ascii="Times New Roman" w:cs="Times New Roman" w:eastAsia="Times New Roman" w:hAnsi="Times New Roman"/>
          <w:sz w:val="22"/>
          <w:szCs w:val="22"/>
        </w:rPr>
        <w:t xml:space="preserve">If the account already exists from an earlier project, skip to 4.2 — this project lives on the same account, one professional profile with several pinned repositories. Otherwise:</w:t>
      </w:r>
    </w:p>
    <w:p>
      <w:pPr>
        <w:pStyle w:val="ListParagraph"/>
        <w:numPr>
          <w:ilvl w:val="0"/>
          <w:numId w:val="3"/>
        </w:numPr>
        <w:spacing w:after="60" w:line="276"/>
      </w:pPr>
      <w:r>
        <w:rPr>
          <w:rFonts w:ascii="Times New Roman" w:cs="Times New Roman" w:eastAsia="Times New Roman" w:hAnsi="Times New Roman"/>
          <w:sz w:val="22"/>
          <w:szCs w:val="22"/>
        </w:rPr>
        <w:t xml:space="preserve">Go to github.com and choose Sign up. Use a professional username; it appears in the portfolio URL.</w:t>
      </w:r>
    </w:p>
    <w:p>
      <w:pPr>
        <w:pStyle w:val="ListParagraph"/>
        <w:numPr>
          <w:ilvl w:val="0"/>
          <w:numId w:val="3"/>
        </w:numPr>
        <w:spacing w:after="60" w:line="276"/>
      </w:pPr>
      <w:r>
        <w:rPr>
          <w:rFonts w:ascii="Times New Roman" w:cs="Times New Roman" w:eastAsia="Times New Roman" w:hAnsi="Times New Roman"/>
          <w:sz w:val="22"/>
          <w:szCs w:val="22"/>
        </w:rPr>
        <w:t xml:space="preserve">Verify the email address when prompted.</w:t>
      </w:r>
    </w:p>
    <w:p>
      <w:pPr>
        <w:pStyle w:val="ListParagraph"/>
        <w:numPr>
          <w:ilvl w:val="0"/>
          <w:numId w:val="3"/>
        </w:numPr>
        <w:spacing w:after="60" w:line="276"/>
      </w:pPr>
      <w:r>
        <w:rPr>
          <w:rFonts w:ascii="Times New Roman" w:cs="Times New Roman" w:eastAsia="Times New Roman" w:hAnsi="Times New Roman"/>
          <w:sz w:val="22"/>
          <w:szCs w:val="22"/>
        </w:rPr>
        <w:t xml:space="preserve">Turn on two-factor authentication: profile photo (top right) → Settings → Password and authentication → Enable 2FA. An authenticator app is recommended.</w:t>
      </w:r>
    </w:p>
    <w:p>
      <w:pPr>
        <w:pStyle w:val="Heading2"/>
        <w:spacing w:after="120" w:before="280"/>
      </w:pPr>
      <w:r>
        <w:rPr>
          <w:rFonts w:ascii="Times New Roman" w:cs="Times New Roman" w:eastAsia="Times New Roman" w:hAnsi="Times New Roman"/>
          <w:b/>
          <w:bCs/>
          <w:color w:val="2E5496"/>
          <w:sz w:val="25"/>
          <w:szCs w:val="25"/>
        </w:rPr>
        <w:t xml:space="preserve">4.2 Create the repository</w:t>
      </w:r>
    </w:p>
    <w:p>
      <w:pPr>
        <w:pStyle w:val="ListParagraph"/>
        <w:numPr>
          <w:ilvl w:val="0"/>
          <w:numId w:val="4"/>
        </w:numPr>
        <w:spacing w:after="60" w:line="276"/>
      </w:pPr>
      <w:r>
        <w:rPr>
          <w:rFonts w:ascii="Times New Roman" w:cs="Times New Roman" w:eastAsia="Times New Roman" w:hAnsi="Times New Roman"/>
          <w:sz w:val="22"/>
          <w:szCs w:val="22"/>
        </w:rPr>
        <w:t xml:space="preserve">Top-right “+” → New repository.</w:t>
      </w:r>
    </w:p>
    <w:p>
      <w:pPr>
        <w:pStyle w:val="ListParagraph"/>
        <w:numPr>
          <w:ilvl w:val="0"/>
          <w:numId w:val="4"/>
        </w:numPr>
        <w:spacing w:after="60" w:line="276"/>
      </w:pPr>
      <w:r>
        <w:rPr>
          <w:rFonts w:ascii="Times New Roman" w:cs="Times New Roman" w:eastAsia="Times New Roman" w:hAnsi="Times New Roman"/>
          <w:sz w:val="22"/>
          <w:szCs w:val="22"/>
        </w:rPr>
        <w:t xml:space="preserve">Repository name: retail-sector-health. Description: “Three Power BI reports on one shared semantic model: Census MARTS API, FRED macro series, and a 330K-row SQL Server warehouse of item-level retail movement.”</w:t>
      </w:r>
    </w:p>
    <w:p>
      <w:pPr>
        <w:pStyle w:val="ListParagraph"/>
        <w:numPr>
          <w:ilvl w:val="0"/>
          <w:numId w:val="4"/>
        </w:numPr>
        <w:spacing w:after="60" w:line="276"/>
      </w:pPr>
      <w:r>
        <w:rPr>
          <w:rFonts w:ascii="Times New Roman" w:cs="Times New Roman" w:eastAsia="Times New Roman" w:hAnsi="Times New Roman"/>
          <w:sz w:val="22"/>
          <w:szCs w:val="22"/>
        </w:rPr>
        <w:t xml:space="preserve">Visibility: Public.</w:t>
      </w:r>
    </w:p>
    <w:p>
      <w:pPr>
        <w:pStyle w:val="ListParagraph"/>
        <w:numPr>
          <w:ilvl w:val="0"/>
          <w:numId w:val="4"/>
        </w:numPr>
        <w:spacing w:after="60" w:line="276"/>
      </w:pPr>
      <w:r>
        <w:rPr>
          <w:rFonts w:ascii="Times New Roman" w:cs="Times New Roman" w:eastAsia="Times New Roman" w:hAnsi="Times New Roman"/>
          <w:sz w:val="22"/>
          <w:szCs w:val="22"/>
        </w:rPr>
        <w:t xml:space="preserve">Tick “Add a README file”. For “Add .gitignore” choose None — the project supplies its own in 4.3. Licence: MIT.</w:t>
      </w:r>
    </w:p>
    <w:p>
      <w:pPr>
        <w:pStyle w:val="ListParagraph"/>
        <w:numPr>
          <w:ilvl w:val="0"/>
          <w:numId w:val="4"/>
        </w:numPr>
        <w:spacing w:after="60" w:line="276"/>
      </w:pPr>
      <w:r>
        <w:rPr>
          <w:rFonts w:ascii="Times New Roman" w:cs="Times New Roman" w:eastAsia="Times New Roman" w:hAnsi="Times New Roman"/>
          <w:sz w:val="22"/>
          <w:szCs w:val="22"/>
        </w:rPr>
        <w:t xml:space="preserve">Click Create repository. The remote now exists with one file.</w:t>
      </w:r>
    </w:p>
    <w:p>
      <w:pPr>
        <w:pStyle w:val="Heading2"/>
        <w:spacing w:after="120" w:before="280"/>
      </w:pPr>
      <w:r>
        <w:rPr>
          <w:rFonts w:ascii="Times New Roman" w:cs="Times New Roman" w:eastAsia="Times New Roman" w:hAnsi="Times New Roman"/>
          <w:b/>
          <w:bCs/>
          <w:color w:val="2E5496"/>
          <w:sz w:val="25"/>
          <w:szCs w:val="25"/>
        </w:rPr>
        <w:t xml:space="preserve">4.3 Add the .gitignore before anything else</w:t>
      </w:r>
    </w:p>
    <w:p>
      <w:pPr>
        <w:spacing w:after="120" w:line="276"/>
      </w:pPr>
      <w:r>
        <w:rPr>
          <w:rFonts w:ascii="Times New Roman" w:cs="Times New Roman" w:eastAsia="Times New Roman" w:hAnsi="Times New Roman"/>
          <w:sz w:val="22"/>
          <w:szCs w:val="22"/>
        </w:rPr>
        <w:t xml:space="preserve">Do this before the first upload and before cloning. A file blocked by .gitignore was never tracked; a file removed afterwards stays in history forever.</w:t>
      </w:r>
    </w:p>
    <w:p>
      <w:pPr>
        <w:pStyle w:val="ListParagraph"/>
        <w:numPr>
          <w:ilvl w:val="0"/>
          <w:numId w:val="5"/>
        </w:numPr>
        <w:spacing w:after="60" w:line="276"/>
      </w:pPr>
      <w:r>
        <w:rPr>
          <w:rFonts w:ascii="Times New Roman" w:cs="Times New Roman" w:eastAsia="Times New Roman" w:hAnsi="Times New Roman"/>
          <w:sz w:val="22"/>
          <w:szCs w:val="22"/>
        </w:rPr>
        <w:t xml:space="preserve">On the repository page: Add file → Create new file → name it exactly .gitignore (leading dot, no extension).</w:t>
      </w:r>
    </w:p>
    <w:p>
      <w:pPr>
        <w:pStyle w:val="ListParagraph"/>
        <w:numPr>
          <w:ilvl w:val="0"/>
          <w:numId w:val="5"/>
        </w:numPr>
        <w:spacing w:after="60" w:line="276"/>
      </w:pPr>
      <w:r>
        <w:rPr>
          <w:rFonts w:ascii="Times New Roman" w:cs="Times New Roman" w:eastAsia="Times New Roman" w:hAnsi="Times New Roman"/>
          <w:sz w:val="22"/>
          <w:szCs w:val="22"/>
        </w:rPr>
        <w:t xml:space="preserve">Paste the contents below, then Commit changes with the message “Add gitignore”.</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 source data: linked, never redistributed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*.csv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*.tsv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warehouse_and_retail_sales*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credentials: the Census API key must never be tracked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*.env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secrets.json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**/apikey*.txt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Power BI local &amp; cache files (PBIP)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**/.pbi/localSettings.json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**/.pbi/cache.abf</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*.abf</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*.pbix.tmp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SQL Server artifacts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*.bak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*.mdf</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*.ldf</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*.trn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Office / OS clutter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*.tmp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Thumbs.db</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.DS_Store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Public-repo rules for this project</w:t>
            </w:r>
          </w:p>
          <w:p>
            <w:pPr>
              <w:spacing w:after="100" w:line="276"/>
            </w:pPr>
            <w:r>
              <w:rPr>
                <w:rFonts w:ascii="Times New Roman" w:cs="Times New Roman" w:eastAsia="Times New Roman" w:hAnsi="Times New Roman"/>
                <w:sz w:val="21"/>
                <w:szCs w:val="21"/>
              </w:rPr>
              <w:t xml:space="preserve">Never commit: the Montgomery County CSV (link to data.gov instead), the Census API key in any form, SQL Server backup or data files, or PBIP local-settings and cache files. The .gitignore blocks these, but it is a safety net, not the policy.</w:t>
            </w:r>
          </w:p>
          <w:p>
            <w:pPr>
              <w:spacing w:after="100" w:line="276"/>
            </w:pPr>
            <w:r>
              <w:rPr>
                <w:rFonts w:ascii="Times New Roman" w:cs="Times New Roman" w:eastAsia="Times New Roman" w:hAnsi="Times New Roman"/>
                <w:sz w:val="21"/>
                <w:szCs w:val="21"/>
              </w:rPr>
              <w:t xml:space="preserve">Note what is deliberately NOT ignored. The four .pbix files are committed on purpose in pbix/ — they are deliverables, not clutter. RefMappings.xlsx is committed in reference/ because it is analyst-authored mapping, not source data. All SQL scripts are committed; they contain schema, not rows.</w:t>
            </w:r>
          </w:p>
          <w:p>
            <w:pPr>
              <w:spacing w:after="0" w:line="276"/>
            </w:pPr>
            <w:r>
              <w:rPr>
                <w:rFonts w:ascii="Times New Roman" w:cs="Times New Roman" w:eastAsia="Times New Roman" w:hAnsi="Times New Roman"/>
                <w:sz w:val="21"/>
                <w:szCs w:val="21"/>
              </w:rPr>
              <w:t xml:space="preserve">If a credential is ever committed by accident, treat it as leaked: regenerate the Census key immediately. Deleting the file does not remove it from history.</w:t>
            </w:r>
          </w:p>
        </w:tc>
      </w:tr>
    </w:tbl>
    <w:p>
      <w:pPr>
        <w:pStyle w:val="Heading2"/>
        <w:spacing w:after="120" w:before="280"/>
      </w:pPr>
      <w:r>
        <w:rPr>
          <w:rFonts w:ascii="Times New Roman" w:cs="Times New Roman" w:eastAsia="Times New Roman" w:hAnsi="Times New Roman"/>
          <w:b/>
          <w:bCs/>
          <w:color w:val="2E5496"/>
          <w:sz w:val="25"/>
          <w:szCs w:val="25"/>
        </w:rPr>
        <w:t xml:space="preserve">4.4 Create the folder skeleton</w:t>
      </w:r>
    </w:p>
    <w:p>
      <w:pPr>
        <w:spacing w:after="120" w:line="276"/>
      </w:pPr>
      <w:r>
        <w:rPr>
          <w:rFonts w:ascii="Times New Roman" w:cs="Times New Roman" w:eastAsia="Times New Roman" w:hAnsi="Times New Roman"/>
          <w:sz w:val="22"/>
          <w:szCs w:val="22"/>
        </w:rPr>
        <w:t xml:space="preserve">GitHub cannot store an empty folder, so each one is created by creating a file inside it. Add file → Create new file → type docs/README.md (typing the slash creates the folder) → paste the matching README from Appendix C → Commit. Repeat for sql/, powerquery/, dax/, pbip/, pbix/, reference/, theme/ and assets/.</w:t>
      </w:r>
    </w:p>
    <w:p>
      <w:pPr>
        <w:spacing w:after="120" w:line="276"/>
      </w:pPr>
      <w:r>
        <w:rPr>
          <w:rFonts w:ascii="Times New Roman" w:cs="Times New Roman" w:eastAsia="Times New Roman" w:hAnsi="Times New Roman"/>
          <w:sz w:val="22"/>
          <w:szCs w:val="22"/>
        </w:rPr>
        <w:t xml:space="preserve">Use the Appendix C contents rather than a one-line placeholder. It is the same number of commits either way, and a folder README is the documentation a reviewer is most likely to read — it appears directly beneath the file list of whichever folder they happened to open.</w:t>
      </w:r>
    </w:p>
    <w:p>
      <w:pPr>
        <w:pStyle w:val="Heading1"/>
        <w:spacing w:after="160" w:before="360"/>
      </w:pPr>
      <w:r>
        <w:rPr>
          <w:rFonts w:ascii="Times New Roman" w:cs="Times New Roman" w:eastAsia="Times New Roman" w:hAnsi="Times New Roman"/>
          <w:b/>
          <w:bCs/>
          <w:color w:val="1F3864"/>
          <w:sz w:val="30"/>
          <w:szCs w:val="30"/>
        </w:rPr>
        <w:t xml:space="preserve">5. Clone the Repository — Before Any Other Work</w:t>
      </w:r>
    </w:p>
    <w:p>
      <w:pPr>
        <w:spacing w:after="120" w:line="276"/>
      </w:pPr>
      <w:r>
        <w:rPr>
          <w:rFonts w:ascii="Times New Roman" w:cs="Times New Roman" w:eastAsia="Times New Roman" w:hAnsi="Times New Roman"/>
          <w:sz w:val="22"/>
          <w:szCs w:val="22"/>
        </w:rPr>
        <w:t xml:space="preserve">The repository now exists on GitHub. Clone it before installing anything else, because the clone is where every file this project produces will live — SQL scripts, Power BI files, documents and screenshots. Work done outside the clone is not version-controlled, and moving it in afterwards loses the history that made the commit log worth having.</w:t>
      </w:r>
    </w:p>
    <w:p>
      <w:pPr>
        <w:pStyle w:val="ListParagraph"/>
        <w:numPr>
          <w:ilvl w:val="0"/>
          <w:numId w:val="6"/>
        </w:numPr>
        <w:spacing w:after="60" w:line="276"/>
      </w:pPr>
      <w:r>
        <w:rPr>
          <w:rFonts w:ascii="Times New Roman" w:cs="Times New Roman" w:eastAsia="Times New Roman" w:hAnsi="Times New Roman"/>
          <w:sz w:val="22"/>
          <w:szCs w:val="22"/>
        </w:rPr>
        <w:t xml:space="preserve">Go to desktop.github.com and click Download for Windows. GitHubDesktopSetup-x64.exe lands in Downloads.</w:t>
      </w:r>
    </w:p>
    <w:p>
      <w:pPr>
        <w:pStyle w:val="ListParagraph"/>
        <w:numPr>
          <w:ilvl w:val="0"/>
          <w:numId w:val="6"/>
        </w:numPr>
        <w:spacing w:after="60" w:line="276"/>
      </w:pPr>
      <w:r>
        <w:rPr>
          <w:rFonts w:ascii="Times New Roman" w:cs="Times New Roman" w:eastAsia="Times New Roman" w:hAnsi="Times New Roman"/>
          <w:sz w:val="22"/>
          <w:szCs w:val="22"/>
        </w:rPr>
        <w:t xml:space="preserve">Double-click it. There is no install wizard — it installs to your user profile and opens itself when finished.</w:t>
      </w:r>
    </w:p>
    <w:p>
      <w:pPr>
        <w:pStyle w:val="ListParagraph"/>
        <w:numPr>
          <w:ilvl w:val="0"/>
          <w:numId w:val="6"/>
        </w:numPr>
        <w:spacing w:after="60" w:line="276"/>
      </w:pPr>
      <w:r>
        <w:rPr>
          <w:rFonts w:ascii="Times New Roman" w:cs="Times New Roman" w:eastAsia="Times New Roman" w:hAnsi="Times New Roman"/>
          <w:sz w:val="22"/>
          <w:szCs w:val="22"/>
        </w:rPr>
        <w:t xml:space="preserve">On the welcome screen click Sign in to GitHub.com. The browser opens; sign in, approve the 2FA prompt, click Authorize desktop, and allow the browser to hand back to the app.</w:t>
      </w:r>
    </w:p>
    <w:p>
      <w:pPr>
        <w:pStyle w:val="ListParagraph"/>
        <w:numPr>
          <w:ilvl w:val="0"/>
          <w:numId w:val="6"/>
        </w:numPr>
        <w:spacing w:after="60" w:line="276"/>
      </w:pPr>
      <w:r>
        <w:rPr>
          <w:rFonts w:ascii="Times New Roman" w:cs="Times New Roman" w:eastAsia="Times New Roman" w:hAnsi="Times New Roman"/>
          <w:sz w:val="22"/>
          <w:szCs w:val="22"/>
        </w:rPr>
        <w:t xml:space="preserve">On the Configure Git screen, keep the suggested name and email and click Finish. This is what stamps your commits.</w:t>
      </w:r>
    </w:p>
    <w:p>
      <w:pPr>
        <w:pStyle w:val="ListParagraph"/>
        <w:numPr>
          <w:ilvl w:val="0"/>
          <w:numId w:val="6"/>
        </w:numPr>
        <w:spacing w:after="60" w:line="276"/>
      </w:pPr>
      <w:r>
        <w:rPr>
          <w:rFonts w:ascii="Times New Roman" w:cs="Times New Roman" w:eastAsia="Times New Roman" w:hAnsi="Times New Roman"/>
          <w:sz w:val="22"/>
          <w:szCs w:val="22"/>
        </w:rPr>
        <w:t xml:space="preserve">Clone: File → Clone repository → GitHub.com tab → select retail-sector-health → set the Local path to X:\retail-sector-health → Clone. Do not accept the default path; the working copy for this project lives on X:.</w:t>
      </w:r>
    </w:p>
    <w:p>
      <w:pPr>
        <w:pStyle w:val="ListParagraph"/>
        <w:numPr>
          <w:ilvl w:val="0"/>
          <w:numId w:val="6"/>
        </w:numPr>
        <w:spacing w:after="60" w:line="276"/>
      </w:pPr>
      <w:r>
        <w:rPr>
          <w:rFonts w:ascii="Times New Roman" w:cs="Times New Roman" w:eastAsia="Times New Roman" w:hAnsi="Times New Roman"/>
          <w:sz w:val="22"/>
          <w:szCs w:val="22"/>
        </w:rPr>
        <w:t xml:space="preserve">Verify: the app shows “No local changes” on branch main, and X:\retail-sector-health now contains the folder skeleton you created in §4.4. Every file this project produces from here on is saved inside that folder.</w:t>
      </w:r>
    </w:p>
    <w:p>
      <w:pPr>
        <w:pStyle w:val="ListParagraph"/>
        <w:numPr>
          <w:ilvl w:val="0"/>
          <w:numId w:val="6"/>
        </w:numPr>
        <w:spacing w:after="60" w:line="276"/>
      </w:pPr>
      <w:r>
        <w:rPr>
          <w:rFonts w:ascii="Times New Roman" w:cs="Times New Roman" w:eastAsia="Times New Roman" w:hAnsi="Times New Roman"/>
          <w:sz w:val="22"/>
          <w:szCs w:val="22"/>
        </w:rPr>
        <w:t xml:space="preserve">Verify: the app shows “No local changes” with Current branch main.</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Everything downstream assumes the clone exists.  </w:t>
      </w:r>
      <w:r>
        <w:rPr>
          <w:rFonts w:ascii="Times New Roman" w:cs="Times New Roman" w:eastAsia="Times New Roman" w:hAnsi="Times New Roman"/>
          <w:sz w:val="21"/>
          <w:szCs w:val="21"/>
        </w:rPr>
        <w:t xml:space="preserve">Document 02 builds the warehouse and the model, document 15 builds the reports, and both save their output into this folder. Running either before cloning means relocating files later and starting the history from a single bulk commit, which is precisely the thing a reviewer looks at the repository to avoid seeing.</w:t>
      </w:r>
    </w:p>
    <w:p>
      <w:pPr>
        <w:pStyle w:val="Heading1"/>
        <w:spacing w:after="160" w:before="360"/>
      </w:pPr>
      <w:r>
        <w:rPr>
          <w:rFonts w:ascii="Times New Roman" w:cs="Times New Roman" w:eastAsia="Times New Roman" w:hAnsi="Times New Roman"/>
          <w:b/>
          <w:bCs/>
          <w:color w:val="1F3864"/>
          <w:sz w:val="30"/>
          <w:szCs w:val="30"/>
        </w:rPr>
        <w:t xml:space="preserve">6. Local Development Environment</w:t>
      </w:r>
    </w:p>
    <w:p>
      <w:pPr>
        <w:spacing w:after="120" w:line="276"/>
      </w:pPr>
      <w:r>
        <w:rPr>
          <w:rFonts w:ascii="Times New Roman" w:cs="Times New Roman" w:eastAsia="Times New Roman" w:hAnsi="Times New Roman"/>
          <w:sz w:val="22"/>
          <w:szCs w:val="22"/>
        </w:rPr>
        <w:t xml:space="preserve">Everything is developed on one Windows machine. This section sets it up once.</w:t>
      </w:r>
    </w:p>
    <w:p>
      <w:pPr>
        <w:pStyle w:val="Heading2"/>
        <w:spacing w:after="120" w:before="280"/>
      </w:pPr>
      <w:r>
        <w:rPr>
          <w:rFonts w:ascii="Times New Roman" w:cs="Times New Roman" w:eastAsia="Times New Roman" w:hAnsi="Times New Roman"/>
          <w:b/>
          <w:bCs/>
          <w:color w:val="2E5496"/>
          <w:sz w:val="25"/>
          <w:szCs w:val="25"/>
        </w:rPr>
        <w:t xml:space="preserve">6.1 Install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872"/>
        <w:gridCol w:w="5054"/>
      </w:tblGrid>
      <w:tr>
        <w:trPr>
          <w:tblHeader/>
        </w:trPr>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Component</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c>
          <w:tcPr>
            <w:tcW w:type="dxa" w:w="505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Notes</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2025 Developer Edition</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microsoft.com/sql-server</w:t>
            </w:r>
          </w:p>
        </w:tc>
        <w:tc>
          <w:tcPr>
            <w:tcW w:type="dxa" w:w="505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Free, full Standard feature set, development and test only. Named instance BRUNO\MSSQLSERVER01.</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Management Studio 22</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microsoft.com/ssms</w:t>
            </w:r>
          </w:p>
        </w:tc>
        <w:tc>
          <w:tcPr>
            <w:tcW w:type="dxa" w:w="505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Free. Visual Studio 18 shell.</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 Store or download</w:t>
            </w:r>
          </w:p>
        </w:tc>
        <w:tc>
          <w:tcPr>
            <w:tcW w:type="dxa" w:w="505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64-bit, current release. The Store version updates itself, which is the fewer-surprises option.</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GitHub Desktop</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desktop.github.com</w:t>
            </w:r>
          </w:p>
        </w:tc>
        <w:tc>
          <w:tcPr>
            <w:tcW w:type="dxa" w:w="505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Installs to the user profile; no administrator rights needed.</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Git (optional)</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git-scm.com</w:t>
            </w:r>
          </w:p>
        </w:tc>
        <w:tc>
          <w:tcPr>
            <w:tcW w:type="dxa" w:w="505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Only if you prefer the command line. GitHub Desktop bundles what it needs.</w:t>
            </w:r>
          </w:p>
        </w:tc>
      </w:tr>
    </w:tbl>
    <w:p>
      <w:pPr>
        <w:pStyle w:val="Heading2"/>
        <w:spacing w:after="120" w:before="280"/>
      </w:pPr>
      <w:r>
        <w:rPr>
          <w:rFonts w:ascii="Times New Roman" w:cs="Times New Roman" w:eastAsia="Times New Roman" w:hAnsi="Times New Roman"/>
          <w:b/>
          <w:bCs/>
          <w:color w:val="2E5496"/>
          <w:sz w:val="25"/>
          <w:szCs w:val="25"/>
        </w:rPr>
        <w:t xml:space="preserve">6.2 The local folder layout</w:t>
      </w:r>
    </w:p>
    <w:p>
      <w:pPr>
        <w:spacing w:after="120" w:line="276"/>
      </w:pPr>
      <w:r>
        <w:rPr>
          <w:rFonts w:ascii="Times New Roman" w:cs="Times New Roman" w:eastAsia="Times New Roman" w:hAnsi="Times New Roman"/>
          <w:sz w:val="22"/>
          <w:szCs w:val="22"/>
        </w:rPr>
        <w:t xml:space="preserve">The clone lives at the GitHub Desktop default path. Two folders sit outside it deliberately.</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X:\retail-sector-health\                    &lt;- the repository working copy; all tracked work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C:\Data\RetailEconomics\                     &lt;- the county CSV; NOT in the repo</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C:\Users\&lt;You&gt;\Documents\Power BI Desktop\  &lt;- staging and scratch .pbix; not the working copy</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X: is a network or removable drive.  </w:t>
      </w:r>
      <w:r>
        <w:rPr>
          <w:rFonts w:ascii="Times New Roman" w:cs="Times New Roman" w:eastAsia="Times New Roman" w:hAnsi="Times New Roman"/>
          <w:sz w:val="21"/>
          <w:szCs w:val="21"/>
        </w:rPr>
        <w:t xml:space="preserve">Git works on a mapped network share but is noticeably slower, and GitHub Desktop occasionally reports file-lock errors mid-commit. If that happens, clone to a local path instead, work there, and copy the finished artifacts to X:\retail-sector-health as a publishing step rather than as the working copy. Nothing else in this guide changes.</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Save Power BI files inside the clone, not beside it.  </w:t>
      </w:r>
      <w:r>
        <w:rPr>
          <w:rFonts w:ascii="Times New Roman" w:cs="Times New Roman" w:eastAsia="Times New Roman" w:hAnsi="Times New Roman"/>
          <w:sz w:val="21"/>
          <w:szCs w:val="21"/>
        </w:rPr>
        <w:t xml:space="preserve">Files saved anywhere else are not version-controlled. This is the single most common beginner mistake, and it is silent — everything appears to work until a week of measure changes turns out to have no history. The .pbip files belong in the clone’s pbip/ folder and nowhere else.</w:t>
      </w:r>
    </w:p>
    <w:p>
      <w:pPr>
        <w:pStyle w:val="Heading2"/>
        <w:spacing w:after="120" w:before="280"/>
      </w:pPr>
      <w:r>
        <w:rPr>
          <w:rFonts w:ascii="Times New Roman" w:cs="Times New Roman" w:eastAsia="Times New Roman" w:hAnsi="Times New Roman"/>
          <w:b/>
          <w:bCs/>
          <w:color w:val="2E5496"/>
          <w:sz w:val="25"/>
          <w:szCs w:val="25"/>
        </w:rPr>
        <w:t xml:space="preserve">6.3 Build the warehouse locally</w:t>
      </w:r>
    </w:p>
    <w:p>
      <w:pPr>
        <w:pStyle w:val="ListParagraph"/>
        <w:numPr>
          <w:ilvl w:val="0"/>
          <w:numId w:val="7"/>
        </w:numPr>
        <w:spacing w:after="60" w:line="276"/>
      </w:pPr>
      <w:r>
        <w:rPr>
          <w:rFonts w:ascii="Times New Roman" w:cs="Times New Roman" w:eastAsia="Times New Roman" w:hAnsi="Times New Roman"/>
          <w:sz w:val="22"/>
          <w:szCs w:val="22"/>
        </w:rPr>
        <w:t xml:space="preserve">Download the county CSV to C:\Data\RetailEconomics\ — outside the repository, because .gitignore blocks it and it has no business being tracked.</w:t>
      </w:r>
    </w:p>
    <w:p>
      <w:pPr>
        <w:pStyle w:val="ListParagraph"/>
        <w:numPr>
          <w:ilvl w:val="0"/>
          <w:numId w:val="7"/>
        </w:numPr>
        <w:spacing w:after="60" w:line="276"/>
      </w:pPr>
      <w:r>
        <w:rPr>
          <w:rFonts w:ascii="Times New Roman" w:cs="Times New Roman" w:eastAsia="Times New Roman" w:hAnsi="Times New Roman"/>
          <w:sz w:val="22"/>
          <w:szCs w:val="22"/>
        </w:rPr>
        <w:t xml:space="preserve">Open SSMS 22 and connect to BRUNO\MSSQLSERVER01.</w:t>
      </w:r>
    </w:p>
    <w:p>
      <w:pPr>
        <w:pStyle w:val="ListParagraph"/>
        <w:numPr>
          <w:ilvl w:val="0"/>
          <w:numId w:val="7"/>
        </w:numPr>
        <w:spacing w:after="60" w:line="276"/>
      </w:pPr>
      <w:r>
        <w:rPr>
          <w:rFonts w:ascii="Times New Roman" w:cs="Times New Roman" w:eastAsia="Times New Roman" w:hAnsi="Times New Roman"/>
          <w:sz w:val="22"/>
          <w:szCs w:val="22"/>
        </w:rPr>
        <w:t xml:space="preserve">Run the scripts in sql/ in numeric order, 01 through 08. They create the database, land the CSV in staging, profile it, build the dimensions and fact, add the item lifecycle columns, index, and create the presentation views.</w:t>
      </w:r>
    </w:p>
    <w:p>
      <w:pPr>
        <w:pStyle w:val="ListParagraph"/>
        <w:numPr>
          <w:ilvl w:val="0"/>
          <w:numId w:val="7"/>
        </w:numPr>
        <w:spacing w:after="60" w:line="276"/>
      </w:pPr>
      <w:r>
        <w:rPr>
          <w:rFonts w:ascii="Times New Roman" w:cs="Times New Roman" w:eastAsia="Times New Roman" w:hAnsi="Times New Roman"/>
          <w:sz w:val="22"/>
          <w:szCs w:val="22"/>
        </w:rPr>
        <w:t xml:space="preserve">Re-run 06_item_lifecycle.sql after every reload of the fact table. The lifecycle columns are derived from it and go stale the moment it changes.</w:t>
      </w:r>
    </w:p>
    <w:p>
      <w:pPr>
        <w:pStyle w:val="ListParagraph"/>
        <w:numPr>
          <w:ilvl w:val="0"/>
          <w:numId w:val="7"/>
        </w:numPr>
        <w:spacing w:after="60" w:line="276"/>
      </w:pPr>
      <w:r>
        <w:rPr>
          <w:rFonts w:ascii="Times New Roman" w:cs="Times New Roman" w:eastAsia="Times New Roman" w:hAnsi="Times New Roman"/>
          <w:sz w:val="22"/>
          <w:szCs w:val="22"/>
        </w:rPr>
        <w:t xml:space="preserve">Verify: dw.FactItemMovement holds approximately 330,080 rows and the staged-versus-loaded reconciliation in 05 returns no unexplained gap.</w:t>
      </w:r>
    </w:p>
    <w:p>
      <w:pPr>
        <w:pStyle w:val="Heading1"/>
        <w:spacing w:after="160" w:before="360"/>
      </w:pPr>
      <w:r>
        <w:rPr>
          <w:rFonts w:ascii="Times New Roman" w:cs="Times New Roman" w:eastAsia="Times New Roman" w:hAnsi="Times New Roman"/>
          <w:b/>
          <w:bCs/>
          <w:color w:val="1F3864"/>
          <w:sz w:val="30"/>
          <w:szCs w:val="30"/>
        </w:rPr>
        <w:t xml:space="preserve">7. Three Everyday Workflows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File type</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Tool</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Workflow</w:t>
            </w:r>
          </w:p>
        </w:tc>
      </w:tr>
      <w:tr>
        <w:trPr>
          <w:cantSplit/>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Word docs, HTML mockups, .pbix, screenshots</w:t>
            </w:r>
          </w:p>
          <w:p>
            <w:pPr>
              <w:spacing w:after="0" w:line="240"/>
            </w:pPr>
            <w:r>
              <w:rPr>
                <w:rFonts w:ascii="Times New Roman" w:cs="Times New Roman" w:eastAsia="Times New Roman" w:hAnsi="Times New Roman"/>
                <w:b w:val="false"/>
                <w:bCs w:val="false"/>
                <w:sz w:val="19"/>
                <w:szCs w:val="19"/>
              </w:rPr>
              <w:t xml:space="preserve">(docs/, pbix/, assets/)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GitHub website</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Upload files → commit message → done (Section 13)</w:t>
            </w:r>
          </w:p>
        </w:tc>
      </w:tr>
      <w:tr>
        <w:trPr>
          <w:cantSplit/>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PBIP text files — TMDL model, report definitions</w:t>
            </w:r>
          </w:p>
          <w:p>
            <w:pPr>
              <w:spacing w:after="0" w:line="240"/>
            </w:pPr>
            <w:r>
              <w:rPr>
                <w:rFonts w:ascii="Times New Roman" w:cs="Times New Roman" w:eastAsia="Times New Roman" w:hAnsi="Times New Roman"/>
                <w:b w:val="false"/>
                <w:bCs w:val="false"/>
                <w:sz w:val="19"/>
                <w:szCs w:val="19"/>
              </w:rPr>
              <w:t xml:space="preserve">(pbip/)</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 + GitHub Desktop</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Save the .pbip inside the clone → review diffs → Commit to main → Push (Section 11)</w:t>
            </w:r>
          </w:p>
        </w:tc>
      </w:tr>
      <w:tr>
        <w:trPr>
          <w:cantSplit/>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M, DAX, theme JSON</w:t>
            </w:r>
          </w:p>
          <w:p>
            <w:pPr>
              <w:spacing w:after="0" w:line="240"/>
            </w:pPr>
            <w:r>
              <w:rPr>
                <w:rFonts w:ascii="Times New Roman" w:cs="Times New Roman" w:eastAsia="Times New Roman" w:hAnsi="Times New Roman"/>
                <w:b w:val="false"/>
                <w:bCs w:val="false"/>
                <w:sz w:val="19"/>
                <w:szCs w:val="19"/>
              </w:rPr>
              <w:t xml:space="preserve">(sql/, powerquery/, dax/, theme/)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Either</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Small text files. Website editor for a quick fix; GitHub Desktop when already in a commit session</w:t>
            </w:r>
          </w:p>
        </w:tc>
      </w:tr>
    </w:tbl>
    <w:p>
      <w:pPr>
        <w:pStyle w:val="Heading1"/>
        <w:spacing w:after="160" w:before="360"/>
      </w:pPr>
      <w:r>
        <w:rPr>
          <w:rFonts w:ascii="Times New Roman" w:cs="Times New Roman" w:eastAsia="Times New Roman" w:hAnsi="Times New Roman"/>
          <w:b/>
          <w:bCs/>
          <w:color w:val="1F3864"/>
          <w:sz w:val="30"/>
          <w:szCs w:val="30"/>
        </w:rPr>
        <w:t xml:space="preserve">8. Uploading Documents via the GitHub Website</w:t>
      </w:r>
    </w:p>
    <w:p>
      <w:pPr>
        <w:pStyle w:val="ListParagraph"/>
        <w:numPr>
          <w:ilvl w:val="0"/>
          <w:numId w:val="8"/>
        </w:numPr>
        <w:spacing w:after="60" w:line="276"/>
      </w:pPr>
      <w:r>
        <w:rPr>
          <w:rFonts w:ascii="Times New Roman" w:cs="Times New Roman" w:eastAsia="Times New Roman" w:hAnsi="Times New Roman"/>
          <w:sz w:val="22"/>
          <w:szCs w:val="22"/>
        </w:rPr>
        <w:t xml:space="preserve">Open the repository and click into the docs/ folder.</w:t>
      </w:r>
    </w:p>
    <w:p>
      <w:pPr>
        <w:pStyle w:val="ListParagraph"/>
        <w:numPr>
          <w:ilvl w:val="0"/>
          <w:numId w:val="8"/>
        </w:numPr>
        <w:spacing w:after="60" w:line="276"/>
      </w:pPr>
      <w:r>
        <w:rPr>
          <w:rFonts w:ascii="Times New Roman" w:cs="Times New Roman" w:eastAsia="Times New Roman" w:hAnsi="Times New Roman"/>
          <w:sz w:val="22"/>
          <w:szCs w:val="22"/>
        </w:rPr>
        <w:t xml:space="preserve">Add file → Upload files → drag the documents from your PC onto the page (00, 01, 02, 12, 13, 14, 15, 20).</w:t>
      </w:r>
    </w:p>
    <w:p>
      <w:pPr>
        <w:pStyle w:val="ListParagraph"/>
        <w:numPr>
          <w:ilvl w:val="0"/>
          <w:numId w:val="8"/>
        </w:numPr>
        <w:spacing w:after="60" w:line="276"/>
      </w:pPr>
      <w:r>
        <w:rPr>
          <w:rFonts w:ascii="Times New Roman" w:cs="Times New Roman" w:eastAsia="Times New Roman" w:hAnsi="Times New Roman"/>
          <w:sz w:val="22"/>
          <w:szCs w:val="22"/>
        </w:rPr>
        <w:t xml:space="preserve">Commit message, short and specific: “Add document set v1.0 (00, 01, 02, 12, 13, 14, 15, 20)”. Click Commit changes.</w:t>
      </w:r>
    </w:p>
    <w:p>
      <w:pPr>
        <w:pStyle w:val="ListParagraph"/>
        <w:numPr>
          <w:ilvl w:val="0"/>
          <w:numId w:val="8"/>
        </w:numPr>
        <w:spacing w:after="60" w:line="276"/>
      </w:pPr>
      <w:r>
        <w:rPr>
          <w:rFonts w:ascii="Times New Roman" w:cs="Times New Roman" w:eastAsia="Times New Roman" w:hAnsi="Times New Roman"/>
          <w:sz w:val="22"/>
          <w:szCs w:val="22"/>
        </w:rPr>
        <w:t xml:space="preserve">To update later, repeat the upload with the same filenames. GitHub replaces the files and history keeps every prior version. To retrieve an old one: file → History → pick a commit → Download.</w:t>
      </w:r>
    </w:p>
    <w:p>
      <w:pPr>
        <w:pStyle w:val="ListParagraph"/>
        <w:numPr>
          <w:ilvl w:val="0"/>
          <w:numId w:val="2"/>
        </w:numPr>
        <w:spacing w:after="60" w:line="276"/>
      </w:pPr>
      <w:r>
        <w:rPr>
          <w:rFonts w:ascii="Times New Roman" w:cs="Times New Roman" w:eastAsia="Times New Roman" w:hAnsi="Times New Roman"/>
          <w:sz w:val="22"/>
          <w:szCs w:val="22"/>
        </w:rPr>
        <w:t xml:space="preserve">Word documents and .pbix files are binary, so GitHub cannot show line-by-line differences. The version history and your commit messages are the change log for those. That is exactly why the PBIP format in Section 8 exists: the actual BI development does get readable diffs.</w:t>
      </w:r>
    </w:p>
    <w:p>
      <w:pPr>
        <w:pStyle w:val="ListParagraph"/>
        <w:numPr>
          <w:ilvl w:val="0"/>
          <w:numId w:val="2"/>
        </w:numPr>
        <w:spacing w:after="60" w:line="276"/>
      </w:pPr>
      <w:r>
        <w:rPr>
          <w:rFonts w:ascii="Times New Roman" w:cs="Times New Roman" w:eastAsia="Times New Roman" w:hAnsi="Times New Roman"/>
          <w:sz w:val="22"/>
          <w:szCs w:val="22"/>
        </w:rPr>
        <w:t xml:space="preserve">The three HTML mockups (12, 13, 14) can additionally be published with GitHub Pages — repository Settings → Pages → Deploy from branch main, folder /docs. The mockups then have live URLs a reviewer can open without downloading anything.</w:t>
      </w:r>
    </w:p>
    <w:p>
      <w:pPr>
        <w:pStyle w:val="Heading1"/>
        <w:spacing w:after="160" w:before="360"/>
      </w:pPr>
      <w:r>
        <w:rPr>
          <w:rFonts w:ascii="Times New Roman" w:cs="Times New Roman" w:eastAsia="Times New Roman" w:hAnsi="Times New Roman"/>
          <w:b/>
          <w:bCs/>
          <w:color w:val="1F3864"/>
          <w:sz w:val="30"/>
          <w:szCs w:val="30"/>
        </w:rPr>
        <w:t xml:space="preserve">9. Power BI Git Workflow — PBIP Format</w:t>
      </w:r>
    </w:p>
    <w:p>
      <w:pPr>
        <w:spacing w:after="120" w:line="276"/>
      </w:pPr>
      <w:r>
        <w:rPr>
          <w:rFonts w:ascii="Times New Roman" w:cs="Times New Roman" w:eastAsia="Times New Roman" w:hAnsi="Times New Roman"/>
          <w:sz w:val="22"/>
          <w:szCs w:val="22"/>
        </w:rPr>
        <w:t xml:space="preserve">This is the route this guide uses: Power BI Desktop saves the project as text, and GitHub Desktop commits it. Section 10 covers the alternative — connecting the workspace to GitHub directly from the Power BI Service — and why it is not the default here.</w:t>
      </w:r>
    </w:p>
    <w:p>
      <w:pPr>
        <w:pStyle w:val="Heading2"/>
        <w:spacing w:after="120" w:before="280"/>
      </w:pPr>
      <w:r>
        <w:rPr>
          <w:rFonts w:ascii="Times New Roman" w:cs="Times New Roman" w:eastAsia="Times New Roman" w:hAnsi="Times New Roman"/>
          <w:b/>
          <w:bCs/>
          <w:color w:val="2E5496"/>
          <w:sz w:val="25"/>
          <w:szCs w:val="25"/>
        </w:rPr>
        <w:t xml:space="preserve">9.1 Enable and understand PBIP</w:t>
      </w:r>
    </w:p>
    <w:p>
      <w:pPr>
        <w:pStyle w:val="ListParagraph"/>
        <w:numPr>
          <w:ilvl w:val="0"/>
          <w:numId w:val="9"/>
        </w:numPr>
        <w:spacing w:after="60" w:line="276"/>
      </w:pPr>
      <w:r>
        <w:rPr>
          <w:rFonts w:ascii="Times New Roman" w:cs="Times New Roman" w:eastAsia="Times New Roman" w:hAnsi="Times New Roman"/>
          <w:sz w:val="22"/>
          <w:szCs w:val="22"/>
        </w:rPr>
        <w:t xml:space="preserve">In Power BI Desktop: File → Options and settings → Options → Preview features. Tick the Power BI Project (.pbip) save option if it appears; in recent releases it is generally available and no toggle is needed. Restart if prompted.</w:t>
      </w:r>
    </w:p>
    <w:p>
      <w:pPr>
        <w:pStyle w:val="ListParagraph"/>
        <w:numPr>
          <w:ilvl w:val="0"/>
          <w:numId w:val="9"/>
        </w:numPr>
        <w:spacing w:after="60" w:line="276"/>
      </w:pPr>
      <w:r>
        <w:rPr>
          <w:rFonts w:ascii="Times New Roman" w:cs="Times New Roman" w:eastAsia="Times New Roman" w:hAnsi="Times New Roman"/>
          <w:sz w:val="22"/>
          <w:szCs w:val="22"/>
        </w:rPr>
        <w:t xml:space="preserve">File → Save As → change the file type to .pbip → save into the clone’s pbip/ folder. Clone first (8.2) on a fresh machine.</w:t>
      </w:r>
    </w:p>
    <w:p>
      <w:pPr>
        <w:pStyle w:val="ListParagraph"/>
        <w:numPr>
          <w:ilvl w:val="0"/>
          <w:numId w:val="9"/>
        </w:numPr>
        <w:spacing w:after="60" w:line="276"/>
      </w:pPr>
      <w:r>
        <w:rPr>
          <w:rFonts w:ascii="Times New Roman" w:cs="Times New Roman" w:eastAsia="Times New Roman" w:hAnsi="Times New Roman"/>
          <w:sz w:val="22"/>
          <w:szCs w:val="22"/>
        </w:rPr>
        <w:t xml:space="preserve">Inspect what appeared: a &lt;name&gt;.SemanticModel folder holding tables, relationships and every DAX measure as readable TMDL text, and a &lt;name&gt;.Report folder holding page and visual definitions. These text files are what Git diffs.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Why PBIP is the interview story</w:t>
            </w:r>
          </w:p>
          <w:p>
            <w:pPr>
              <w:spacing w:after="100" w:line="276"/>
            </w:pPr>
            <w:r>
              <w:rPr>
                <w:rFonts w:ascii="Times New Roman" w:cs="Times New Roman" w:eastAsia="Times New Roman" w:hAnsi="Times New Roman"/>
                <w:sz w:val="21"/>
                <w:szCs w:val="21"/>
              </w:rPr>
              <w:t xml:space="preserve">Change one measure and the commit diff shows exactly that measure’s DAX, line by line — the same review experience a SQL team gets. Screenshot one such diff for the README; it is the single strongest “works like an engineer” image a Power BI portfolio can contain.</w:t>
            </w:r>
          </w:p>
          <w:p>
            <w:pPr>
              <w:spacing w:after="0" w:line="276"/>
            </w:pPr>
            <w:r>
              <w:rPr>
                <w:rFonts w:ascii="Times New Roman" w:cs="Times New Roman" w:eastAsia="Times New Roman" w:hAnsi="Times New Roman"/>
                <w:sz w:val="21"/>
                <w:szCs w:val="21"/>
              </w:rPr>
              <w:t xml:space="preserve">Verify before the first commit: PBIP’s .pbi/localSettings.json and cache files must appear grayed out as ignored in GitHub Desktop. The Section 4.3 .gitignore handles this.</w:t>
            </w:r>
          </w:p>
        </w:tc>
      </w:tr>
    </w:tbl>
    <w:p>
      <w:pPr>
        <w:pStyle w:val="Heading2"/>
        <w:spacing w:after="120" w:before="280"/>
      </w:pPr>
      <w:r>
        <w:rPr>
          <w:rFonts w:ascii="Times New Roman" w:cs="Times New Roman" w:eastAsia="Times New Roman" w:hAnsi="Times New Roman"/>
          <w:b/>
          <w:bCs/>
          <w:color w:val="2E5496"/>
          <w:sz w:val="25"/>
          <w:szCs w:val="25"/>
        </w:rPr>
        <w:t xml:space="preserve">9.2 The semantic model file</w:t>
      </w:r>
    </w:p>
    <w:p>
      <w:pPr>
        <w:spacing w:after="120" w:line="276"/>
      </w:pPr>
      <w:r>
        <w:rPr>
          <w:rFonts w:ascii="Times New Roman" w:cs="Times New Roman" w:eastAsia="Times New Roman" w:hAnsi="Times New Roman"/>
          <w:sz w:val="22"/>
          <w:szCs w:val="22"/>
        </w:rPr>
        <w:t xml:space="preserve">The model is built and published first, because a live connection can only target a model that already exists in the Service.</w:t>
      </w:r>
    </w:p>
    <w:p>
      <w:pPr>
        <w:pStyle w:val="ListParagraph"/>
        <w:numPr>
          <w:ilvl w:val="0"/>
          <w:numId w:val="10"/>
        </w:numPr>
        <w:spacing w:after="60" w:line="276"/>
      </w:pPr>
      <w:r>
        <w:rPr>
          <w:rFonts w:ascii="Times New Roman" w:cs="Times New Roman" w:eastAsia="Times New Roman" w:hAnsi="Times New Roman"/>
          <w:sz w:val="22"/>
          <w:szCs w:val="22"/>
        </w:rPr>
        <w:t xml:space="preserve">Build all queries, relationships and measures in one Desktop file. Keep it to a single blank page — this file is a model, not a report.</w:t>
      </w:r>
    </w:p>
    <w:p>
      <w:pPr>
        <w:pStyle w:val="ListParagraph"/>
        <w:numPr>
          <w:ilvl w:val="0"/>
          <w:numId w:val="10"/>
        </w:numPr>
        <w:spacing w:after="60" w:line="276"/>
      </w:pPr>
      <w:r>
        <w:rPr>
          <w:rFonts w:ascii="Times New Roman" w:cs="Times New Roman" w:eastAsia="Times New Roman" w:hAnsi="Times New Roman"/>
          <w:sz w:val="22"/>
          <w:szCs w:val="22"/>
        </w:rPr>
        <w:t xml:space="preserve">File → Save As → .pbip → pbip/RetailEconomics_Model. Commit and push.</w:t>
      </w:r>
    </w:p>
    <w:p>
      <w:pPr>
        <w:pStyle w:val="ListParagraph"/>
        <w:numPr>
          <w:ilvl w:val="0"/>
          <w:numId w:val="10"/>
        </w:numPr>
        <w:spacing w:after="60" w:line="276"/>
      </w:pPr>
      <w:r>
        <w:rPr>
          <w:rFonts w:ascii="Times New Roman" w:cs="Times New Roman" w:eastAsia="Times New Roman" w:hAnsi="Times New Roman"/>
          <w:sz w:val="22"/>
          <w:szCs w:val="22"/>
        </w:rPr>
        <w:t xml:space="preserve">Publish it to the Power BI Pro workspace from Desktop.</w:t>
      </w:r>
    </w:p>
    <w:p>
      <w:pPr>
        <w:pStyle w:val="ListParagraph"/>
        <w:numPr>
          <w:ilvl w:val="0"/>
          <w:numId w:val="10"/>
        </w:numPr>
        <w:spacing w:after="60" w:line="276"/>
      </w:pPr>
      <w:r>
        <w:rPr>
          <w:rFonts w:ascii="Times New Roman" w:cs="Times New Roman" w:eastAsia="Times New Roman" w:hAnsi="Times New Roman"/>
          <w:sz w:val="22"/>
          <w:szCs w:val="22"/>
        </w:rPr>
        <w:t xml:space="preserve">Configure the gateway, credentials and refresh schedule on the semantic model in the Service.</w:t>
      </w:r>
    </w:p>
    <w:p>
      <w:pPr>
        <w:pStyle w:val="Heading2"/>
        <w:spacing w:after="120" w:before="280"/>
      </w:pPr>
      <w:r>
        <w:rPr>
          <w:rFonts w:ascii="Times New Roman" w:cs="Times New Roman" w:eastAsia="Times New Roman" w:hAnsi="Times New Roman"/>
          <w:b/>
          <w:bCs/>
          <w:color w:val="2E5496"/>
          <w:sz w:val="25"/>
          <w:szCs w:val="25"/>
        </w:rPr>
        <w:t xml:space="preserve">9.3 The three thin reports</w:t>
      </w:r>
    </w:p>
    <w:p>
      <w:pPr>
        <w:pStyle w:val="ListParagraph"/>
        <w:numPr>
          <w:ilvl w:val="0"/>
          <w:numId w:val="11"/>
        </w:numPr>
        <w:spacing w:after="60" w:line="276"/>
      </w:pPr>
      <w:r>
        <w:rPr>
          <w:rFonts w:ascii="Times New Roman" w:cs="Times New Roman" w:eastAsia="Times New Roman" w:hAnsi="Times New Roman"/>
          <w:sz w:val="22"/>
          <w:szCs w:val="22"/>
        </w:rPr>
        <w:t xml:space="preserve">Open a new Power BI Desktop file. Get data → Power BI semantic models → select the published model. This creates the live connection.</w:t>
      </w:r>
    </w:p>
    <w:p>
      <w:pPr>
        <w:pStyle w:val="ListParagraph"/>
        <w:numPr>
          <w:ilvl w:val="0"/>
          <w:numId w:val="11"/>
        </w:numPr>
        <w:spacing w:after="60" w:line="276"/>
      </w:pPr>
      <w:r>
        <w:rPr>
          <w:rFonts w:ascii="Times New Roman" w:cs="Times New Roman" w:eastAsia="Times New Roman" w:hAnsi="Times New Roman"/>
          <w:sz w:val="22"/>
          <w:szCs w:val="22"/>
        </w:rPr>
        <w:t xml:space="preserve">Build the report pages. The Fields pane shows the shared model; the modelling tools are disabled, which is expected.</w:t>
      </w:r>
    </w:p>
    <w:p>
      <w:pPr>
        <w:pStyle w:val="ListParagraph"/>
        <w:numPr>
          <w:ilvl w:val="0"/>
          <w:numId w:val="11"/>
        </w:numPr>
        <w:spacing w:after="60" w:line="276"/>
      </w:pPr>
      <w:r>
        <w:rPr>
          <w:rFonts w:ascii="Times New Roman" w:cs="Times New Roman" w:eastAsia="Times New Roman" w:hAnsi="Times New Roman"/>
          <w:sz w:val="22"/>
          <w:szCs w:val="22"/>
        </w:rPr>
        <w:t xml:space="preserve">File → Save As → .pbip → pbip/R1_Retail_Sector_Health. Repeat for R2 and R3.</w:t>
      </w:r>
    </w:p>
    <w:p>
      <w:pPr>
        <w:pStyle w:val="ListParagraph"/>
        <w:numPr>
          <w:ilvl w:val="0"/>
          <w:numId w:val="11"/>
        </w:numPr>
        <w:spacing w:after="60" w:line="276"/>
      </w:pPr>
      <w:r>
        <w:rPr>
          <w:rFonts w:ascii="Times New Roman" w:cs="Times New Roman" w:eastAsia="Times New Roman" w:hAnsi="Times New Roman"/>
          <w:sz w:val="22"/>
          <w:szCs w:val="22"/>
        </w:rPr>
        <w:t xml:space="preserve">Commit. Note that these three folders contain a report definition and no TMDL — see the note in §3.3.</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Republishing the model updates all three reports.  </w:t>
      </w:r>
      <w:r>
        <w:rPr>
          <w:rFonts w:ascii="Times New Roman" w:cs="Times New Roman" w:eastAsia="Times New Roman" w:hAnsi="Times New Roman"/>
          <w:sz w:val="21"/>
          <w:szCs w:val="21"/>
        </w:rPr>
        <w:t xml:space="preserve">Changing a measure means editing the model file, committing its TMDL diff, and republishing. The three reports pick the change up automatically; they are not edited and not republished. If you ever find yourself making the same measure edit in more than one file, the architecture has been broken.</w:t>
      </w:r>
    </w:p>
    <w:p>
      <w:pPr>
        <w:pStyle w:val="Heading2"/>
        <w:spacing w:after="120" w:before="280"/>
      </w:pPr>
      <w:r>
        <w:rPr>
          <w:rFonts w:ascii="Times New Roman" w:cs="Times New Roman" w:eastAsia="Times New Roman" w:hAnsi="Times New Roman"/>
          <w:b/>
          <w:bCs/>
          <w:color w:val="2E5496"/>
          <w:sz w:val="25"/>
          <w:szCs w:val="25"/>
        </w:rPr>
        <w:t xml:space="preserve">9.4 The daily loop: save → review diff → commit → push</w:t>
      </w:r>
    </w:p>
    <w:p>
      <w:pPr>
        <w:pStyle w:val="ListParagraph"/>
        <w:numPr>
          <w:ilvl w:val="0"/>
          <w:numId w:val="12"/>
        </w:numPr>
        <w:spacing w:after="60" w:line="276"/>
      </w:pPr>
      <w:r>
        <w:rPr>
          <w:rFonts w:ascii="Times New Roman" w:cs="Times New Roman" w:eastAsia="Times New Roman" w:hAnsi="Times New Roman"/>
          <w:sz w:val="22"/>
          <w:szCs w:val="22"/>
        </w:rPr>
        <w:t xml:space="preserve">Work in Power BI Desktop on a .pbip saved inside the clone. Ctrl+S as usual.</w:t>
      </w:r>
    </w:p>
    <w:p>
      <w:pPr>
        <w:pStyle w:val="ListParagraph"/>
        <w:numPr>
          <w:ilvl w:val="0"/>
          <w:numId w:val="12"/>
        </w:numPr>
        <w:spacing w:after="60" w:line="276"/>
      </w:pPr>
      <w:r>
        <w:rPr>
          <w:rFonts w:ascii="Times New Roman" w:cs="Times New Roman" w:eastAsia="Times New Roman" w:hAnsi="Times New Roman"/>
          <w:sz w:val="22"/>
          <w:szCs w:val="22"/>
        </w:rPr>
        <w:t xml:space="preserve">Open GitHub Desktop: every changed TMDL or JSON file is listed with its diff. Read the diff — this is the self-review step, and it is where you catch the measure you edited by accident.</w:t>
      </w:r>
    </w:p>
    <w:p>
      <w:pPr>
        <w:pStyle w:val="ListParagraph"/>
        <w:numPr>
          <w:ilvl w:val="0"/>
          <w:numId w:val="12"/>
        </w:numPr>
        <w:spacing w:after="60" w:line="276"/>
      </w:pPr>
      <w:r>
        <w:rPr>
          <w:rFonts w:ascii="Times New Roman" w:cs="Times New Roman" w:eastAsia="Times New Roman" w:hAnsi="Times New Roman"/>
          <w:sz w:val="22"/>
          <w:szCs w:val="22"/>
        </w:rPr>
        <w:t xml:space="preserve">Type a summary describing the change (“Add channel measures and the 2019 baseline”) → Commit to main.</w:t>
      </w:r>
    </w:p>
    <w:p>
      <w:pPr>
        <w:pStyle w:val="ListParagraph"/>
        <w:numPr>
          <w:ilvl w:val="0"/>
          <w:numId w:val="12"/>
        </w:numPr>
        <w:spacing w:after="60" w:line="276"/>
      </w:pPr>
      <w:r>
        <w:rPr>
          <w:rFonts w:ascii="Times New Roman" w:cs="Times New Roman" w:eastAsia="Times New Roman" w:hAnsi="Times New Roman"/>
          <w:sz w:val="22"/>
          <w:szCs w:val="22"/>
        </w:rPr>
        <w:t xml:space="preserve">Click Push origin. Refresh the repository page in the browser; the commit is there.</w:t>
      </w:r>
    </w:p>
    <w:p>
      <w:pPr>
        <w:pStyle w:val="ListParagraph"/>
        <w:numPr>
          <w:ilvl w:val="0"/>
          <w:numId w:val="12"/>
        </w:numPr>
        <w:spacing w:after="60" w:line="276"/>
      </w:pPr>
      <w:r>
        <w:rPr>
          <w:rFonts w:ascii="Times New Roman" w:cs="Times New Roman" w:eastAsia="Times New Roman" w:hAnsi="Times New Roman"/>
          <w:sz w:val="22"/>
          <w:szCs w:val="22"/>
        </w:rPr>
        <w:t xml:space="preserve">Starting a session after any web uploads: click Fetch/Pull in GitHub Desktop first, so the local copy includes everything on GitHub.</w:t>
      </w:r>
    </w:p>
    <w:p>
      <w:pPr>
        <w:pStyle w:val="Heading2"/>
        <w:spacing w:after="120" w:before="280"/>
      </w:pPr>
      <w:r>
        <w:rPr>
          <w:rFonts w:ascii="Times New Roman" w:cs="Times New Roman" w:eastAsia="Times New Roman" w:hAnsi="Times New Roman"/>
          <w:b/>
          <w:bCs/>
          <w:color w:val="2E5496"/>
          <w:sz w:val="25"/>
          <w:szCs w:val="25"/>
        </w:rPr>
        <w:t xml:space="preserve">9.5 Branching once, so you have done it</w:t>
      </w:r>
    </w:p>
    <w:p>
      <w:pPr>
        <w:pStyle w:val="ListParagraph"/>
        <w:numPr>
          <w:ilvl w:val="0"/>
          <w:numId w:val="13"/>
        </w:numPr>
        <w:spacing w:after="60" w:line="276"/>
      </w:pPr>
      <w:r>
        <w:rPr>
          <w:rFonts w:ascii="Times New Roman" w:cs="Times New Roman" w:eastAsia="Times New Roman" w:hAnsi="Times New Roman"/>
          <w:sz w:val="22"/>
          <w:szCs w:val="22"/>
        </w:rPr>
        <w:t xml:space="preserve">GitHub Desktop: Current Branch → New Branch → name it feature/channel-panel → based on main → Create. Desktop switches to it automatically.</w:t>
      </w:r>
    </w:p>
    <w:p>
      <w:pPr>
        <w:pStyle w:val="ListParagraph"/>
        <w:numPr>
          <w:ilvl w:val="0"/>
          <w:numId w:val="13"/>
        </w:numPr>
        <w:spacing w:after="60" w:line="276"/>
      </w:pPr>
      <w:r>
        <w:rPr>
          <w:rFonts w:ascii="Times New Roman" w:cs="Times New Roman" w:eastAsia="Times New Roman" w:hAnsi="Times New Roman"/>
          <w:sz w:val="22"/>
          <w:szCs w:val="22"/>
        </w:rPr>
        <w:t xml:space="preserve">Save a change, commit, then Publish branch.</w:t>
      </w:r>
    </w:p>
    <w:p>
      <w:pPr>
        <w:pStyle w:val="ListParagraph"/>
        <w:numPr>
          <w:ilvl w:val="0"/>
          <w:numId w:val="13"/>
        </w:numPr>
        <w:spacing w:after="60" w:line="276"/>
      </w:pPr>
      <w:r>
        <w:rPr>
          <w:rFonts w:ascii="Times New Roman" w:cs="Times New Roman" w:eastAsia="Times New Roman" w:hAnsi="Times New Roman"/>
          <w:sz w:val="22"/>
          <w:szCs w:val="22"/>
        </w:rPr>
        <w:t xml:space="preserve">On github.com a banner offers “Compare &amp; pull request”. Open it, review the TMDL diff, click Merge pull request → Confirm.</w:t>
      </w:r>
    </w:p>
    <w:p>
      <w:pPr>
        <w:pStyle w:val="ListParagraph"/>
        <w:numPr>
          <w:ilvl w:val="0"/>
          <w:numId w:val="13"/>
        </w:numPr>
        <w:spacing w:after="60" w:line="276"/>
      </w:pPr>
      <w:r>
        <w:rPr>
          <w:rFonts w:ascii="Times New Roman" w:cs="Times New Roman" w:eastAsia="Times New Roman" w:hAnsi="Times New Roman"/>
          <w:sz w:val="22"/>
          <w:szCs w:val="22"/>
        </w:rPr>
        <w:t xml:space="preserve">Back in GitHub Desktop: switch Current Branch to main → Pull. The merged change is in main.</w:t>
      </w:r>
    </w:p>
    <w:p>
      <w:pPr>
        <w:pStyle w:val="ListParagraph"/>
        <w:numPr>
          <w:ilvl w:val="0"/>
          <w:numId w:val="13"/>
        </w:numPr>
        <w:spacing w:after="60" w:line="276"/>
      </w:pPr>
      <w:r>
        <w:rPr>
          <w:rFonts w:ascii="Times New Roman" w:cs="Times New Roman" w:eastAsia="Times New Roman" w:hAnsi="Times New Roman"/>
          <w:sz w:val="22"/>
          <w:szCs w:val="22"/>
        </w:rPr>
        <w:t xml:space="preserve">Solo work can commit straight to main. You now know the branch-and-PR route interviews ask about.</w:t>
      </w:r>
    </w:p>
    <w:p>
      <w:pPr>
        <w:pStyle w:val="Heading1"/>
        <w:spacing w:after="160" w:before="360"/>
      </w:pPr>
      <w:r>
        <w:rPr>
          <w:rFonts w:ascii="Times New Roman" w:cs="Times New Roman" w:eastAsia="Times New Roman" w:hAnsi="Times New Roman"/>
          <w:b/>
          <w:bCs/>
          <w:color w:val="1F3864"/>
          <w:sz w:val="30"/>
          <w:szCs w:val="30"/>
        </w:rPr>
        <w:t xml:space="preserve">10. Syncing Power BI to GitHub Directly — Fabric Git Integration</w:t>
      </w:r>
    </w:p>
    <w:p>
      <w:pPr>
        <w:spacing w:after="120" w:line="276"/>
      </w:pPr>
      <w:r>
        <w:rPr>
          <w:rFonts w:ascii="Times New Roman" w:cs="Times New Roman" w:eastAsia="Times New Roman" w:hAnsi="Times New Roman"/>
          <w:sz w:val="22"/>
          <w:szCs w:val="22"/>
        </w:rPr>
        <w:t xml:space="preserve">Power BI can connect to GitHub without GitHub Desktop and without a local clone, through Fabric Git integration. A workspace is linked to a repository and branch, and workspace items are committed and updated from inside the Power BI Service. It is the more modern route and worth knowing; it is not the default in this guide, for one specific reason given below.</w:t>
      </w:r>
    </w:p>
    <w:p>
      <w:pPr>
        <w:pStyle w:val="Heading2"/>
        <w:spacing w:after="120" w:before="280"/>
      </w:pPr>
      <w:r>
        <w:rPr>
          <w:rFonts w:ascii="Times New Roman" w:cs="Times New Roman" w:eastAsia="Times New Roman" w:hAnsi="Times New Roman"/>
          <w:b/>
          <w:bCs/>
          <w:color w:val="2E5496"/>
          <w:sz w:val="25"/>
          <w:szCs w:val="25"/>
        </w:rPr>
        <w:t xml:space="preserve">10.1 What it does and what it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Aspect</w:t>
            </w:r>
          </w:p>
        </w:tc>
        <w:tc>
          <w:tcPr>
            <w:tcW w:type="dxa" w:w="673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Detail</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Git providers supported</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Azure DevOps, GitHub and GitHub Enterprise — cloud-hosted only. A self-hosted or on-premises Git server cannot be connected.</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Licence and capacity</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Fabric capacity is required. Power BI Premium capacity also qualifies, and a free Fabric trial is available. THIS IS THE BLOCKER FOR THIS PROJECT: the solution is specified throughout on Power BI Pro alone, which does not include a capacity.</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Items synced</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Semantic models and reports are supported, both currently in PREVIEW, alongside notebooks, lakehouses, pipelines, warehouses and most other Fabric item types. Unsupported items can sit in a connected workspace without being deleted; they simply are not committed.</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Permissions</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Only a workspace admin can make the initial connection. After that, anyone with workspace permissions can commit and update.</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Tenant settings</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 admin must enable “Users can synchronize workspace items with their Git repositories” and, for GitHub specifically, “Users can synchronize workspace items with GitHub repositories”.</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Known exclusions</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Semantic models using push datasets, live connections to Analysis Services, or model v1 are not supported. Reports connected to Azure Analysis Services or SQL Server Analysis Services are not supported.</w:t>
            </w:r>
          </w:p>
        </w:tc>
      </w:tr>
    </w:tbl>
    <w:p>
      <w:pPr>
        <w:spacing w:after="200" w:before="40"/>
      </w:pPr>
      <w:r>
        <w:rPr>
          <w:rFonts w:ascii="Times New Roman" w:cs="Times New Roman" w:eastAsia="Times New Roman" w:hAnsi="Times New Roman"/>
          <w:i/>
          <w:iCs/>
          <w:color w:val="595959"/>
          <w:sz w:val="19"/>
          <w:szCs w:val="19"/>
        </w:rPr>
        <w:t xml:space="preserve">Table 10.1 — Fabric Git integration at a glance. Verified against Microsoft documentation in September 2026; both Power BI item types remain in preview.</w:t>
      </w:r>
    </w:p>
    <w:p>
      <w:pPr>
        <w:pStyle w:val="Heading2"/>
        <w:spacing w:after="120" w:before="280"/>
      </w:pPr>
      <w:r>
        <w:rPr>
          <w:rFonts w:ascii="Times New Roman" w:cs="Times New Roman" w:eastAsia="Times New Roman" w:hAnsi="Times New Roman"/>
          <w:b/>
          <w:bCs/>
          <w:color w:val="2E5496"/>
          <w:sz w:val="25"/>
          <w:szCs w:val="25"/>
        </w:rPr>
        <w:t xml:space="preserve">10.2 How to connect a workspace</w:t>
      </w:r>
    </w:p>
    <w:p>
      <w:pPr>
        <w:pStyle w:val="ListParagraph"/>
        <w:numPr>
          <w:ilvl w:val="0"/>
          <w:numId w:val="14"/>
        </w:numPr>
        <w:spacing w:after="60" w:line="276"/>
      </w:pPr>
      <w:r>
        <w:rPr>
          <w:rFonts w:ascii="Times New Roman" w:cs="Times New Roman" w:eastAsia="Times New Roman" w:hAnsi="Times New Roman"/>
          <w:sz w:val="22"/>
          <w:szCs w:val="22"/>
        </w:rPr>
        <w:t xml:space="preserve">Sign in to the Power BI or Fabric portal and open the workspace.</w:t>
      </w:r>
    </w:p>
    <w:p>
      <w:pPr>
        <w:pStyle w:val="ListParagraph"/>
        <w:numPr>
          <w:ilvl w:val="0"/>
          <w:numId w:val="14"/>
        </w:numPr>
        <w:spacing w:after="60" w:line="276"/>
      </w:pPr>
      <w:r>
        <w:rPr>
          <w:rFonts w:ascii="Times New Roman" w:cs="Times New Roman" w:eastAsia="Times New Roman" w:hAnsi="Times New Roman"/>
          <w:sz w:val="22"/>
          <w:szCs w:val="22"/>
        </w:rPr>
        <w:t xml:space="preserve">Workspace settings → Git integration.</w:t>
      </w:r>
    </w:p>
    <w:p>
      <w:pPr>
        <w:pStyle w:val="ListParagraph"/>
        <w:numPr>
          <w:ilvl w:val="0"/>
          <w:numId w:val="14"/>
        </w:numPr>
        <w:spacing w:after="60" w:line="276"/>
      </w:pPr>
      <w:r>
        <w:rPr>
          <w:rFonts w:ascii="Times New Roman" w:cs="Times New Roman" w:eastAsia="Times New Roman" w:hAnsi="Times New Roman"/>
          <w:sz w:val="22"/>
          <w:szCs w:val="22"/>
        </w:rPr>
        <w:t xml:space="preserve">Select GitHub as the provider.</w:t>
      </w:r>
    </w:p>
    <w:p>
      <w:pPr>
        <w:pStyle w:val="ListParagraph"/>
        <w:numPr>
          <w:ilvl w:val="0"/>
          <w:numId w:val="14"/>
        </w:numPr>
        <w:spacing w:after="60" w:line="276"/>
      </w:pPr>
      <w:r>
        <w:rPr>
          <w:rFonts w:ascii="Times New Roman" w:cs="Times New Roman" w:eastAsia="Times New Roman" w:hAnsi="Times New Roman"/>
          <w:sz w:val="22"/>
          <w:szCs w:val="22"/>
        </w:rPr>
        <w:t xml:space="preserve">Authorise the account on first use: supply a display name and complete the OAuth sign-in, then select Connect.</w:t>
      </w:r>
    </w:p>
    <w:p>
      <w:pPr>
        <w:pStyle w:val="ListParagraph"/>
        <w:numPr>
          <w:ilvl w:val="0"/>
          <w:numId w:val="14"/>
        </w:numPr>
        <w:spacing w:after="60" w:line="276"/>
      </w:pPr>
      <w:r>
        <w:rPr>
          <w:rFonts w:ascii="Times New Roman" w:cs="Times New Roman" w:eastAsia="Times New Roman" w:hAnsi="Times New Roman"/>
          <w:sz w:val="22"/>
          <w:szCs w:val="22"/>
        </w:rPr>
        <w:t xml:space="preserve">Choose the repository, the branch, and optionally a folder — leave the folder blank to sync at the repository root.</w:t>
      </w:r>
    </w:p>
    <w:p>
      <w:pPr>
        <w:pStyle w:val="ListParagraph"/>
        <w:numPr>
          <w:ilvl w:val="0"/>
          <w:numId w:val="14"/>
        </w:numPr>
        <w:spacing w:after="60" w:line="276"/>
      </w:pPr>
      <w:r>
        <w:rPr>
          <w:rFonts w:ascii="Times New Roman" w:cs="Times New Roman" w:eastAsia="Times New Roman" w:hAnsi="Times New Roman"/>
          <w:sz w:val="22"/>
          <w:szCs w:val="22"/>
        </w:rPr>
        <w:t xml:space="preserve">Select Connect and sync.</w:t>
      </w:r>
    </w:p>
    <w:p>
      <w:pPr>
        <w:pStyle w:val="Heading2"/>
        <w:spacing w:after="120" w:before="280"/>
      </w:pPr>
      <w:r>
        <w:rPr>
          <w:rFonts w:ascii="Times New Roman" w:cs="Times New Roman" w:eastAsia="Times New Roman" w:hAnsi="Times New Roman"/>
          <w:b/>
          <w:bCs/>
          <w:color w:val="2E5496"/>
          <w:sz w:val="25"/>
          <w:szCs w:val="25"/>
        </w:rPr>
        <w:t xml:space="preserve">10.3 Why this guide does not use it</w:t>
      </w:r>
    </w:p>
    <w:p>
      <w:pPr>
        <w:pStyle w:val="ListParagraph"/>
        <w:numPr>
          <w:ilvl w:val="0"/>
          <w:numId w:val="2"/>
        </w:numPr>
        <w:spacing w:after="60" w:line="276"/>
      </w:pPr>
      <w:r>
        <w:rPr>
          <w:rFonts w:ascii="Times New Roman" w:cs="Times New Roman" w:eastAsia="Times New Roman" w:hAnsi="Times New Roman"/>
          <w:sz w:val="22"/>
          <w:szCs w:val="22"/>
        </w:rPr>
        <w:t xml:space="preserve">It requires a Fabric capacity. Every other part of this solution is specified on Power BI Pro, and adding a capacity requirement to publish a portfolio project changes the cost profile of the whole thing.</w:t>
      </w:r>
    </w:p>
    <w:p>
      <w:pPr>
        <w:pStyle w:val="ListParagraph"/>
        <w:numPr>
          <w:ilvl w:val="0"/>
          <w:numId w:val="2"/>
        </w:numPr>
        <w:spacing w:after="60" w:line="276"/>
      </w:pPr>
      <w:r>
        <w:rPr>
          <w:rFonts w:ascii="Times New Roman" w:cs="Times New Roman" w:eastAsia="Times New Roman" w:hAnsi="Times New Roman"/>
          <w:sz w:val="22"/>
          <w:szCs w:val="22"/>
        </w:rPr>
        <w:t xml:space="preserve">Semantic model and report sync are both in preview. A portfolio repository is a durable artifact; building its history on a preview feature risks a behaviour change midway through.</w:t>
      </w:r>
    </w:p>
    <w:p>
      <w:pPr>
        <w:pStyle w:val="ListParagraph"/>
        <w:numPr>
          <w:ilvl w:val="0"/>
          <w:numId w:val="2"/>
        </w:numPr>
        <w:spacing w:after="60" w:line="276"/>
      </w:pPr>
      <w:r>
        <w:rPr>
          <w:rFonts w:ascii="Times New Roman" w:cs="Times New Roman" w:eastAsia="Times New Roman" w:hAnsi="Times New Roman"/>
          <w:sz w:val="22"/>
          <w:szCs w:val="22"/>
        </w:rPr>
        <w:t xml:space="preserve">It syncs the workspace, not the whole project. SQL scripts, the numbered documents, the reference workbook and the screenshots are not Fabric items and would still need the website or GitHub Desktop route in §8 and §9. The local clone therefore does not disappear — it only stops carrying the Power BI files.</w:t>
      </w:r>
    </w:p>
    <w:p>
      <w:pPr>
        <w:pStyle w:val="ListParagraph"/>
        <w:numPr>
          <w:ilvl w:val="0"/>
          <w:numId w:val="2"/>
        </w:numPr>
        <w:spacing w:after="60" w:line="276"/>
      </w:pPr>
      <w:r>
        <w:rPr>
          <w:rFonts w:ascii="Times New Roman" w:cs="Times New Roman" w:eastAsia="Times New Roman" w:hAnsi="Times New Roman"/>
          <w:sz w:val="22"/>
          <w:szCs w:val="22"/>
        </w:rPr>
        <w:t xml:space="preserve">The three reports are live-connected to a shared semantic model. That pattern is not among the documented exclusions, which name Analysis Services connections rather than Power BI semantic model connections, but it sits close enough to a preview boundary to be worth verifying on one report before committing the whole set.</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When to switch to it.  </w:t>
      </w:r>
      <w:r>
        <w:rPr>
          <w:rFonts w:ascii="Times New Roman" w:cs="Times New Roman" w:eastAsia="Times New Roman" w:hAnsi="Times New Roman"/>
          <w:sz w:val="21"/>
          <w:szCs w:val="21"/>
        </w:rPr>
        <w:t xml:space="preserve">If a Fabric capacity or trial becomes available, connect the workspace and let Git integration own pbip/ — it removes the save-into-the-clone discipline in §6.2 and the manual commit loop in §9.4, which are the two steps most often skipped. Keep the website route for documents, SQL and screenshots. Document 01 §8.3 already lists this as a planned enhancement; record the switch in the README so the change in commit pattern is explained rather than mysterious.</w:t>
      </w:r>
    </w:p>
    <w:p>
      <w:pPr>
        <w:pStyle w:val="Heading1"/>
        <w:spacing w:after="160" w:before="360"/>
      </w:pPr>
      <w:r>
        <w:rPr>
          <w:rFonts w:ascii="Times New Roman" w:cs="Times New Roman" w:eastAsia="Times New Roman" w:hAnsi="Times New Roman"/>
          <w:b/>
          <w:bCs/>
          <w:color w:val="1F3864"/>
          <w:sz w:val="30"/>
          <w:szCs w:val="30"/>
        </w:rPr>
        <w:t xml:space="preserve">11. Versioning the Binaries, SQL and Screenshots</w:t>
      </w:r>
    </w:p>
    <w:p>
      <w:pPr>
        <w:spacing w:after="120" w:line="276"/>
      </w:pPr>
      <w:r>
        <w:rPr>
          <w:rFonts w:ascii="Times New Roman" w:cs="Times New Roman" w:eastAsia="Times New Roman" w:hAnsi="Times New Roman"/>
          <w:sz w:val="22"/>
          <w:szCs w:val="22"/>
        </w:rPr>
        <w:t xml:space="preserve">The four .pbix files in pbix/ are the reviewer-facing copies, refreshed at milestones rather than every commit.</w:t>
      </w:r>
    </w:p>
    <w:p>
      <w:pPr>
        <w:pStyle w:val="ListParagraph"/>
        <w:numPr>
          <w:ilvl w:val="0"/>
          <w:numId w:val="15"/>
        </w:numPr>
        <w:spacing w:after="60" w:line="276"/>
      </w:pPr>
      <w:r>
        <w:rPr>
          <w:rFonts w:ascii="Times New Roman" w:cs="Times New Roman" w:eastAsia="Times New Roman" w:hAnsi="Times New Roman"/>
          <w:sz w:val="22"/>
          <w:szCs w:val="22"/>
        </w:rPr>
        <w:t xml:space="preserve">At the end of each build block, or at minimum at v1.0, File → Save As → .pbix and upload to pbix/ via the website with a message such as “pbix milestone: R1 pages complete”.</w:t>
      </w:r>
    </w:p>
    <w:p>
      <w:pPr>
        <w:pStyle w:val="ListParagraph"/>
        <w:numPr>
          <w:ilvl w:val="0"/>
          <w:numId w:val="15"/>
        </w:numPr>
        <w:spacing w:after="60" w:line="276"/>
      </w:pPr>
      <w:r>
        <w:rPr>
          <w:rFonts w:ascii="Times New Roman" w:cs="Times New Roman" w:eastAsia="Times New Roman" w:hAnsi="Times New Roman"/>
          <w:sz w:val="22"/>
          <w:szCs w:val="22"/>
        </w:rPr>
        <w:t xml:space="preserve">Re-take the affected page screenshots and upload them to assets/ in the same commit, so the README images stay honest.</w:t>
      </w:r>
    </w:p>
    <w:p>
      <w:pPr>
        <w:pStyle w:val="ListParagraph"/>
        <w:numPr>
          <w:ilvl w:val="0"/>
          <w:numId w:val="15"/>
        </w:numPr>
        <w:spacing w:after="60" w:line="276"/>
      </w:pPr>
      <w:r>
        <w:rPr>
          <w:rFonts w:ascii="Times New Roman" w:cs="Times New Roman" w:eastAsia="Times New Roman" w:hAnsi="Times New Roman"/>
          <w:sz w:val="22"/>
          <w:szCs w:val="22"/>
        </w:rPr>
        <w:t xml:space="preserve">SQL scripts are text and commit like any other source. When a script changes after the warehouse is already built, say so in the commit message — “06_item_lifecycle: add MonthsActive, rerun required” — because a reader of the history needs to know a rebuild was implied.</w:t>
      </w:r>
    </w:p>
    <w:p>
      <w:pPr>
        <w:pStyle w:val="ListParagraph"/>
        <w:numPr>
          <w:ilvl w:val="0"/>
          <w:numId w:val="15"/>
        </w:numPr>
        <w:spacing w:after="60" w:line="276"/>
      </w:pPr>
      <w:r>
        <w:rPr>
          <w:rFonts w:ascii="Times New Roman" w:cs="Times New Roman" w:eastAsia="Times New Roman" w:hAnsi="Times New Roman"/>
          <w:sz w:val="22"/>
          <w:szCs w:val="22"/>
        </w:rPr>
        <w:t xml:space="preserve">Optional polish: create a GitHub Release (Releases → Draft a new release → tag v1.0) and attach the four .pbix files. This gives reviewers a one-click stable download separate from ongoing commits.</w:t>
      </w:r>
    </w:p>
    <w:p>
      <w:pPr>
        <w:pStyle w:val="Heading1"/>
        <w:spacing w:after="160" w:before="360"/>
      </w:pPr>
      <w:r>
        <w:rPr>
          <w:rFonts w:ascii="Times New Roman" w:cs="Times New Roman" w:eastAsia="Times New Roman" w:hAnsi="Times New Roman"/>
          <w:b/>
          <w:bCs/>
          <w:color w:val="1F3864"/>
          <w:sz w:val="30"/>
          <w:szCs w:val="30"/>
        </w:rPr>
        <w:t xml:space="preserve">12. The Census API Key</w:t>
      </w:r>
    </w:p>
    <w:p>
      <w:pPr>
        <w:spacing w:after="120" w:line="276"/>
      </w:pPr>
      <w:r>
        <w:rPr>
          <w:rFonts w:ascii="Times New Roman" w:cs="Times New Roman" w:eastAsia="Times New Roman" w:hAnsi="Times New Roman"/>
          <w:sz w:val="22"/>
          <w:szCs w:val="22"/>
        </w:rPr>
        <w:t xml:space="preserve">This project has one real secret. It is worth a section because the usual advice — “do not commit credentials” — is not sufficient when the credential lives inside a Power Query parameter that PBIP serializes to text.</w:t>
      </w:r>
    </w:p>
    <w:p>
      <w:pPr>
        <w:pStyle w:val="ListParagraph"/>
        <w:numPr>
          <w:ilvl w:val="0"/>
          <w:numId w:val="16"/>
        </w:numPr>
        <w:spacing w:after="60" w:line="276"/>
      </w:pPr>
      <w:r>
        <w:rPr>
          <w:rFonts w:ascii="Times New Roman" w:cs="Times New Roman" w:eastAsia="Times New Roman" w:hAnsi="Times New Roman"/>
          <w:sz w:val="22"/>
          <w:szCs w:val="22"/>
        </w:rPr>
        <w:t xml:space="preserve">Hold the key in a Power Query parameter named pCensusKey. Never inline it into a query’s M code.</w:t>
      </w:r>
    </w:p>
    <w:p>
      <w:pPr>
        <w:pStyle w:val="ListParagraph"/>
        <w:numPr>
          <w:ilvl w:val="0"/>
          <w:numId w:val="16"/>
        </w:numPr>
        <w:spacing w:after="60" w:line="276"/>
      </w:pPr>
      <w:r>
        <w:rPr>
          <w:rFonts w:ascii="Times New Roman" w:cs="Times New Roman" w:eastAsia="Times New Roman" w:hAnsi="Times New Roman"/>
          <w:sz w:val="22"/>
          <w:szCs w:val="22"/>
        </w:rPr>
        <w:t xml:space="preserve">Before the first PBIP commit, open pbip/RetailEconomics_Model/ and search the TMDL text for “key=” and for the key’s first six characters. A parameter’s current value can be serialized depending on Desktop version and settings.</w:t>
      </w:r>
    </w:p>
    <w:p>
      <w:pPr>
        <w:pStyle w:val="ListParagraph"/>
        <w:numPr>
          <w:ilvl w:val="0"/>
          <w:numId w:val="16"/>
        </w:numPr>
        <w:spacing w:after="60" w:line="276"/>
      </w:pPr>
      <w:r>
        <w:rPr>
          <w:rFonts w:ascii="Times New Roman" w:cs="Times New Roman" w:eastAsia="Times New Roman" w:hAnsi="Times New Roman"/>
          <w:sz w:val="22"/>
          <w:szCs w:val="22"/>
        </w:rPr>
        <w:t xml:space="preserve">If the value is present, clear the parameter’s current value in Desktop, save, and re-check before committing. Enter the key at refresh time in the Service instead, where it is stored as a credential rather than as source.</w:t>
      </w:r>
    </w:p>
    <w:p>
      <w:pPr>
        <w:pStyle w:val="ListParagraph"/>
        <w:numPr>
          <w:ilvl w:val="0"/>
          <w:numId w:val="16"/>
        </w:numPr>
        <w:spacing w:after="60" w:line="276"/>
      </w:pPr>
      <w:r>
        <w:rPr>
          <w:rFonts w:ascii="Times New Roman" w:cs="Times New Roman" w:eastAsia="Times New Roman" w:hAnsi="Times New Roman"/>
          <w:sz w:val="22"/>
          <w:szCs w:val="22"/>
        </w:rPr>
        <w:t xml:space="preserve">In the Service, the key is supplied once under the semantic model’s data source credentials. It never travels with the reports.</w:t>
      </w:r>
    </w:p>
    <w:p>
      <w:pPr>
        <w:pStyle w:val="ListParagraph"/>
        <w:numPr>
          <w:ilvl w:val="0"/>
          <w:numId w:val="16"/>
        </w:numPr>
        <w:spacing w:after="60" w:line="276"/>
      </w:pPr>
      <w:r>
        <w:rPr>
          <w:rFonts w:ascii="Times New Roman" w:cs="Times New Roman" w:eastAsia="Times New Roman" w:hAnsi="Times New Roman"/>
          <w:sz w:val="22"/>
          <w:szCs w:val="22"/>
        </w:rPr>
        <w:t xml:space="preserve">If the key is ever committed, regenerate it at api.census.gov immediately. Removing the file does not remove it from history.</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Check this before the first push, not after.  </w:t>
      </w:r>
      <w:r>
        <w:rPr>
          <w:rFonts w:ascii="Times New Roman" w:cs="Times New Roman" w:eastAsia="Times New Roman" w:hAnsi="Times New Roman"/>
          <w:sz w:val="21"/>
          <w:szCs w:val="21"/>
        </w:rPr>
        <w:t xml:space="preserve">A public repository is indexed quickly. The verification step in §12 item 7 is a repository search for “key=” and for “.csv” — zero hits is the evidence that both rules held.</w:t>
      </w:r>
    </w:p>
    <w:p>
      <w:pPr>
        <w:pStyle w:val="Heading1"/>
        <w:spacing w:after="160" w:before="360"/>
      </w:pPr>
      <w:r>
        <w:rPr>
          <w:rFonts w:ascii="Times New Roman" w:cs="Times New Roman" w:eastAsia="Times New Roman" w:hAnsi="Times New Roman"/>
          <w:b/>
          <w:bCs/>
          <w:color w:val="1F3864"/>
          <w:sz w:val="30"/>
          <w:szCs w:val="30"/>
        </w:rPr>
        <w:t xml:space="preserve">13. README.md — the Portfolio Landing Page</w:t>
      </w:r>
    </w:p>
    <w:p>
      <w:pPr>
        <w:spacing w:after="120" w:line="276"/>
      </w:pPr>
      <w:r>
        <w:rPr>
          <w:rFonts w:ascii="Times New Roman" w:cs="Times New Roman" w:eastAsia="Times New Roman" w:hAnsi="Times New Roman"/>
          <w:sz w:val="22"/>
          <w:szCs w:val="22"/>
        </w:rPr>
        <w:t xml:space="preserve">The README is the first thing any reviewer sees. Edit it on the website with the pencil icon. Markdown essentials: # for headings, ## for subheadings, - for bullets, ![alt](path) for images.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U.S. Retail Sector Health - Power BI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Three Power BI reports on one shared semantic model, tracing U.S. retail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national macro conditions to item-level physical 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Reports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![R1 Macro Environment](assets/r1_p1_macro.png)</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![R2 Recession Resistance](assets/r2_p1_stress.png)</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![R3 Assortment Concentration](assets/r3_p1_assortment.png)</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Data model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![Star schema](assets/model_view.png)</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Highlights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Three ingestion patterns in one model: keyed REST API (Census MARTS),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on-premises SQL Server (330,080 rows), and a governed Excel reference file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One published semantic model, three live-connected thin reports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Physical case volume reconciled against nominal dollar sales by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deflating the national series - not by comparing levels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PBIP source control: every DAX change is a readable line diff</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Data sources (not redistributed here)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Census MARTS API: https://api.census.gov/data/timeseries/eits/marts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FRED: https://fred.stlouisfed.org/</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Montgomery County item 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https://catalog.data.gov/dataset/warehouse-and-retail-sales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Repository map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Folder | Contents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docs/ | Numbered document set (00, 01, 02, 12, 13, 14, 15, 20)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sql/ | Warehouse build scripts, run 01 through 08 in order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powerquery/ | M source for the API and file queries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dax/ | Measure catalog by display folder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pbip/ | Power BI Project text - the diffable source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pbix/ | Four binaries: model + three reports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reference/ | RefMappings.xlsx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theme/ | Report theme JSON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assets/ | Page and model screenshots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Limitations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Item-level data covers one Maryland county and one product category;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it is used for grain, not for national inference. Regression coefficients</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are descriptive, not inferential. See docs/01 section 8.</w:t>
      </w:r>
    </w:p>
    <w:p>
      <w:pPr>
        <w:pStyle w:val="ListParagraph"/>
        <w:numPr>
          <w:ilvl w:val="0"/>
          <w:numId w:val="2"/>
        </w:numPr>
        <w:spacing w:after="60" w:line="276"/>
      </w:pPr>
      <w:r>
        <w:rPr>
          <w:rFonts w:ascii="Times New Roman" w:cs="Times New Roman" w:eastAsia="Times New Roman" w:hAnsi="Times New Roman"/>
          <w:sz w:val="22"/>
          <w:szCs w:val="22"/>
        </w:rPr>
        <w:t xml:space="preserve">Upload the screenshots to assets/ so the README image links resolve. Visual READMEs get read; text-only ones get skimmed.</w:t>
      </w:r>
    </w:p>
    <w:p>
      <w:pPr>
        <w:pStyle w:val="ListParagraph"/>
        <w:numPr>
          <w:ilvl w:val="0"/>
          <w:numId w:val="2"/>
        </w:numPr>
        <w:spacing w:after="60" w:line="276"/>
      </w:pPr>
      <w:r>
        <w:rPr>
          <w:rFonts w:ascii="Times New Roman" w:cs="Times New Roman" w:eastAsia="Times New Roman" w:hAnsi="Times New Roman"/>
          <w:sz w:val="22"/>
          <w:szCs w:val="22"/>
        </w:rPr>
        <w:t xml:space="preserve">The limitations paragraph is deliberately in the README rather than buried in a document. A reviewer who sees a project name its own constraints on the landing page reads everything after it more generously.</w:t>
      </w:r>
    </w:p>
    <w:p>
      <w:pPr>
        <w:pStyle w:val="Heading1"/>
        <w:spacing w:after="160" w:before="360"/>
      </w:pPr>
      <w:r>
        <w:rPr>
          <w:rFonts w:ascii="Times New Roman" w:cs="Times New Roman" w:eastAsia="Times New Roman" w:hAnsi="Times New Roman"/>
          <w:b/>
          <w:bCs/>
          <w:color w:val="1F3864"/>
          <w:sz w:val="30"/>
          <w:szCs w:val="30"/>
        </w:rPr>
        <w:t xml:space="preserve">14. Verification Checklist</w:t>
      </w:r>
    </w:p>
    <w:p>
      <w:pPr>
        <w:pStyle w:val="ListParagraph"/>
        <w:numPr>
          <w:ilvl w:val="0"/>
          <w:numId w:val="17"/>
        </w:numPr>
        <w:spacing w:after="60" w:line="276"/>
      </w:pPr>
      <w:r>
        <w:rPr>
          <w:rFonts w:ascii="Times New Roman" w:cs="Times New Roman" w:eastAsia="Times New Roman" w:hAnsi="Times New Roman"/>
          <w:sz w:val="22"/>
          <w:szCs w:val="22"/>
        </w:rPr>
        <w:t xml:space="preserve">Repository is public with README, .gitignore, MIT licence, and the full folder skeleton visible.</w:t>
      </w:r>
    </w:p>
    <w:p>
      <w:pPr>
        <w:pStyle w:val="ListParagraph"/>
        <w:numPr>
          <w:ilvl w:val="0"/>
          <w:numId w:val="17"/>
        </w:numPr>
        <w:spacing w:after="60" w:line="276"/>
      </w:pPr>
      <w:r>
        <w:rPr>
          <w:rFonts w:ascii="Times New Roman" w:cs="Times New Roman" w:eastAsia="Times New Roman" w:hAnsi="Times New Roman"/>
          <w:sz w:val="22"/>
          <w:szCs w:val="22"/>
        </w:rPr>
        <w:t xml:space="preserve">docs/ contains the numbered set (00, 01, 02, 12, 13, 14, 15, 20) with meaningful commit messages.</w:t>
      </w:r>
    </w:p>
    <w:p>
      <w:pPr>
        <w:pStyle w:val="ListParagraph"/>
        <w:numPr>
          <w:ilvl w:val="0"/>
          <w:numId w:val="17"/>
        </w:numPr>
        <w:spacing w:after="60" w:line="276"/>
      </w:pPr>
      <w:r>
        <w:rPr>
          <w:rFonts w:ascii="Times New Roman" w:cs="Times New Roman" w:eastAsia="Times New Roman" w:hAnsi="Times New Roman"/>
          <w:sz w:val="22"/>
          <w:szCs w:val="22"/>
        </w:rPr>
        <w:t xml:space="preserve">sql/ contains all eight scripts, and running them in order on a clean instance reproduces the warehouse.</w:t>
      </w:r>
    </w:p>
    <w:p>
      <w:pPr>
        <w:pStyle w:val="ListParagraph"/>
        <w:numPr>
          <w:ilvl w:val="0"/>
          <w:numId w:val="17"/>
        </w:numPr>
        <w:spacing w:after="60" w:line="276"/>
      </w:pPr>
      <w:r>
        <w:rPr>
          <w:rFonts w:ascii="Times New Roman" w:cs="Times New Roman" w:eastAsia="Times New Roman" w:hAnsi="Times New Roman"/>
          <w:sz w:val="22"/>
          <w:szCs w:val="22"/>
        </w:rPr>
        <w:t xml:space="preserve">GitHub Desktop: repository cloned; all four .pbip files saved inside pbip/; at least one TMDL commit pushed and visible on github.com showing a readable measure diff.</w:t>
      </w:r>
    </w:p>
    <w:p>
      <w:pPr>
        <w:pStyle w:val="ListParagraph"/>
        <w:numPr>
          <w:ilvl w:val="0"/>
          <w:numId w:val="17"/>
        </w:numPr>
        <w:spacing w:after="60" w:line="276"/>
      </w:pPr>
      <w:r>
        <w:rPr>
          <w:rFonts w:ascii="Times New Roman" w:cs="Times New Roman" w:eastAsia="Times New Roman" w:hAnsi="Times New Roman"/>
          <w:sz w:val="22"/>
          <w:szCs w:val="22"/>
        </w:rPr>
        <w:t xml:space="preserve">PBIP local-settings and cache files show as ignored and were never staged.</w:t>
      </w:r>
    </w:p>
    <w:p>
      <w:pPr>
        <w:pStyle w:val="ListParagraph"/>
        <w:numPr>
          <w:ilvl w:val="0"/>
          <w:numId w:val="17"/>
        </w:numPr>
        <w:spacing w:after="60" w:line="276"/>
      </w:pPr>
      <w:r>
        <w:rPr>
          <w:rFonts w:ascii="Times New Roman" w:cs="Times New Roman" w:eastAsia="Times New Roman" w:hAnsi="Times New Roman"/>
          <w:sz w:val="22"/>
          <w:szCs w:val="22"/>
        </w:rPr>
        <w:t xml:space="preserve">The three report PBIP folders contain a report definition and no TMDL — confirming they are genuinely thin.</w:t>
      </w:r>
    </w:p>
    <w:p>
      <w:pPr>
        <w:pStyle w:val="ListParagraph"/>
        <w:numPr>
          <w:ilvl w:val="0"/>
          <w:numId w:val="17"/>
        </w:numPr>
        <w:spacing w:after="60" w:line="276"/>
      </w:pPr>
      <w:r>
        <w:rPr>
          <w:rFonts w:ascii="Times New Roman" w:cs="Times New Roman" w:eastAsia="Times New Roman" w:hAnsi="Times New Roman"/>
          <w:sz w:val="22"/>
          <w:szCs w:val="22"/>
        </w:rPr>
        <w:t xml:space="preserve">Repository search (press “t” or use the search box) for “.csv”, “key=” and the key’s first six characters returns zero hits.</w:t>
      </w:r>
    </w:p>
    <w:p>
      <w:pPr>
        <w:pStyle w:val="ListParagraph"/>
        <w:numPr>
          <w:ilvl w:val="0"/>
          <w:numId w:val="17"/>
        </w:numPr>
        <w:spacing w:after="60" w:line="276"/>
      </w:pPr>
      <w:r>
        <w:rPr>
          <w:rFonts w:ascii="Times New Roman" w:cs="Times New Roman" w:eastAsia="Times New Roman" w:hAnsi="Times New Roman"/>
          <w:sz w:val="22"/>
          <w:szCs w:val="22"/>
        </w:rPr>
        <w:t xml:space="preserve">Branch round-trip completed once: feature branch → PR → merge → pull back to main.</w:t>
      </w:r>
    </w:p>
    <w:p>
      <w:pPr>
        <w:pStyle w:val="ListParagraph"/>
        <w:numPr>
          <w:ilvl w:val="0"/>
          <w:numId w:val="17"/>
        </w:numPr>
        <w:spacing w:after="60" w:line="276"/>
      </w:pPr>
      <w:r>
        <w:rPr>
          <w:rFonts w:ascii="Times New Roman" w:cs="Times New Roman" w:eastAsia="Times New Roman" w:hAnsi="Times New Roman"/>
          <w:sz w:val="22"/>
          <w:szCs w:val="22"/>
        </w:rPr>
        <w:t xml:space="preserve">pbix/ holds the four current milestone binaries; assets/ holds eleven screenshots; README images render.</w:t>
      </w:r>
    </w:p>
    <w:p>
      <w:pPr>
        <w:pStyle w:val="ListParagraph"/>
        <w:numPr>
          <w:ilvl w:val="0"/>
          <w:numId w:val="17"/>
        </w:numPr>
        <w:spacing w:after="60" w:line="276"/>
      </w:pPr>
      <w:r>
        <w:rPr>
          <w:rFonts w:ascii="Times New Roman" w:cs="Times New Roman" w:eastAsia="Times New Roman" w:hAnsi="Times New Roman"/>
          <w:sz w:val="22"/>
          <w:szCs w:val="22"/>
        </w:rPr>
        <w:t xml:space="preserve">CONTRIBUTING.md created in the repository root with the Appendix A content.</w:t>
      </w:r>
    </w:p>
    <w:p>
      <w:pPr>
        <w:pStyle w:val="ListParagraph"/>
        <w:numPr>
          <w:ilvl w:val="0"/>
          <w:numId w:val="17"/>
        </w:numPr>
        <w:spacing w:after="60" w:line="276"/>
      </w:pPr>
      <w:r>
        <w:rPr>
          <w:rFonts w:ascii="Times New Roman" w:cs="Times New Roman" w:eastAsia="Times New Roman" w:hAnsi="Times New Roman"/>
          <w:sz w:val="22"/>
          <w:szCs w:val="22"/>
        </w:rPr>
        <w:t xml:space="preserve">A README.md exists in all nine subfolders, each carrying its Appendix C content rather than a placeholder line.</w:t>
      </w:r>
    </w:p>
    <w:p>
      <w:pPr>
        <w:pStyle w:val="Heading1"/>
        <w:spacing w:after="160" w:before="360"/>
      </w:pPr>
      <w:r>
        <w:rPr>
          <w:rFonts w:ascii="Times New Roman" w:cs="Times New Roman" w:eastAsia="Times New Roman" w:hAnsi="Times New Roman"/>
          <w:b/>
          <w:bCs/>
          <w:color w:val="1F3864"/>
          <w:sz w:val="30"/>
          <w:szCs w:val="30"/>
        </w:rPr>
        <w:t xml:space="preserve">15. References</w:t>
      </w:r>
    </w:p>
    <w:p>
      <w:pPr>
        <w:spacing w:after="120" w:line="276"/>
      </w:pPr>
      <w:r>
        <w:rPr>
          <w:rFonts w:ascii="Times New Roman" w:cs="Times New Roman" w:eastAsia="Times New Roman" w:hAnsi="Times New Roman"/>
          <w:sz w:val="22"/>
          <w:szCs w:val="22"/>
        </w:rPr>
        <w:t xml:space="preserve">Verified against the live pages in September 2026.</w:t>
      </w:r>
    </w:p>
    <w:p>
      <w:pPr>
        <w:spacing w:after="80" w:line="276"/>
      </w:pPr>
      <w:r>
        <w:rPr>
          <w:rFonts w:ascii="Times New Roman" w:cs="Times New Roman" w:eastAsia="Times New Roman" w:hAnsi="Times New Roman"/>
          <w:sz w:val="21"/>
          <w:szCs w:val="21"/>
        </w:rPr>
        <w:t xml:space="preserve">Power BI Desktop projects (PBIP) — the save format behind §8 — </w:t>
      </w:r>
      <w:hyperlink w:history="1" r:id="rIdwlaxm6f1gqk3om9hjoebh">
        <w:r>
          <w:rPr>
            <w:rFonts w:ascii="Times New Roman" w:cs="Times New Roman" w:eastAsia="Times New Roman" w:hAnsi="Times New Roman"/>
            <w:color w:val="0563C1"/>
            <w:sz w:val="21"/>
            <w:szCs w:val="21"/>
            <w:u w:val="single"/>
          </w:rPr>
          <w:t xml:space="preserve">https://learn.microsoft.com/en-us/power-bi/developer/projects/projects-overview</w:t>
        </w:r>
      </w:hyperlink>
    </w:p>
    <w:p>
      <w:pPr>
        <w:spacing w:after="80" w:line="276"/>
      </w:pPr>
      <w:r>
        <w:rPr>
          <w:rFonts w:ascii="Times New Roman" w:cs="Times New Roman" w:eastAsia="Times New Roman" w:hAnsi="Times New Roman"/>
          <w:sz w:val="21"/>
          <w:szCs w:val="21"/>
        </w:rPr>
        <w:t xml:space="preserve">Connect to semantic models in the Power BI service from Power BI Desktop (§3.3, §8.4) — </w:t>
      </w:r>
      <w:hyperlink w:history="1" r:id="rIdd20d_jc0varhinr9tq2g_">
        <w:r>
          <w:rPr>
            <w:rFonts w:ascii="Times New Roman" w:cs="Times New Roman" w:eastAsia="Times New Roman" w:hAnsi="Times New Roman"/>
            <w:color w:val="0563C1"/>
            <w:sz w:val="21"/>
            <w:szCs w:val="21"/>
            <w:u w:val="single"/>
          </w:rPr>
          <w:t xml:space="preserve">https://learn.microsoft.com/en-us/power-bi/connect-data/desktop-report-lifecycle-datasets</w:t>
        </w:r>
      </w:hyperlink>
    </w:p>
    <w:p>
      <w:pPr>
        <w:spacing w:after="80" w:line="276"/>
      </w:pPr>
      <w:r>
        <w:rPr>
          <w:rFonts w:ascii="Times New Roman" w:cs="Times New Roman" w:eastAsia="Times New Roman" w:hAnsi="Times New Roman"/>
          <w:sz w:val="21"/>
          <w:szCs w:val="21"/>
        </w:rPr>
        <w:t xml:space="preserve">Measures in Power BI Desktop — report-level measures (§3.3) — </w:t>
      </w:r>
      <w:hyperlink w:history="1" r:id="rIdz3svl21qi4auvos77bhpa">
        <w:r>
          <w:rPr>
            <w:rFonts w:ascii="Times New Roman" w:cs="Times New Roman" w:eastAsia="Times New Roman" w:hAnsi="Times New Roman"/>
            <w:color w:val="0563C1"/>
            <w:sz w:val="21"/>
            <w:szCs w:val="21"/>
            <w:u w:val="single"/>
          </w:rPr>
          <w:t xml:space="preserve">https://learn.microsoft.com/en-us/power-bi/transform-model/desktop-measures</w:t>
        </w:r>
      </w:hyperlink>
    </w:p>
    <w:p>
      <w:pPr>
        <w:spacing w:after="80" w:line="276"/>
      </w:pPr>
      <w:r>
        <w:rPr>
          <w:rFonts w:ascii="Times New Roman" w:cs="Times New Roman" w:eastAsia="Times New Roman" w:hAnsi="Times New Roman"/>
          <w:sz w:val="21"/>
          <w:szCs w:val="21"/>
        </w:rPr>
        <w:t xml:space="preserve">On-premises data gateway — </w:t>
      </w:r>
      <w:hyperlink w:history="1" r:id="rIdl8kc9scgs7bkgdnodexgp">
        <w:r>
          <w:rPr>
            <w:rFonts w:ascii="Times New Roman" w:cs="Times New Roman" w:eastAsia="Times New Roman" w:hAnsi="Times New Roman"/>
            <w:color w:val="0563C1"/>
            <w:sz w:val="21"/>
            <w:szCs w:val="21"/>
            <w:u w:val="single"/>
          </w:rPr>
          <w:t xml:space="preserve">https://learn.microsoft.com/en-us/power-bi/connect-data/service-gateway-onprem</w:t>
        </w:r>
      </w:hyperlink>
    </w:p>
    <w:p>
      <w:pPr>
        <w:spacing w:after="80" w:line="276"/>
      </w:pPr>
      <w:r>
        <w:rPr>
          <w:rFonts w:ascii="Times New Roman" w:cs="Times New Roman" w:eastAsia="Times New Roman" w:hAnsi="Times New Roman"/>
          <w:sz w:val="21"/>
          <w:szCs w:val="21"/>
        </w:rPr>
        <w:t xml:space="preserve">Census Data API — key signup, the credential §12 protects — </w:t>
      </w:r>
      <w:hyperlink w:history="1" r:id="rIdpcffkfa9whgbvqm4qp37r">
        <w:r>
          <w:rPr>
            <w:rFonts w:ascii="Times New Roman" w:cs="Times New Roman" w:eastAsia="Times New Roman" w:hAnsi="Times New Roman"/>
            <w:color w:val="0563C1"/>
            <w:sz w:val="21"/>
            <w:szCs w:val="21"/>
            <w:u w:val="single"/>
          </w:rPr>
          <w:t xml:space="preserve">https://api.census.gov/data/key_signup.html</w:t>
        </w:r>
      </w:hyperlink>
    </w:p>
    <w:p>
      <w:pPr>
        <w:spacing w:after="80" w:line="276"/>
      </w:pPr>
      <w:r>
        <w:rPr>
          <w:rFonts w:ascii="Times New Roman" w:cs="Times New Roman" w:eastAsia="Times New Roman" w:hAnsi="Times New Roman"/>
          <w:sz w:val="21"/>
          <w:szCs w:val="21"/>
        </w:rPr>
        <w:t xml:space="preserve">Introduction to Git integration (§10) — </w:t>
      </w:r>
      <w:hyperlink w:history="1" r:id="rIdvrmjoz3qgwejlkx-yto8y">
        <w:r>
          <w:rPr>
            <w:rFonts w:ascii="Times New Roman" w:cs="Times New Roman" w:eastAsia="Times New Roman" w:hAnsi="Times New Roman"/>
            <w:color w:val="0563C1"/>
            <w:sz w:val="21"/>
            <w:szCs w:val="21"/>
            <w:u w:val="single"/>
          </w:rPr>
          <w:t xml:space="preserve">https://learn.microsoft.com/en-us/fabric/cicd/git-integration/intro-to-git-integration</w:t>
        </w:r>
      </w:hyperlink>
    </w:p>
    <w:p>
      <w:pPr>
        <w:spacing w:after="80" w:line="276"/>
      </w:pPr>
      <w:r>
        <w:rPr>
          <w:rFonts w:ascii="Times New Roman" w:cs="Times New Roman" w:eastAsia="Times New Roman" w:hAnsi="Times New Roman"/>
          <w:sz w:val="21"/>
          <w:szCs w:val="21"/>
        </w:rPr>
        <w:t xml:space="preserve">Get started with Git integration — connecting a workspace (§10.2) — </w:t>
      </w:r>
      <w:hyperlink w:history="1" r:id="rIdhlrhq4birbqlcahj1fzsb">
        <w:r>
          <w:rPr>
            <w:rFonts w:ascii="Times New Roman" w:cs="Times New Roman" w:eastAsia="Times New Roman" w:hAnsi="Times New Roman"/>
            <w:color w:val="0563C1"/>
            <w:sz w:val="21"/>
            <w:szCs w:val="21"/>
            <w:u w:val="single"/>
          </w:rPr>
          <w:t xml:space="preserve">https://learn.microsoft.com/en-us/fabric/cicd/git-integration/git-get-started</w:t>
        </w:r>
      </w:hyperlink>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On the PBIP article and TMDL.  </w:t>
      </w:r>
      <w:r>
        <w:rPr>
          <w:rFonts w:ascii="Times New Roman" w:cs="Times New Roman" w:eastAsia="Times New Roman" w:hAnsi="Times New Roman"/>
          <w:sz w:val="21"/>
          <w:szCs w:val="21"/>
        </w:rPr>
        <w:t xml:space="preserve">The projects overview documents the .pbip format and the SemanticModel / Report folder split that §3.3 relies on. It references TMDL only briefly; the detailed TMDL serialization format is documented separately under the semantic model articles linked from it. Nothing in §8 depends on that detail.</w:t>
      </w:r>
    </w:p>
    <w:p>
      <w:pPr>
        <w:pStyle w:val="Heading1"/>
        <w:spacing w:after="160" w:before="360"/>
      </w:pPr>
      <w:r>
        <w:rPr>
          <w:rFonts w:ascii="Times New Roman" w:cs="Times New Roman" w:eastAsia="Times New Roman" w:hAnsi="Times New Roman"/>
          <w:b/>
          <w:bCs/>
          <w:color w:val="1F3864"/>
          <w:sz w:val="30"/>
          <w:szCs w:val="30"/>
        </w:rPr>
        <w:t xml:space="preserve">Appendix A — CONTRIBUTING.md</w:t>
      </w:r>
    </w:p>
    <w:p>
      <w:pPr>
        <w:spacing w:after="120" w:line="276"/>
      </w:pPr>
      <w:r>
        <w:rPr>
          <w:rFonts w:ascii="Times New Roman" w:cs="Times New Roman" w:eastAsia="Times New Roman" w:hAnsi="Times New Roman"/>
          <w:sz w:val="22"/>
          <w:szCs w:val="22"/>
        </w:rPr>
        <w:t xml:space="preserve">Create this at the repository root: Add file → Create new file → name it exactly CONTRIBUTING.md → paste the content below → Commit.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Contributing to retail-sector-health</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This repository version-controls the U.S. Retail Sector Health project end to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end: documents, SQL warehouse scripts, Power Query and DAX source, the Power BI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semantic model and three reports (binary and PBIP text form), and screenshots.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Full setup detail is in `docs/00_Development_Environment_and_Source_Control_Setup_Guide.docx`.</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Architecture in one line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One published semantic model; three live-connected thin reports. Measures are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edited in the model file only.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How each file type enters the repo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File type | Tool | Workflow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Word docs, HTML, .pbix, screenshots | GitHub website | Upload -&gt; descriptive commit message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PBIP text files (`pbip/`) | Power BI Desktop + GitHub Desktop | Save into the clone -&gt; review diff -&gt; Commit -&gt; Push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SQL / M / DAX / theme | Either | Small text files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Rules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1. Never commit the source CSV, the Census API key, or SQL backup files.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2. Save .pbip files inside the clone's `pbip/` folder. Nowhere else.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3. Measure changes go in `RetailEconomics_Model` only. If you are editing the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same measure in two files, the architecture has been broken.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4. Re-run `sql/06_item_lifecycle.sql` after any reload of the fact table.</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5. Commit messages say what changed and why, not "update".</w:t>
      </w:r>
    </w:p>
    <w:p>
      <w:pPr>
        <w:pStyle w:val="Heading1"/>
        <w:spacing w:after="160" w:before="360"/>
      </w:pPr>
      <w:r>
        <w:rPr>
          <w:rFonts w:ascii="Times New Roman" w:cs="Times New Roman" w:eastAsia="Times New Roman" w:hAnsi="Times New Roman"/>
          <w:b/>
          <w:bCs/>
          <w:color w:val="1F3864"/>
          <w:sz w:val="30"/>
          <w:szCs w:val="30"/>
        </w:rPr>
        <w:t xml:space="preserve">Appendix B — Artifact Placement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872"/>
        <w:gridCol w:w="3370"/>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Artifact</w:t>
            </w:r>
          </w:p>
        </w:tc>
        <w:tc>
          <w:tcPr>
            <w:tcW w:type="dxa" w:w="131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Folder</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Tool</w:t>
            </w:r>
          </w:p>
        </w:tc>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Notes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00_Development_Environment_and_Source_Control_Setup_Guide.docx</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Website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This document. Uploaded first, before any other artifact</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01_Project_Plan_Retail_Sector_Health.docx</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Website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Overview, sources, model, build sequence, methodology</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02_Data_Setup_and_Semantic_Model_Guide.docx</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Website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Source to ingestion to published model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12/13/14 report mockups (.html)</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Website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Publishable via GitHub Pages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15_Report_Build_Instructions.docx</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Website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Full visual specification and build patterns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20_Data_Dictionary.xlsx</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Website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Columns, measures, relationships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01–08 warehouse scripts (.sql)</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Either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Run in numeric order</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fnGetFredSeries.m and query source</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powerquery/</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Either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Mirrors what is in the model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 catalog (.dax)</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dax/</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Either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file per display folder</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RetailEconomics_Model PBIP</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pbip/</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GitHub Desktop</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only folder with TMDL to diff</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 R2 / R3 PBIP</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pbip/</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GitHub Desktop</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definitions only</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Four .pbix binaries</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pbix/</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Website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Milestone refresh</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reference/</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Website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Analyst-authored mappings; committed on purpose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 R2 / R3 theme .json</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theme/</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Either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per report. Power BI applies exactly one theme file per report</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11 screenshots (.png)</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assets/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Website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 pages + model view</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Montgomery County CSV</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Never committed. Lives at C:\Data\RetailEconomics\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API key</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Never committed. Supplied as a Service credential</w:t>
            </w:r>
          </w:p>
        </w:tc>
      </w:tr>
    </w:tbl>
    <w:p>
      <w:pPr>
        <w:pStyle w:val="Heading1"/>
        <w:spacing w:after="160" w:before="360"/>
      </w:pPr>
      <w:r>
        <w:rPr>
          <w:rFonts w:ascii="Times New Roman" w:cs="Times New Roman" w:eastAsia="Times New Roman" w:hAnsi="Times New Roman"/>
          <w:b/>
          <w:bCs/>
          <w:color w:val="1F3864"/>
          <w:sz w:val="30"/>
          <w:szCs w:val="30"/>
        </w:rPr>
        <w:t xml:space="preserve">Appendix C — Folder README Files</w:t>
      </w:r>
    </w:p>
    <w:p>
      <w:pPr>
        <w:spacing w:after="120" w:line="276"/>
      </w:pPr>
      <w:r>
        <w:rPr>
          <w:rFonts w:ascii="Times New Roman" w:cs="Times New Roman" w:eastAsia="Times New Roman" w:hAnsi="Times New Roman"/>
          <w:sz w:val="22"/>
          <w:szCs w:val="22"/>
        </w:rPr>
        <w:t xml:space="preserve">GitHub renders a README.md inside any folder directly beneath that folder’s file list, which makes it the most-read documentation in a repository and the least-written. Each of the nine folders below gets one. Together they mean a reviewer can understand any part of the repository without leaving the page they landed on, and can answer the two questions a folder always raises — what belongs here, and what must never be put here.</w:t>
      </w:r>
    </w:p>
    <w:p>
      <w:pPr>
        <w:spacing w:after="120" w:line="276"/>
      </w:pPr>
      <w:r>
        <w:rPr>
          <w:rFonts w:ascii="Times New Roman" w:cs="Times New Roman" w:eastAsia="Times New Roman" w:hAnsi="Times New Roman"/>
          <w:sz w:val="22"/>
          <w:szCs w:val="22"/>
        </w:rPr>
        <w:t xml:space="preserve">Create each one the same way: Add file → Create new file → type the path exactly as the heading gives it, for example docs/README.md → paste the content → Commit. Typing the slash creates the folder, so this step and §4.4 are the same action; doing it with these contents rather than a placeholder line saves repeating the work later.</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A folder README is not the root README.  </w:t>
      </w:r>
      <w:r>
        <w:rPr>
          <w:rFonts w:ascii="Times New Roman" w:cs="Times New Roman" w:eastAsia="Times New Roman" w:hAnsi="Times New Roman"/>
          <w:sz w:val="21"/>
          <w:szCs w:val="21"/>
        </w:rPr>
        <w:t xml:space="preserve">The root README.md (§13) sells the project to a reviewer who has never seen it. A folder README orients someone already inside the repository who is about to add or change a file. Different audience, different job — do not merge them.</w:t>
      </w:r>
    </w:p>
    <w:p>
      <w:pPr>
        <w:pStyle w:val="Heading2"/>
        <w:spacing w:after="120" w:before="280"/>
      </w:pPr>
      <w:r>
        <w:rPr>
          <w:rFonts w:ascii="Times New Roman" w:cs="Times New Roman" w:eastAsia="Times New Roman" w:hAnsi="Times New Roman"/>
          <w:b/>
          <w:bCs/>
          <w:color w:val="2E5496"/>
          <w:sz w:val="25"/>
          <w:szCs w:val="25"/>
        </w:rPr>
        <w:t xml:space="preserve">C.1 docs/README.md</w:t>
      </w:r>
    </w:p>
    <w:p>
      <w:pPr>
        <w:spacing w:after="120" w:line="276"/>
      </w:pPr>
      <w:r>
        <w:rPr>
          <w:rFonts w:ascii="Times New Roman" w:cs="Times New Roman" w:eastAsia="Times New Roman" w:hAnsi="Times New Roman"/>
          <w:sz w:val="22"/>
          <w:szCs w:val="22"/>
        </w:rPr>
        <w:t xml:space="preserve">The only folder whose contents are numbered for a reader rather than for a machine. The table doubles as the set register, so anyone landing here sees the whole document set without opening one.</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docs/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The numbered document set. Everything a human reads in lifecycle sequence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lives here; nothing a system consumes does.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Doc | File | What it answers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00 | 00_Development_Environment_and_Source_Control_Setup_Guide.docx | Where does the work live?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01 | 01_Project_Plan_Retail_Sector_Health.docx | What are we building?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02 | 02_Data_Setup_and_Semantic_Model_Guide.docx | How does data get in?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12 | 12_R1_Report_Mockup.html | What should R1 look like?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13 | 13_R2_Report_Mockup.html | What should R2 look like?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14 | 14_R3_Report_Mockup.html | What should R3 look like?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15 | 15_Report_Build_Instructions.docx | How is each visual built?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20 | 20_Data_Dictionary.xlsx | What is this column or measure?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Read 00 first. It is numbered 00 because the repository has to exist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before anything else in the project does.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Numbering is gapped on purpose. 05, 22, 24 and 30 are reserved, so 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later document slots in without renumbering anything already cited.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Rules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Never renumber a delivered document. Other documents cite it by number.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 three .html mockups are self-contained and can be published with</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GitHub Pages with no build step.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Word and Excel files are uploaded through the GitHub website rather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than GitHub Desktop. See document 00 section 8.</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pStyle w:val="Heading2"/>
        <w:spacing w:after="120" w:before="280"/>
      </w:pPr>
      <w:r>
        <w:rPr>
          <w:rFonts w:ascii="Times New Roman" w:cs="Times New Roman" w:eastAsia="Times New Roman" w:hAnsi="Times New Roman"/>
          <w:b/>
          <w:bCs/>
          <w:color w:val="2E5496"/>
          <w:sz w:val="25"/>
          <w:szCs w:val="25"/>
        </w:rPr>
        <w:t xml:space="preserve">C.2 sql/README.md</w:t>
      </w:r>
    </w:p>
    <w:p>
      <w:pPr>
        <w:spacing w:after="120" w:line="276"/>
      </w:pPr>
      <w:r>
        <w:rPr>
          <w:rFonts w:ascii="Times New Roman" w:cs="Times New Roman" w:eastAsia="Times New Roman" w:hAnsi="Times New Roman"/>
          <w:sz w:val="22"/>
          <w:szCs w:val="22"/>
        </w:rPr>
        <w:t xml:space="preserve">The one folder where the file numbering is an instruction. This README says so explicitly, because a reviewer who runs 04 before 02 will get an error that does not explain itself.</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sql/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The warehouse build. Run 01 through 08 in numeric order against a clean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SQL Server 2025 instance and the RetailEconomics database rebuilds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the source CSV with no manual step anywhere in the sequence.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Script | What it does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01_create_database.sql | RetailEconomics, plus the stg and dw schemas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02_staging_table.sql | stg.WarehouseRetailSales and the BULK INSERT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03_profiling_queries.sql | Row counts, nulls, defects — read the output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04_dimensions.sql | dw.DimDate, dw.DimItem, dw.DimSupplier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05_fact_and_proc.sql | dw.FactItemMovement and its load procedure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06_item_lifecycle.sql | FirstSeen, LastSeen, MonthsActive, CohortYear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07_indexes.sql | Clustered and non-clustered indexes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08_presentation_views.sql | dw.vw_ItemMovement — what Power BI reads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Rules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 numbering is an instruction, not a filing convention. This is the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only folder in the repository where that is true.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Re-run 06 after any reload of the fact table. The lifecycle 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are derived, and they go stale silently rather than loudly.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These files contain schema only — no rows, no backups, no .bak, .mdf</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or .ldf files. .gitignore blocks those, but the rule comes first.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Power BI reads the view created in 08. It never reads a base table.</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pStyle w:val="Heading2"/>
        <w:spacing w:after="120" w:before="280"/>
      </w:pPr>
      <w:r>
        <w:rPr>
          <w:rFonts w:ascii="Times New Roman" w:cs="Times New Roman" w:eastAsia="Times New Roman" w:hAnsi="Times New Roman"/>
          <w:b/>
          <w:bCs/>
          <w:color w:val="2E5496"/>
          <w:sz w:val="25"/>
          <w:szCs w:val="25"/>
        </w:rPr>
        <w:t xml:space="preserve">C.3 powerquery/README.md</w:t>
      </w:r>
    </w:p>
    <w:p>
      <w:pPr>
        <w:spacing w:after="120" w:line="276"/>
      </w:pPr>
      <w:r>
        <w:rPr>
          <w:rFonts w:ascii="Times New Roman" w:cs="Times New Roman" w:eastAsia="Times New Roman" w:hAnsi="Times New Roman"/>
          <w:sz w:val="22"/>
          <w:szCs w:val="22"/>
        </w:rPr>
        <w:t xml:space="preserve">Mirrors the model rather than defining it, and the README says which copy wins. That sentence is the difference between a useful mirror and a misleading one.</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powerquery/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The M source behind every query in the semantic model, extracted so it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is readable and diffable outside Power BI Desktop.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File |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fnGetFredSeries.m | Reusable function — one FRED series per call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FactMacro.m | Invokes the function per series, then appends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FactSectorSales.m | Census MARTS, Web.Contents with a Query record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DimCategory.m | The RefMappings.xlsx named table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Rules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This folder mirrors the model; it is not the model. Edit in Power BI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Desktop, then paste the Advanced Editor text back here. The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authoritative copy is pbip/RetailEconomics_Model/.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pCensusKey is referenced as a parameter and never appears as a literal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 any file here. Check that before every commit, not after.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Web.Contents keeps its base URL static, with RelativePath and Query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carrying everything variable. That is precisely what lets the Power BI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Service refresh these two sources without a gateway.</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pStyle w:val="Heading2"/>
        <w:spacing w:after="120" w:before="280"/>
      </w:pPr>
      <w:r>
        <w:rPr>
          <w:rFonts w:ascii="Times New Roman" w:cs="Times New Roman" w:eastAsia="Times New Roman" w:hAnsi="Times New Roman"/>
          <w:b/>
          <w:bCs/>
          <w:color w:val="2E5496"/>
          <w:sz w:val="25"/>
          <w:szCs w:val="25"/>
        </w:rPr>
        <w:t xml:space="preserve">C.4 dax/README.md</w:t>
      </w:r>
    </w:p>
    <w:p>
      <w:pPr>
        <w:spacing w:after="120" w:line="276"/>
      </w:pPr>
      <w:r>
        <w:rPr>
          <w:rFonts w:ascii="Times New Roman" w:cs="Times New Roman" w:eastAsia="Times New Roman" w:hAnsi="Times New Roman"/>
          <w:sz w:val="22"/>
          <w:szCs w:val="22"/>
        </w:rPr>
        <w:t xml:space="preserve">The catalog that makes the measure library browsable on GitHub without opening a .pbix. It also restates the one architectural rule that a reader of this folder most needs to know.</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dax/</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The measure catalog, one file per display folder, mirroring the folder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structure inside the semantic model. 79 measures in total.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File | Display folder in the model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01_macro.dax | 01 Macro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02_sector.dax | 02 Sector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03_micro.dax | 03 Micro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04_cross_tier.dax | 04 Cross-Tier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05_channel.dax | 05 Channel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06_elasticity.dax | 06 Elasticity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07_rotation.dax | 07 Rotation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08_assortment.dax | 08 Assortment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09_supplier.dax | 09 Supplier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10_seasonality.dax | 10 Seasonality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Every definition, with its format string and its description, is also in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docs/20_Data_Dictionary.xlsx on the Measures tab.</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Rules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Measures live in the semantic model only. A measure added inside a thin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report exists in that one report, which is the divergence the shared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model exists to prevent.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This folder is a readable mirror. Where it disagrees with the model,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 model is right and this folder is stale.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Leave a blank line between measures so a diff stays legible.</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pStyle w:val="Heading2"/>
        <w:spacing w:after="120" w:before="280"/>
      </w:pPr>
      <w:r>
        <w:rPr>
          <w:rFonts w:ascii="Times New Roman" w:cs="Times New Roman" w:eastAsia="Times New Roman" w:hAnsi="Times New Roman"/>
          <w:b/>
          <w:bCs/>
          <w:color w:val="2E5496"/>
          <w:sz w:val="25"/>
          <w:szCs w:val="25"/>
        </w:rPr>
        <w:t xml:space="preserve">C.5 pbip/README.md</w:t>
      </w:r>
    </w:p>
    <w:p>
      <w:pPr>
        <w:spacing w:after="120" w:line="276"/>
      </w:pPr>
      <w:r>
        <w:rPr>
          <w:rFonts w:ascii="Times New Roman" w:cs="Times New Roman" w:eastAsia="Times New Roman" w:hAnsi="Times New Roman"/>
          <w:sz w:val="22"/>
          <w:szCs w:val="22"/>
        </w:rPr>
        <w:t xml:space="preserve">The folder that carries the strongest engineering signal in the repository, and also the one with the credential risk. Both are stated here rather than left to document 00.</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pbip/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Power BI Project format — the text serialization of all four Power BI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files. This is the folder that turns a model change into a reviewable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line-by-line diff instead of an opaque binary blob.</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Folder | Contains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RetailEconomics_Model/ | The semantic model. TMDL lives here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R1_Retail_Sector_Health/ | Report definition only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R2_Consumer_Stress/ | Report definition only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R3_Assortment_Supplier/ | Report definition only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Rules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Save every .pbip inside this folder. Saving elsewhere and copying files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 afterwards is how commit history gets lost.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Only RetailEconomics_Model/ contains TMDL. If a report folder ever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grows a model, the live connection has been broken and the report is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 longer thin.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.pbi/localSettings.json and cache.abf are ignored. Confirm they show as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grayed out in GitHub Desktop before the first commit.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Search the TMDL for "key=" and for the first six characters of the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Census key before every push. A parameter's current value can serialize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depending on the Desktop version and settings.</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pStyle w:val="Heading2"/>
        <w:spacing w:after="120" w:before="280"/>
      </w:pPr>
      <w:r>
        <w:rPr>
          <w:rFonts w:ascii="Times New Roman" w:cs="Times New Roman" w:eastAsia="Times New Roman" w:hAnsi="Times New Roman"/>
          <w:b/>
          <w:bCs/>
          <w:color w:val="2E5496"/>
          <w:sz w:val="25"/>
          <w:szCs w:val="25"/>
        </w:rPr>
        <w:t xml:space="preserve">C.6 pbix/README.md</w:t>
      </w:r>
    </w:p>
    <w:p>
      <w:pPr>
        <w:spacing w:after="120" w:line="276"/>
      </w:pPr>
      <w:r>
        <w:rPr>
          <w:rFonts w:ascii="Times New Roman" w:cs="Times New Roman" w:eastAsia="Times New Roman" w:hAnsi="Times New Roman"/>
          <w:sz w:val="22"/>
          <w:szCs w:val="22"/>
        </w:rPr>
        <w:t xml:space="preserve">Explains why binaries are committed at all, which is a fair question for anyone who has been told binaries do not belong in Git.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pbix/</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The four binaries, refreshed at milestones. This is what a reviewer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double-clicks; pbip/ is what Git actually diffs. Both are deliberate.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File | Contents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RetailEconomics_Model.pbix | Model and data, no report pages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R1_Retail_Sector_Health.pbix | Thin report, live connection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R2_Consumer_Stress.pbix | Thin report, live connection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R3_Assortment_Supplier.pbix | Thin report, live connection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Rules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Binaries do not diff. Commit them at milestones, with a message saying</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what changed — not on every save.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Upload through the GitHub website. GitHub Desktop handles them, but the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website is simpler for files this size.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 three report files carry no model. If one of them is more than 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few megabytes, it is not thin and something has gone wrong.</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pStyle w:val="Heading2"/>
        <w:spacing w:after="120" w:before="280"/>
      </w:pPr>
      <w:r>
        <w:rPr>
          <w:rFonts w:ascii="Times New Roman" w:cs="Times New Roman" w:eastAsia="Times New Roman" w:hAnsi="Times New Roman"/>
          <w:b/>
          <w:bCs/>
          <w:color w:val="2E5496"/>
          <w:sz w:val="25"/>
          <w:szCs w:val="25"/>
        </w:rPr>
        <w:t xml:space="preserve">C.7 reference/README.md</w:t>
      </w:r>
    </w:p>
    <w:p>
      <w:pPr>
        <w:spacing w:after="120" w:line="276"/>
      </w:pPr>
      <w:r>
        <w:rPr>
          <w:rFonts w:ascii="Times New Roman" w:cs="Times New Roman" w:eastAsia="Times New Roman" w:hAnsi="Times New Roman"/>
          <w:sz w:val="22"/>
          <w:szCs w:val="22"/>
        </w:rPr>
        <w:t xml:space="preserve">The folder that most needs a README, because a committed Excel file in a data project looks wrong until the reason is stated. The provenance breakdown is the reason.</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reference/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Analyst-maintained inputs. One file: RefMappings.xlsx.</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This workbook is committed on purpose, and the distinction is the whole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rule: source data stays out of Git, analyst judgement goes in.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RefMappings is the second kind. It carries the display names, groupings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and classifications that no upstream system owns.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What is in the workbook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CategoryMap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CategoryCode, CategoryName — transcribed from the published MARTS list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IsAggregate — derived from the code list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CategoryGroup, DisplayOrder — analyst judgement, openly labelled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ItemTypeMap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ItemType — the source's own distinct values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BeverageClass — analyst judgement, openly labelled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Rules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Use named tables, not sheet ranges. Power Query binds to the name; 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range shifts the moment a row is inserted above it.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 column here invents a fact. Every value is transcribed, derived, or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 display choice that says so. Full provenance is document 02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section 6.4.</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Changing a grouping changes what every report displays. Commit with 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message that says what moved and why.</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pStyle w:val="Heading2"/>
        <w:spacing w:after="120" w:before="280"/>
      </w:pPr>
      <w:r>
        <w:rPr>
          <w:rFonts w:ascii="Times New Roman" w:cs="Times New Roman" w:eastAsia="Times New Roman" w:hAnsi="Times New Roman"/>
          <w:b/>
          <w:bCs/>
          <w:color w:val="2E5496"/>
          <w:sz w:val="25"/>
          <w:szCs w:val="25"/>
        </w:rPr>
        <w:t xml:space="preserve">C.8 theme/README.md</w:t>
      </w:r>
    </w:p>
    <w:p>
      <w:pPr>
        <w:spacing w:after="120" w:line="276"/>
      </w:pPr>
      <w:r>
        <w:rPr>
          <w:rFonts w:ascii="Times New Roman" w:cs="Times New Roman" w:eastAsia="Times New Roman" w:hAnsi="Times New Roman"/>
          <w:sz w:val="22"/>
          <w:szCs w:val="22"/>
        </w:rPr>
        <w:t xml:space="preserve">Short, because the folder used to be. It is now the folder most likely to be misread: three files that look nearly identical are in fact three complete themes, because Power BI gives a report exactly one and offers no inheritance. The README says that in its first sentence so nobody tries to factor out the shared part.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theme/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One report theme per report. Power BI applies exactly one theme JSON to 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report file, and themes cannot import or inherit from one another, so each</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file here is complete rather than a patch on a shared base.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File | Applied to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R1_Retail_Sector_Health.json | R1 — Macro Environment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R2_Consumer_Stress.json | R2 — Recession Resistance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R3_Assortment_Supplier.json | R3 — Assortment Concentration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All three carry an identical palette, page background, text classes and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wildcard visual defaults, so the three reports read as one family. Each</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then adds visualStyles for the visual types that report actually uses: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R1 line and combo weights, R2 the diverging matrix and stacked area,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R3 scatter bubbles and the Pareto combo.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Token | Hex | Used for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dataColors[0] | #1F3864 | Navy — primary series, header band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dataColors[1] | #2E74B5 | Blue — secondary series, data bars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dataColors[2] | #1B9E8F | Teal — real / deflated series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dataColors[3] | #C8860A | Amber — markers, thresholds, warnings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bad / good | #C0392B / #1E7B34 | Conditional formatting extremes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neutral | #B3B0AD | Muted and below-reference series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background | #FAFAFA | Canvas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secondaryBackground | #FFFFFF | Visual background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How to apply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View ribbon → Themes → Browse for themes → select this report's file.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Do it before building the first visual, not after: a theme changes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defaults, and it does not overwrite a property already set by hand.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Rules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 palette above is document 15 section 3.1, verbatim. If these files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and that table ever disagree, fix the file — the document is the spec.</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Power BI silently ignores a theme key it does not recognise. Nothing</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errors, nothing warns; the property simply keeps its default. Verify by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looking, using the three checks in document 15 section 3.3.</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 colour set on an individual visual overrides the theme and is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invisible to anyone reading this folder. Avoid it.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Editing one file does not change the other two. A palette change is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three edits, and re-running theme/gen_themes.py is the safer way to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make it.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 canvas is 1280 x 720 on every page of all three reports. That is 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page setting, not a theme setting — changing it here does nothing.</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pStyle w:val="Heading2"/>
        <w:spacing w:after="120" w:before="280"/>
      </w:pPr>
      <w:r>
        <w:rPr>
          <w:rFonts w:ascii="Times New Roman" w:cs="Times New Roman" w:eastAsia="Times New Roman" w:hAnsi="Times New Roman"/>
          <w:b/>
          <w:bCs/>
          <w:color w:val="2E5496"/>
          <w:sz w:val="25"/>
          <w:szCs w:val="25"/>
        </w:rPr>
        <w:t xml:space="preserve">C.9 assets/README.md</w:t>
      </w:r>
    </w:p>
    <w:p>
      <w:pPr>
        <w:spacing w:after="120" w:line="276"/>
      </w:pPr>
      <w:r>
        <w:rPr>
          <w:rFonts w:ascii="Times New Roman" w:cs="Times New Roman" w:eastAsia="Times New Roman" w:hAnsi="Times New Roman"/>
          <w:sz w:val="22"/>
          <w:szCs w:val="22"/>
        </w:rPr>
        <w:t xml:space="preserve">Sets the capture standard, so the README images stay consistent as pages are rebuilt.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assets/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Screenshots referenced by the root README. Eleven files.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File | Shows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r1_p1_macro.png, r1_p2, r1_p3 | R1 pages 1 to 3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r2_p1_stress.png, r2_p2, r2_p3 | R2 pages 4 to 6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r3_p1_assortment.png, r3_p2 to p4 | R3 pages 7 to 10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model_view.png | The star schema in Model view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Rules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Capture at 1280 x 720, matching the report canvas, so the images stay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consistent and the README renders evenly.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model_view.png is the credibility shot. A reviewer who sees a clean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star schema reads everything after it more generously.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Recommended addition: one screenshot of a PBIP commit diff showing 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single measure change line by line. It is the strongest "works like an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engineer" image a Power BI portfolio can carry.</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pStyle w:val="Heading1"/>
        <w:spacing w:after="160" w:before="360"/>
      </w:pPr>
      <w:r>
        <w:rPr>
          <w:rFonts w:ascii="Times New Roman" w:cs="Times New Roman" w:eastAsia="Times New Roman" w:hAnsi="Times New Roman"/>
          <w:b/>
          <w:bCs/>
          <w:color w:val="1F3864"/>
          <w:sz w:val="30"/>
          <w:szCs w:val="30"/>
        </w:rPr>
        <w:t xml:space="preserve">AI Assistance Disclosure</w:t>
      </w:r>
    </w:p>
    <w:p>
      <w:pPr>
        <w:spacing w:after="120" w:line="276"/>
      </w:pPr>
      <w:r>
        <w:rPr>
          <w:rFonts w:ascii="Times New Roman" w:cs="Times New Roman" w:eastAsia="Times New Roman" w:hAnsi="Times New Roman"/>
          <w:sz w:val="22"/>
          <w:szCs w:val="22"/>
        </w:rPr>
        <w:t xml:space="preserve">Portions of this document were drafted with the assistance of a generative AI system. The author reviewed all technical content prior to publication. Tool behaviour described here — PBIP serialization, live-connection capabilities and limits, and GitHub Desktop workflow — was verified against Microsoft documentation in September 2026. Procedures should be confirmed against the current release of each tool, since interface details change between versions.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laxm6f1gqk3om9hjoebh" Type="http://schemas.openxmlformats.org/officeDocument/2006/relationships/hyperlink" Target="https://learn.microsoft.com/en-us/power-bi/developer/projects/projects-overview" TargetMode="External"/><Relationship Id="rIdd20d_jc0varhinr9tq2g_" Type="http://schemas.openxmlformats.org/officeDocument/2006/relationships/hyperlink" Target="https://learn.microsoft.com/en-us/power-bi/connect-data/desktop-report-lifecycle-datasets" TargetMode="External"/><Relationship Id="rIdz3svl21qi4auvos77bhpa" Type="http://schemas.openxmlformats.org/officeDocument/2006/relationships/hyperlink" Target="https://learn.microsoft.com/en-us/power-bi/transform-model/desktop-measures" TargetMode="External"/><Relationship Id="rIdl8kc9scgs7bkgdnodexgp" Type="http://schemas.openxmlformats.org/officeDocument/2006/relationships/hyperlink" Target="https://learn.microsoft.com/en-us/power-bi/connect-data/service-gateway-onprem" TargetMode="External"/><Relationship Id="rIdpcffkfa9whgbvqm4qp37r" Type="http://schemas.openxmlformats.org/officeDocument/2006/relationships/hyperlink" Target="https://api.census.gov/data/key_signup.html" TargetMode="External"/><Relationship Id="rIdvrmjoz3qgwejlkx-yto8y" Type="http://schemas.openxmlformats.org/officeDocument/2006/relationships/hyperlink" Target="https://learn.microsoft.com/en-us/fabric/cicd/git-integration/intro-to-git-integration" TargetMode="External"/><Relationship Id="rIdhlrhq4birbqlcahj1fzsb" Type="http://schemas.openxmlformats.org/officeDocument/2006/relationships/hyperlink" Target="https://learn.microsoft.com/en-us/fabric/cicd/git-integration/git-get-started"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2026-09-18T19:31:48.314Z</dcterms:created>
  <dcterms:modified xsi:type="dcterms:W3CDTF">2026-09-18T19:31:48.321Z</dcterms:modified>
</cp:coreProperties>
</file>

<file path=docProps/custom.xml><?xml version="1.0" encoding="utf-8"?>
<Properties xmlns="http://schemas.openxmlformats.org/officeDocument/2006/custom-properties" xmlns:vt="http://schemas.openxmlformats.org/officeDocument/2006/docPropsVTypes"/>
</file>