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pPr>
      <w:r>
        <w:rPr>
          <w:rFonts w:ascii="Times New Roman" w:cs="Times New Roman" w:eastAsia="Times New Roman" w:hAnsi="Times New Roman"/>
          <w:b/>
          <w:bCs/>
          <w:color w:val="1F3864"/>
          <w:sz w:val="34"/>
          <w:szCs w:val="34"/>
        </w:rPr>
        <w:t xml:space="preserve">Report Evaluation Strategy &amp; Runbook</w:t>
      </w:r>
    </w:p>
    <w:p>
      <w:pPr>
        <w:spacing w:after="120"/>
      </w:pPr>
      <w:r>
        <w:rPr>
          <w:rFonts w:ascii="Times New Roman" w:cs="Times New Roman" w:eastAsia="Times New Roman" w:hAnsi="Times New Roman"/>
          <w:color w:val="555555"/>
          <w:sz w:val="22"/>
          <w:szCs w:val="22"/>
        </w:rPr>
        <w:t xml:space="preserve">Retail Sales Analysis &amp; Forecasting Dashboard  ·  Superstore Portfolio Project</w:t>
      </w:r>
    </w:p>
    <w:p>
      <w:pPr>
        <w:spacing w:after="240"/>
      </w:pPr>
      <w:r>
        <w:rPr>
          <w:rFonts w:ascii="Times New Roman" w:cs="Times New Roman" w:eastAsia="Times New Roman" w:hAnsi="Times New Roman"/>
          <w:color w:val="555555"/>
          <w:sz w:val="20"/>
          <w:szCs w:val="20"/>
        </w:rPr>
        <w:t xml:space="preserve">Revision 2 — Fabric-first  ·  Supersedes the desktop external-tools plan  ·  30 July 2026  ·  Document 22</w:t>
      </w:r>
    </w:p>
    <w:p>
      <w:pPr>
        <w:pStyle w:val="Heading1"/>
        <w:spacing w:after="140" w:before="300"/>
      </w:pPr>
      <w:r>
        <w:rPr>
          <w:rFonts w:ascii="Times New Roman" w:cs="Times New Roman" w:eastAsia="Times New Roman" w:hAnsi="Times New Roman"/>
          <w:b/>
          <w:bCs/>
          <w:color w:val="1F3864"/>
          <w:sz w:val="30"/>
          <w:szCs w:val="30"/>
        </w:rPr>
        <w:t xml:space="preserve">1. Verdict</w:t>
      </w:r>
    </w:p>
    <w:p>
      <w:pPr>
        <w:spacing w:after="120"/>
      </w:pPr>
      <w:r>
        <w:rPr>
          <w:rFonts w:ascii="Times New Roman" w:cs="Times New Roman" w:eastAsia="Times New Roman" w:hAnsi="Times New Roman"/>
          <w:b/>
          <w:bCs/>
          <w:sz w:val="22"/>
          <w:szCs w:val="22"/>
        </w:rPr>
        <w:t xml:space="preserve">With a Fabric subscription, run the evaluation in a Fabric notebook, not in desktop external tools. </w:t>
      </w:r>
      <w:r>
        <w:rPr>
          <w:rFonts w:ascii="Times New Roman" w:cs="Times New Roman" w:eastAsia="Times New Roman" w:hAnsi="Times New Roman"/>
          <w:sz w:val="22"/>
          <w:szCs w:val="22"/>
        </w:rPr>
        <w:t xml:space="preserve">This is not a preference for the newer thing. One Python library — semantic-link-labs — replaces five of the nine tools in Revision 1 with function calls, and it does so against the same model and the same PBIR report files, using the same Best Practice Analyzer rule engine underneath.</w:t>
      </w:r>
    </w:p>
    <w:p>
      <w:pPr>
        <w:spacing w:after="120"/>
      </w:pPr>
      <w:r>
        <w:rPr>
          <w:rFonts w:ascii="Times New Roman" w:cs="Times New Roman" w:eastAsia="Times New Roman" w:hAnsi="Times New Roman"/>
          <w:sz w:val="22"/>
          <w:szCs w:val="22"/>
        </w:rPr>
        <w:t xml:space="preserve">The material difference is that the evaluation stops being an afternoon of clicking and becomes an artefact. It runs on demand, exports to a delta table so results accumulate as a time series, and lives in the repo next to the .pbip. For a portfolio project whose entire thesis is engineering discipline, that distinction is the point.</w:t>
      </w:r>
    </w:p>
    <w:p>
      <w:pPr>
        <w:spacing w:after="120"/>
      </w:pPr>
      <w:r>
        <w:rPr>
          <w:rFonts w:ascii="Times New Roman" w:cs="Times New Roman" w:eastAsia="Times New Roman" w:hAnsi="Times New Roman"/>
          <w:sz w:val="22"/>
          <w:szCs w:val="22"/>
        </w:rPr>
        <w:t xml:space="preserve">Three things still need Power BI Desktop. They are listed in section 4, and section 5 covers installing the two tools worth having on a clean machine.</w:t>
      </w:r>
    </w:p>
    <w:p>
      <w:pPr>
        <w:spacing w:after="120"/>
      </w:pPr>
      <w:r>
        <w:rPr>
          <w:rFonts w:ascii="Times New Roman" w:cs="Times New Roman" w:eastAsia="Times New Roman" w:hAnsi="Times New Roman"/>
          <w:b/>
          <w:bCs/>
          <w:sz w:val="22"/>
          <w:szCs w:val="22"/>
        </w:rPr>
        <w:t xml:space="preserve">Prerequisite already met: </w:t>
      </w:r>
      <w:r>
        <w:rPr>
          <w:rFonts w:ascii="Times New Roman" w:cs="Times New Roman" w:eastAsia="Times New Roman" w:hAnsi="Times New Roman"/>
          <w:sz w:val="22"/>
          <w:szCs w:val="22"/>
        </w:rPr>
        <w:t xml:space="preserve">the report is saved as .pbip in PBIR folder format. Every report-layer function in semantic-link-labs depends on it, and legacy .pbix is not supported by any of them.</w:t>
      </w:r>
    </w:p>
    <w:p>
      <w:pPr>
        <w:pStyle w:val="Heading1"/>
        <w:spacing w:after="140" w:before="300"/>
      </w:pPr>
      <w:r>
        <w:rPr>
          <w:rFonts w:ascii="Times New Roman" w:cs="Times New Roman" w:eastAsia="Times New Roman" w:hAnsi="Times New Roman"/>
          <w:b/>
          <w:bCs/>
          <w:color w:val="1F3864"/>
          <w:sz w:val="30"/>
          <w:szCs w:val="30"/>
        </w:rPr>
        <w:t xml:space="preserve">2. What Fabric replaces</w:t>
      </w:r>
    </w:p>
    <w:p>
      <w:pPr>
        <w:spacing w:after="100"/>
      </w:pPr>
      <w:r>
        <w:rPr>
          <w:rFonts w:ascii="Times New Roman" w:cs="Times New Roman" w:eastAsia="Times New Roman" w:hAnsi="Times New Roman"/>
          <w:sz w:val="22"/>
          <w:szCs w:val="22"/>
        </w:rPr>
        <w:t xml:space="preserve">Mapping Revision 1's toolchain onto the notebook equivalents: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2650"/>
      </w:tblGrid>
      <w:tr>
        <w:trPr>
          <w:tblHeader/>
        </w:trPr>
        <w:tc>
          <w:tcPr>
            <w:tcW w:type="dxa" w:w="235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Revision 1 tool</w:t>
            </w:r>
          </w:p>
        </w:tc>
        <w:tc>
          <w:tcPr>
            <w:tcW w:type="dxa" w:w="31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Fabric equivalent</w:t>
            </w:r>
          </w:p>
        </w:tc>
        <w:tc>
          <w:tcPr>
            <w:tcW w:type="dxa" w:w="265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Gain</w:t>
            </w:r>
          </w:p>
        </w:tc>
      </w:tr>
      <w:tr>
        <w:tc>
          <w:tcPr>
            <w:tcW w:type="dxa" w:w="23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Tabular Editor 2 — BPA</w:t>
            </w:r>
          </w:p>
        </w:tc>
        <w:tc>
          <w:tcPr>
            <w:tcW w:type="dxa" w:w="3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sempy_labs.run_model_bpa()</w:t>
            </w:r>
          </w:p>
        </w:tc>
        <w:tc>
          <w:tcPr>
            <w:tcW w:type="dxa" w:w="26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Same rule engine, scriptable, exportable</w:t>
            </w:r>
          </w:p>
        </w:tc>
      </w:tr>
      <w:tr>
        <w:tc>
          <w:tcPr>
            <w:tcW w:type="dxa" w:w="23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DAX Studio — VertiPaq Analyzer</w:t>
            </w:r>
          </w:p>
        </w:tc>
        <w:tc>
          <w:tcPr>
            <w:tcW w:type="dxa" w:w="31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run_model_bpa(extended=True)</w:t>
            </w:r>
          </w:p>
        </w:tc>
        <w:tc>
          <w:tcPr>
            <w:tcW w:type="dxa" w:w="26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VertiPaq stats folded into the same call</w:t>
            </w:r>
          </w:p>
        </w:tc>
      </w:tr>
      <w:tr>
        <w:tc>
          <w:tcPr>
            <w:tcW w:type="dxa" w:w="23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PBI Inspector — report rules</w:t>
            </w:r>
          </w:p>
        </w:tc>
        <w:tc>
          <w:tcPr>
            <w:tcW w:type="dxa" w:w="3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sempy_labs.report.run_report_bpa()</w:t>
            </w:r>
          </w:p>
        </w:tc>
        <w:tc>
          <w:tcPr>
            <w:tcW w:type="dxa" w:w="26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No separate CLI install; results in a DataFrame</w:t>
            </w:r>
          </w:p>
        </w:tc>
      </w:tr>
      <w:tr>
        <w:tc>
          <w:tcPr>
            <w:tcW w:type="dxa" w:w="23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PBI Explorer — visual inventory</w:t>
            </w:r>
          </w:p>
        </w:tc>
        <w:tc>
          <w:tcPr>
            <w:tcW w:type="dxa" w:w="31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ReportWrapper.list_visuals() and the list_report_* family</w:t>
            </w:r>
          </w:p>
        </w:tc>
        <w:tc>
          <w:tcPr>
            <w:tcW w:type="dxa" w:w="26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Programmatic, diffable, no manual tree-walking</w:t>
            </w:r>
          </w:p>
        </w:tc>
      </w:tr>
      <w:tr>
        <w:tc>
          <w:tcPr>
            <w:tcW w:type="dxa" w:w="23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Model Documenter</w:t>
            </w:r>
          </w:p>
        </w:tc>
        <w:tc>
          <w:tcPr>
            <w:tcW w:type="dxa" w:w="3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sempy_labs model + report listing functions</w:t>
            </w:r>
          </w:p>
        </w:tc>
        <w:tc>
          <w:tcPr>
            <w:tcW w:type="dxa" w:w="26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Documentation generated from the live model</w:t>
            </w:r>
          </w:p>
        </w:tc>
      </w:tr>
      <w:tr>
        <w:tc>
          <w:tcPr>
            <w:tcW w:type="dxa" w:w="23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Measure Killer — unused fields</w:t>
            </w:r>
          </w:p>
        </w:tc>
        <w:tc>
          <w:tcPr>
            <w:tcW w:type="dxa" w:w="31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list_report_semantic_model_objects() vs list_measures()</w:t>
            </w:r>
          </w:p>
        </w:tc>
        <w:tc>
          <w:tcPr>
            <w:tcW w:type="dxa" w:w="265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Set difference in three lines of Python</w:t>
            </w:r>
          </w:p>
        </w:tc>
      </w:tr>
      <w:tr>
        <w:tc>
          <w:tcPr>
            <w:tcW w:type="dxa" w:w="23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Analyze in Excel — verification</w:t>
            </w:r>
          </w:p>
        </w:tc>
        <w:tc>
          <w:tcPr>
            <w:tcW w:type="dxa" w:w="3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fabric.evaluate_measure() / evaluate_dax()</w:t>
            </w:r>
          </w:p>
        </w:tc>
        <w:tc>
          <w:tcPr>
            <w:tcW w:type="dxa" w:w="265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Assertions in code rather than eyeballing a PivotTable</w:t>
            </w:r>
          </w:p>
        </w:tc>
      </w:tr>
    </w:tbl>
    <w:p>
      <w:pPr>
        <w:spacing w:after="160"/>
      </w:pPr>
    </w:p>
    <w:p>
      <w:pPr>
        <w:spacing w:after="120"/>
      </w:pPr>
      <w:r>
        <w:rPr>
          <w:rFonts w:ascii="Times New Roman" w:cs="Times New Roman" w:eastAsia="Times New Roman" w:hAnsi="Times New Roman"/>
          <w:i/>
          <w:iCs/>
          <w:sz w:val="22"/>
          <w:szCs w:val="22"/>
        </w:rPr>
        <w:t xml:space="preserve">Two Revision 1 tools have no Fabric equivalent and stay on the desktop: Power BI Performance Analyzer and the Report Analyzer that consumes its export. Fabric's workspace monitoring captures engine-side query telemetry, not the visual rendering breakdown — those are different measurements and the visual one is not available server-side.</w:t>
      </w:r>
    </w:p>
    <w:p>
      <w:pPr>
        <w:pStyle w:val="Heading1"/>
        <w:spacing w:after="140" w:before="300"/>
      </w:pPr>
      <w:r>
        <w:rPr>
          <w:rFonts w:ascii="Times New Roman" w:cs="Times New Roman" w:eastAsia="Times New Roman" w:hAnsi="Times New Roman"/>
          <w:b/>
          <w:bCs/>
          <w:color w:val="1F3864"/>
          <w:sz w:val="30"/>
          <w:szCs w:val="30"/>
        </w:rPr>
        <w:t xml:space="preserve">3. What Fabric adds that the desktop cannot</w:t>
      </w:r>
    </w:p>
    <w:p>
      <w:pPr>
        <w:pStyle w:val="ListParagraph"/>
        <w:numPr>
          <w:ilvl w:val="0"/>
          <w:numId w:val="2"/>
        </w:numPr>
        <w:spacing w:after="70"/>
      </w:pPr>
      <w:r>
        <w:rPr>
          <w:rFonts w:ascii="Times New Roman" w:cs="Times New Roman" w:eastAsia="Times New Roman" w:hAnsi="Times New Roman"/>
          <w:b/>
          <w:bCs/>
          <w:sz w:val="22"/>
          <w:szCs w:val="22"/>
        </w:rPr>
        <w:t xml:space="preserve">Results as data. </w:t>
      </w:r>
      <w:r>
        <w:rPr>
          <w:rFonts w:ascii="Times New Roman" w:cs="Times New Roman" w:eastAsia="Times New Roman" w:hAnsi="Times New Roman"/>
          <w:sz w:val="22"/>
          <w:szCs w:val="22"/>
        </w:rPr>
        <w:t xml:space="preserve">run_model_bpa(export=True) writes findings to a delta table in the attached lakehouse. Run it before and after remediation and the delta is the evidence that the fixes landed — far stronger than a screenshot of a clean BPA pane.</w:t>
      </w:r>
    </w:p>
    <w:p>
      <w:pPr>
        <w:pStyle w:val="ListParagraph"/>
        <w:numPr>
          <w:ilvl w:val="0"/>
          <w:numId w:val="2"/>
        </w:numPr>
        <w:spacing w:after="70"/>
      </w:pPr>
      <w:r>
        <w:rPr>
          <w:rFonts w:ascii="Times New Roman" w:cs="Times New Roman" w:eastAsia="Times New Roman" w:hAnsi="Times New Roman"/>
          <w:b/>
          <w:bCs/>
          <w:sz w:val="22"/>
          <w:szCs w:val="22"/>
        </w:rPr>
        <w:t xml:space="preserve">Workspace monitoring. </w:t>
      </w:r>
      <w:r>
        <w:rPr>
          <w:rFonts w:ascii="Times New Roman" w:cs="Times New Roman" w:eastAsia="Times New Roman" w:hAnsi="Times New Roman"/>
          <w:sz w:val="22"/>
          <w:szCs w:val="22"/>
        </w:rPr>
        <w:t xml:space="preserve">Telemetry lands in an Eventhouse and covers semantic model query performance and trends, refresh durations and processing steps, and operations sent over the XMLA endpoint. Microsoft ships a Real-Time Dashboard template for semantic model items, so this is configuration rather than construction.</w:t>
      </w:r>
    </w:p>
    <w:p>
      <w:pPr>
        <w:pStyle w:val="ListParagraph"/>
        <w:numPr>
          <w:ilvl w:val="0"/>
          <w:numId w:val="2"/>
        </w:numPr>
        <w:spacing w:after="70"/>
      </w:pPr>
      <w:r>
        <w:rPr>
          <w:rFonts w:ascii="Times New Roman" w:cs="Times New Roman" w:eastAsia="Times New Roman" w:hAnsi="Times New Roman"/>
          <w:b/>
          <w:bCs/>
          <w:sz w:val="22"/>
          <w:szCs w:val="22"/>
        </w:rPr>
        <w:t xml:space="preserve">Repeatability. </w:t>
      </w:r>
      <w:r>
        <w:rPr>
          <w:rFonts w:ascii="Times New Roman" w:cs="Times New Roman" w:eastAsia="Times New Roman" w:hAnsi="Times New Roman"/>
          <w:sz w:val="22"/>
          <w:szCs w:val="22"/>
        </w:rPr>
        <w:t xml:space="preserve">The notebook can be scheduled or triggered from a pipeline, which turns the doc 13 conformance checklist into a regression test rather than a one-time review.</w:t>
      </w:r>
    </w:p>
    <w:p>
      <w:pPr>
        <w:pStyle w:val="ListParagraph"/>
        <w:numPr>
          <w:ilvl w:val="0"/>
          <w:numId w:val="2"/>
        </w:numPr>
        <w:spacing w:after="70"/>
      </w:pPr>
      <w:r>
        <w:rPr>
          <w:rFonts w:ascii="Times New Roman" w:cs="Times New Roman" w:eastAsia="Times New Roman" w:hAnsi="Times New Roman"/>
          <w:b/>
          <w:bCs/>
          <w:sz w:val="22"/>
          <w:szCs w:val="22"/>
        </w:rPr>
        <w:t xml:space="preserve">Git integration. </w:t>
      </w:r>
      <w:r>
        <w:rPr>
          <w:rFonts w:ascii="Times New Roman" w:cs="Times New Roman" w:eastAsia="Times New Roman" w:hAnsi="Times New Roman"/>
          <w:sz w:val="22"/>
          <w:szCs w:val="22"/>
        </w:rPr>
        <w:t xml:space="preserve">A Fabric workspace can sync directly to the repo holding the .pbip, so the evaluation runs against the same files that are under source control. This also delivers the source-control story document 08 promises, without pbi-tools.</w:t>
      </w:r>
    </w:p>
    <w:p>
      <w:pPr>
        <w:pStyle w:val="Heading1"/>
        <w:spacing w:after="140" w:before="300"/>
      </w:pPr>
      <w:r>
        <w:rPr>
          <w:rFonts w:ascii="Times New Roman" w:cs="Times New Roman" w:eastAsia="Times New Roman" w:hAnsi="Times New Roman"/>
          <w:b/>
          <w:bCs/>
          <w:color w:val="1F3864"/>
          <w:sz w:val="30"/>
          <w:szCs w:val="30"/>
        </w:rPr>
        <w:t xml:space="preserve">4. What still requires Power BI Desktop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4100"/>
        <w:gridCol w:w="900"/>
      </w:tblGrid>
      <w:tr>
        <w:trPr>
          <w:tblHeader/>
        </w:trPr>
        <w:tc>
          <w:tcPr>
            <w:tcW w:type="dxa" w:w="34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Task</w:t>
            </w:r>
          </w:p>
        </w:tc>
        <w:tc>
          <w:tcPr>
            <w:tcW w:type="dxa" w:w="41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Why</w:t>
            </w:r>
          </w:p>
        </w:tc>
        <w:tc>
          <w:tcPr>
            <w:tcW w:type="dxa" w:w="9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Time</w:t>
            </w:r>
          </w:p>
        </w:tc>
      </w:tr>
      <w:tr>
        <w:tc>
          <w:tcPr>
            <w:tcW w:type="dxa" w:w="3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Performance Analyzer capture</w:t>
            </w:r>
          </w:p>
        </w:tc>
        <w:tc>
          <w:tcPr>
            <w:tcW w:type="dxa" w:w="4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render timings are client-side; no server-side equivalent</w:t>
            </w:r>
          </w:p>
        </w:tc>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0:15</w:t>
            </w:r>
          </w:p>
        </w:tc>
      </w:tr>
      <w:tr>
        <w:tc>
          <w:tcPr>
            <w:tcW w:type="dxa" w:w="34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inspection of the three pages</w:t>
            </w:r>
          </w:p>
        </w:tc>
        <w:tc>
          <w:tcPr>
            <w:tcW w:type="dxa" w:w="41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Whether the report looks right is a human judgement</w:t>
            </w:r>
          </w:p>
        </w:tc>
        <w:tc>
          <w:tcPr>
            <w:tcW w:type="dxa" w:w="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0:15</w:t>
            </w:r>
          </w:p>
        </w:tc>
      </w:tr>
      <w:tr>
        <w:tc>
          <w:tcPr>
            <w:tcW w:type="dxa" w:w="3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Theme and canvas review</w:t>
            </w:r>
          </w:p>
        </w:tc>
        <w:tc>
          <w:tcPr>
            <w:tcW w:type="dxa" w:w="41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Theme JSON application is verifiable in PBIR, but colour rendering is not</w:t>
            </w:r>
          </w:p>
        </w:tc>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0:10</w:t>
            </w:r>
          </w:p>
        </w:tc>
      </w:tr>
    </w:tbl>
    <w:p>
      <w:pPr>
        <w:spacing w:after="160"/>
      </w:pPr>
    </w:p>
    <w:p>
      <w:pPr>
        <w:spacing w:after="120"/>
      </w:pPr>
      <w:r>
        <w:rPr>
          <w:rFonts w:ascii="Times New Roman" w:cs="Times New Roman" w:eastAsia="Times New Roman" w:hAnsi="Times New Roman"/>
          <w:i/>
          <w:iCs/>
          <w:sz w:val="22"/>
          <w:szCs w:val="22"/>
        </w:rPr>
        <w:t xml:space="preserve">Everything else in the evaluation can run from the notebook.</w:t>
      </w:r>
    </w:p>
    <w:p>
      <w:pPr>
        <w:pStyle w:val="Heading1"/>
        <w:spacing w:after="140" w:before="300"/>
      </w:pPr>
      <w:r>
        <w:rPr>
          <w:rFonts w:ascii="Times New Roman" w:cs="Times New Roman" w:eastAsia="Times New Roman" w:hAnsi="Times New Roman"/>
          <w:b/>
          <w:bCs/>
          <w:color w:val="1F3864"/>
          <w:sz w:val="30"/>
          <w:szCs w:val="30"/>
        </w:rPr>
        <w:t xml:space="preserve">5. Tool installation — starting from nothing</w:t>
      </w:r>
    </w:p>
    <w:p>
      <w:pPr>
        <w:spacing w:after="120"/>
      </w:pPr>
      <w:r>
        <w:rPr>
          <w:rFonts w:ascii="Times New Roman" w:cs="Times New Roman" w:eastAsia="Times New Roman" w:hAnsi="Times New Roman"/>
          <w:sz w:val="22"/>
          <w:szCs w:val="22"/>
        </w:rPr>
        <w:t xml:space="preserve">This section assumes a clean machine with Power BI Desktop and nothing else.</w:t>
      </w:r>
    </w:p>
    <w:p>
      <w:pPr>
        <w:spacing w:after="120"/>
      </w:pPr>
      <w:r>
        <w:rPr>
          <w:rFonts w:ascii="Times New Roman" w:cs="Times New Roman" w:eastAsia="Times New Roman" w:hAnsi="Times New Roman"/>
          <w:b/>
          <w:bCs/>
          <w:sz w:val="22"/>
          <w:szCs w:val="22"/>
        </w:rPr>
        <w:t xml:space="preserve">The number of external tools strictly required by this plan is zero. </w:t>
      </w:r>
      <w:r>
        <w:rPr>
          <w:rFonts w:ascii="Times New Roman" w:cs="Times New Roman" w:eastAsia="Times New Roman" w:hAnsi="Times New Roman"/>
          <w:sz w:val="22"/>
          <w:szCs w:val="22"/>
        </w:rPr>
        <w:t xml:space="preserve">Performance Analyzer — the one client-side measurement Fabric cannot make — is built into Power BI Desktop on the View ribbon, not an add-on. Everything else runs in the browser. Two tools are still worth installing, but for investigating what the evaluation flags rather than for running it.</w:t>
      </w:r>
    </w:p>
    <w:p>
      <w:pPr>
        <w:pStyle w:val="Heading2"/>
        <w:spacing w:after="120" w:before="240"/>
      </w:pPr>
      <w:r>
        <w:rPr>
          <w:rFonts w:ascii="Times New Roman" w:cs="Times New Roman" w:eastAsia="Times New Roman" w:hAnsi="Times New Roman"/>
          <w:b/>
          <w:bCs/>
          <w:color w:val="1F3864"/>
          <w:sz w:val="25"/>
          <w:szCs w:val="25"/>
        </w:rPr>
        <w:t xml:space="preserve">5.1 What you actually need</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000"/>
      </w:tblGrid>
      <w:tr>
        <w:trPr>
          <w:tblHeader/>
        </w:trPr>
        <w:tc>
          <w:tcPr>
            <w:tcW w:type="dxa" w:w="26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Component</w:t>
            </w:r>
          </w:p>
        </w:tc>
        <w:tc>
          <w:tcPr>
            <w:tcW w:type="dxa" w:w="15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Status</w:t>
            </w:r>
          </w:p>
        </w:tc>
        <w:tc>
          <w:tcPr>
            <w:tcW w:type="dxa" w:w="40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Why</w:t>
            </w:r>
          </w:p>
        </w:tc>
      </w:tr>
      <w:tr>
        <w:tc>
          <w:tcPr>
            <w:tcW w:type="dxa" w:w="2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Power BI Desktop</w:t>
            </w:r>
          </w:p>
        </w:tc>
        <w:tc>
          <w:tcPr>
            <w:tcW w:type="dxa" w:w="1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Required</w:t>
            </w:r>
          </w:p>
        </w:tc>
        <w:tc>
          <w:tcPr>
            <w:tcW w:type="dxa" w:w="4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Already installed. Performance Analyzer is built in (View ribbon)</w:t>
            </w:r>
          </w:p>
        </w:tc>
      </w:tr>
      <w:tr>
        <w:tc>
          <w:tcPr>
            <w:tcW w:type="dxa" w:w="2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Fabric workspace + notebook</w:t>
            </w:r>
          </w:p>
        </w:tc>
        <w:tc>
          <w:tcPr>
            <w:tcW w:type="dxa" w:w="1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Required</w:t>
            </w:r>
          </w:p>
        </w:tc>
        <w:tc>
          <w:tcPr>
            <w:tcW w:type="dxa" w:w="4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Browser-based; nothing installs on your machine</w:t>
            </w:r>
          </w:p>
        </w:tc>
      </w:tr>
      <w:tr>
        <w:tc>
          <w:tcPr>
            <w:tcW w:type="dxa" w:w="2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semantic-link-labs</w:t>
            </w:r>
          </w:p>
        </w:tc>
        <w:tc>
          <w:tcPr>
            <w:tcW w:type="dxa" w:w="1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Required</w:t>
            </w:r>
          </w:p>
        </w:tc>
        <w:tc>
          <w:tcPr>
            <w:tcW w:type="dxa" w:w="4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Installs inside the notebook, not on your machine</w:t>
            </w:r>
          </w:p>
        </w:tc>
      </w:tr>
      <w:tr>
        <w:tc>
          <w:tcPr>
            <w:tcW w:type="dxa" w:w="2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DAX Studio</w:t>
            </w:r>
          </w:p>
        </w:tc>
        <w:tc>
          <w:tcPr>
            <w:tcW w:type="dxa" w:w="1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Recommended</w:t>
            </w:r>
          </w:p>
        </w:tc>
        <w:tc>
          <w:tcPr>
            <w:tcW w:type="dxa" w:w="4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The only way to see the storage-engine vs formula-engine split on a slow query</w:t>
            </w:r>
          </w:p>
        </w:tc>
      </w:tr>
      <w:tr>
        <w:tc>
          <w:tcPr>
            <w:tcW w:type="dxa" w:w="2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Tabular Editor 2</w:t>
            </w:r>
          </w:p>
        </w:tc>
        <w:tc>
          <w:tcPr>
            <w:tcW w:type="dxa" w:w="1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Recommended</w:t>
            </w:r>
          </w:p>
        </w:tc>
        <w:tc>
          <w:tcPr>
            <w:tcW w:type="dxa" w:w="4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Fastest way to apply a bulk fix the BPA flags</w:t>
            </w:r>
          </w:p>
        </w:tc>
      </w:tr>
      <w:tr>
        <w:tc>
          <w:tcPr>
            <w:tcW w:type="dxa" w:w="2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The other seven Revision 1 tools</w:t>
            </w:r>
          </w:p>
        </w:tc>
        <w:tc>
          <w:tcPr>
            <w:tcW w:type="dxa" w:w="1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Not needed</w:t>
            </w:r>
          </w:p>
        </w:tc>
        <w:tc>
          <w:tcPr>
            <w:tcW w:type="dxa" w:w="4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Superseded by notebook functions — see 5.6</w:t>
            </w:r>
          </w:p>
        </w:tc>
      </w:tr>
    </w:tbl>
    <w:p>
      <w:pPr>
        <w:spacing w:after="160"/>
      </w:pPr>
    </w:p>
    <w:p>
      <w:pPr>
        <w:pStyle w:val="Heading2"/>
        <w:spacing w:after="120" w:before="240"/>
      </w:pPr>
      <w:r>
        <w:rPr>
          <w:rFonts w:ascii="Times New Roman" w:cs="Times New Roman" w:eastAsia="Times New Roman" w:hAnsi="Times New Roman"/>
          <w:b/>
          <w:bCs/>
          <w:color w:val="1F3864"/>
          <w:sz w:val="25"/>
          <w:szCs w:val="25"/>
        </w:rPr>
        <w:t xml:space="preserve">5.2 semantic-link-labs — the only mandatory install</w:t>
      </w:r>
    </w:p>
    <w:p>
      <w:pPr>
        <w:spacing w:after="120"/>
      </w:pPr>
      <w:r>
        <w:rPr>
          <w:rFonts w:ascii="Times New Roman" w:cs="Times New Roman" w:eastAsia="Times New Roman" w:hAnsi="Times New Roman"/>
          <w:sz w:val="22"/>
          <w:szCs w:val="22"/>
        </w:rPr>
        <w:t xml:space="preserve">It is a Python library, so it installs into the notebook session rather than onto Windows. First cell:</w:t>
      </w:r>
    </w:p>
    <w:p>
      <w:pPr>
        <w:shd w:fill="F4F2ED" w:color="auto" w:val="clear"/>
        <w:spacing w:after="40"/>
        <w:ind w:left="200"/>
      </w:pPr>
      <w:r>
        <w:rPr>
          <w:rFonts w:ascii="Consolas" w:cs="Consolas" w:eastAsia="Consolas" w:hAnsi="Consolas"/>
          <w:sz w:val="18"/>
          <w:szCs w:val="18"/>
        </w:rPr>
        <w:t xml:space="preserve">%pip install semantic-link-labs</w:t>
      </w:r>
    </w:p>
    <w:p>
      <w:pPr>
        <w:spacing w:after="100"/>
      </w:pPr>
      <w:r>
        <w:rPr>
          <w:rFonts w:ascii="Times New Roman" w:cs="Times New Roman" w:eastAsia="Times New Roman" w:hAnsi="Times New Roman"/>
          <w:sz w:val="22"/>
          <w:szCs w:val="22"/>
        </w:rPr>
        <w:t xml:space="preserve">That is scoped to the session and re-runs every time the notebook starts, which costs a minute or two each run. To avoid that, create a Fabric Environment, add semantic-link-labs to its public libraries, and attach the notebook to it — then sessions start with the library already loaded.</w:t>
      </w:r>
    </w:p>
    <w:p>
      <w:pPr>
        <w:spacing w:after="120"/>
      </w:pPr>
      <w:r>
        <w:rPr>
          <w:rFonts w:ascii="Times New Roman" w:cs="Times New Roman" w:eastAsia="Times New Roman" w:hAnsi="Times New Roman"/>
          <w:b/>
          <w:bCs/>
          <w:sz w:val="22"/>
          <w:szCs w:val="22"/>
        </w:rPr>
        <w:t xml:space="preserve">Pin the version. </w:t>
      </w:r>
      <w:r>
        <w:rPr>
          <w:rFonts w:ascii="Times New Roman" w:cs="Times New Roman" w:eastAsia="Times New Roman" w:hAnsi="Times New Roman"/>
          <w:sz w:val="22"/>
          <w:szCs w:val="22"/>
        </w:rPr>
        <w:t xml:space="preserve">Record the installed version in a markdown cell so that a reader six months from now knows what the results were produced against. The PBIR-dependent functions are moving quickly.</w:t>
      </w:r>
    </w:p>
    <w:p>
      <w:pPr>
        <w:pStyle w:val="Heading2"/>
        <w:spacing w:after="120" w:before="240"/>
      </w:pPr>
      <w:r>
        <w:rPr>
          <w:rFonts w:ascii="Times New Roman" w:cs="Times New Roman" w:eastAsia="Times New Roman" w:hAnsi="Times New Roman"/>
          <w:b/>
          <w:bCs/>
          <w:color w:val="1F3864"/>
          <w:sz w:val="25"/>
          <w:szCs w:val="25"/>
        </w:rPr>
        <w:t xml:space="preserve">5.3 DAX Studio  (recommended, free)</w:t>
      </w:r>
    </w:p>
    <w:p>
      <w:pPr>
        <w:spacing w:after="120"/>
      </w:pPr>
      <w:r>
        <w:rPr>
          <w:rFonts w:ascii="Times New Roman" w:cs="Times New Roman" w:eastAsia="Times New Roman" w:hAnsi="Times New Roman"/>
          <w:b/>
          <w:bCs/>
          <w:sz w:val="22"/>
          <w:szCs w:val="22"/>
        </w:rPr>
        <w:t xml:space="preserve">Why: </w:t>
      </w:r>
      <w:r>
        <w:rPr>
          <w:rFonts w:ascii="Times New Roman" w:cs="Times New Roman" w:eastAsia="Times New Roman" w:hAnsi="Times New Roman"/>
          <w:sz w:val="22"/>
          <w:szCs w:val="22"/>
        </w:rPr>
        <w:t xml:space="preserve">Performance Analyzer hands you the DAX query behind a slow visual and a total duration, but not where the time went. The storage-engine versus formula-engine split is what tells you whether a slow visual is a modelling problem or a DAX problem, and neither Performance Analyzer nor evaluate_dax in the notebook reports it.</w:t>
      </w:r>
    </w:p>
    <w:p>
      <w:pPr>
        <w:pStyle w:val="ListParagraph"/>
        <w:numPr>
          <w:ilvl w:val="0"/>
          <w:numId w:val="3"/>
        </w:numPr>
        <w:spacing w:after="70"/>
      </w:pPr>
      <w:r>
        <w:rPr>
          <w:rFonts w:ascii="Times New Roman" w:cs="Times New Roman" w:eastAsia="Times New Roman" w:hAnsi="Times New Roman"/>
          <w:sz w:val="22"/>
          <w:szCs w:val="22"/>
        </w:rPr>
        <w:t xml:space="preserve">Go to daxstudio.org/downloads and take the x64 installer.</w:t>
      </w:r>
    </w:p>
    <w:p>
      <w:pPr>
        <w:pStyle w:val="ListParagraph"/>
        <w:numPr>
          <w:ilvl w:val="0"/>
          <w:numId w:val="3"/>
        </w:numPr>
        <w:spacing w:after="70"/>
      </w:pPr>
      <w:r>
        <w:rPr>
          <w:rFonts w:ascii="Times New Roman" w:cs="Times New Roman" w:eastAsia="Times New Roman" w:hAnsi="Times New Roman"/>
          <w:sz w:val="22"/>
          <w:szCs w:val="22"/>
        </w:rPr>
        <w:t xml:space="preserve">Run it as administrator. If offered, choose install for all users — a per-user install will not register on the ribbon for other Windows profiles.</w:t>
      </w:r>
    </w:p>
    <w:p>
      <w:pPr>
        <w:pStyle w:val="ListParagraph"/>
        <w:numPr>
          <w:ilvl w:val="0"/>
          <w:numId w:val="3"/>
        </w:numPr>
        <w:spacing w:after="70"/>
      </w:pPr>
      <w:r>
        <w:rPr>
          <w:rFonts w:ascii="Times New Roman" w:cs="Times New Roman" w:eastAsia="Times New Roman" w:hAnsi="Times New Roman"/>
          <w:sz w:val="22"/>
          <w:szCs w:val="22"/>
        </w:rPr>
        <w:t xml:space="preserve">On the components screen leave Power BI / SSDT Integration ticked. That is the option that writes the registration file putting DAX Studio on the ribbon.</w:t>
      </w:r>
    </w:p>
    <w:p>
      <w:pPr>
        <w:pStyle w:val="ListParagraph"/>
        <w:numPr>
          <w:ilvl w:val="0"/>
          <w:numId w:val="3"/>
        </w:numPr>
        <w:spacing w:after="70"/>
      </w:pPr>
      <w:r>
        <w:rPr>
          <w:rFonts w:ascii="Times New Roman" w:cs="Times New Roman" w:eastAsia="Times New Roman" w:hAnsi="Times New Roman"/>
          <w:sz w:val="22"/>
          <w:szCs w:val="22"/>
        </w:rPr>
        <w:t xml:space="preserve">Restart Power BI Desktop — the External Tools ribbon is only read at startup.</w:t>
      </w:r>
    </w:p>
    <w:p>
      <w:pPr>
        <w:pStyle w:val="ListParagraph"/>
        <w:numPr>
          <w:ilvl w:val="0"/>
          <w:numId w:val="3"/>
        </w:numPr>
        <w:spacing w:after="70"/>
      </w:pPr>
      <w:r>
        <w:rPr>
          <w:rFonts w:ascii="Times New Roman" w:cs="Times New Roman" w:eastAsia="Times New Roman" w:hAnsi="Times New Roman"/>
          <w:sz w:val="22"/>
          <w:szCs w:val="22"/>
        </w:rPr>
        <w:t xml:space="preserve">Verify: open the .pbix, then External Tools → DAX Studio. It should connect to the open model without asking for a connection string.</w:t>
      </w:r>
    </w:p>
    <w:p>
      <w:pPr>
        <w:spacing w:after="120"/>
      </w:pPr>
      <w:r>
        <w:rPr>
          <w:rFonts w:ascii="Times New Roman" w:cs="Times New Roman" w:eastAsia="Times New Roman" w:hAnsi="Times New Roman"/>
          <w:b/>
          <w:bCs/>
          <w:sz w:val="22"/>
          <w:szCs w:val="22"/>
        </w:rPr>
        <w:t xml:space="preserve">Do not install VertiPaq Analyzer separately. </w:t>
      </w:r>
      <w:r>
        <w:rPr>
          <w:rFonts w:ascii="Times New Roman" w:cs="Times New Roman" w:eastAsia="Times New Roman" w:hAnsi="Times New Roman"/>
          <w:sz w:val="22"/>
          <w:szCs w:val="22"/>
        </w:rPr>
        <w:t xml:space="preserve">It ships inside DAX Studio (Advanced → View Metrics) and is the same engine. The standalone Excel workbook on the tool list is the same thing in a different wrapper.</w:t>
      </w:r>
    </w:p>
    <w:p>
      <w:pPr>
        <w:pStyle w:val="Heading2"/>
        <w:spacing w:after="120" w:before="240"/>
      </w:pPr>
      <w:r>
        <w:rPr>
          <w:rFonts w:ascii="Times New Roman" w:cs="Times New Roman" w:eastAsia="Times New Roman" w:hAnsi="Times New Roman"/>
          <w:b/>
          <w:bCs/>
          <w:color w:val="1F3864"/>
          <w:sz w:val="25"/>
          <w:szCs w:val="25"/>
        </w:rPr>
        <w:t xml:space="preserve">5.4 Tabular Editor 2  (recommended, free and open source)</w:t>
      </w:r>
    </w:p>
    <w:p>
      <w:pPr>
        <w:spacing w:after="120"/>
      </w:pPr>
      <w:r>
        <w:rPr>
          <w:rFonts w:ascii="Times New Roman" w:cs="Times New Roman" w:eastAsia="Times New Roman" w:hAnsi="Times New Roman"/>
          <w:b/>
          <w:bCs/>
          <w:sz w:val="22"/>
          <w:szCs w:val="22"/>
        </w:rPr>
        <w:t xml:space="preserve">Why: </w:t>
      </w:r>
      <w:r>
        <w:rPr>
          <w:rFonts w:ascii="Times New Roman" w:cs="Times New Roman" w:eastAsia="Times New Roman" w:hAnsi="Times New Roman"/>
          <w:sz w:val="22"/>
          <w:szCs w:val="22"/>
        </w:rPr>
        <w:t xml:space="preserve">the notebook finds issues; this is how you fix a whole class of them at once. Selecting twenty measures and setting one property in a single action beats clicking each one in Desktop — the remediation on this project set 27 format strings in one operation, and Tabular Editor is the GUI equivalent of that.</w:t>
      </w:r>
    </w:p>
    <w:p>
      <w:pPr>
        <w:pStyle w:val="ListParagraph"/>
        <w:numPr>
          <w:ilvl w:val="0"/>
          <w:numId w:val="4"/>
        </w:numPr>
        <w:spacing w:after="70"/>
      </w:pPr>
      <w:r>
        <w:rPr>
          <w:rFonts w:ascii="Times New Roman" w:cs="Times New Roman" w:eastAsia="Times New Roman" w:hAnsi="Times New Roman"/>
          <w:sz w:val="22"/>
          <w:szCs w:val="22"/>
        </w:rPr>
        <w:t xml:space="preserve">Go to github.com/TabularEditor/TabularEditor/releases/latest and download TabularEditor.Installer.msi.</w:t>
      </w:r>
    </w:p>
    <w:p>
      <w:pPr>
        <w:pStyle w:val="ListParagraph"/>
        <w:numPr>
          <w:ilvl w:val="0"/>
          <w:numId w:val="4"/>
        </w:numPr>
        <w:spacing w:after="70"/>
      </w:pPr>
      <w:r>
        <w:rPr>
          <w:rFonts w:ascii="Times New Roman" w:cs="Times New Roman" w:eastAsia="Times New Roman" w:hAnsi="Times New Roman"/>
          <w:sz w:val="22"/>
          <w:szCs w:val="22"/>
        </w:rPr>
        <w:t xml:space="preserve">Run the MSI, accept the terms, Install. Administrator rights may be requested.</w:t>
      </w:r>
    </w:p>
    <w:p>
      <w:pPr>
        <w:pStyle w:val="ListParagraph"/>
        <w:numPr>
          <w:ilvl w:val="0"/>
          <w:numId w:val="4"/>
        </w:numPr>
        <w:spacing w:after="70"/>
      </w:pPr>
      <w:r>
        <w:rPr>
          <w:rFonts w:ascii="Times New Roman" w:cs="Times New Roman" w:eastAsia="Times New Roman" w:hAnsi="Times New Roman"/>
          <w:sz w:val="22"/>
          <w:szCs w:val="22"/>
        </w:rPr>
        <w:t xml:space="preserve">The installer detects where Power BI Desktop lives and writes the ribbon registration itself — there is no manual step.</w:t>
      </w:r>
    </w:p>
    <w:p>
      <w:pPr>
        <w:pStyle w:val="ListParagraph"/>
        <w:numPr>
          <w:ilvl w:val="0"/>
          <w:numId w:val="4"/>
        </w:numPr>
        <w:spacing w:after="70"/>
      </w:pPr>
      <w:r>
        <w:rPr>
          <w:rFonts w:ascii="Times New Roman" w:cs="Times New Roman" w:eastAsia="Times New Roman" w:hAnsi="Times New Roman"/>
          <w:sz w:val="22"/>
          <w:szCs w:val="22"/>
        </w:rPr>
        <w:t xml:space="preserve">Restart Power BI Desktop.</w:t>
      </w:r>
    </w:p>
    <w:p>
      <w:pPr>
        <w:pStyle w:val="ListParagraph"/>
        <w:numPr>
          <w:ilvl w:val="0"/>
          <w:numId w:val="4"/>
        </w:numPr>
        <w:spacing w:after="70"/>
      </w:pPr>
      <w:r>
        <w:rPr>
          <w:rFonts w:ascii="Times New Roman" w:cs="Times New Roman" w:eastAsia="Times New Roman" w:hAnsi="Times New Roman"/>
          <w:sz w:val="22"/>
          <w:szCs w:val="22"/>
        </w:rPr>
        <w:t xml:space="preserve">Verify: External Tools → Tabular Editor. It should open with the model already loaded in the tree.</w:t>
      </w:r>
    </w:p>
    <w:p>
      <w:pPr>
        <w:spacing w:after="120"/>
      </w:pPr>
      <w:r>
        <w:rPr>
          <w:rFonts w:ascii="Times New Roman" w:cs="Times New Roman" w:eastAsia="Times New Roman" w:hAnsi="Times New Roman"/>
          <w:b/>
          <w:bCs/>
          <w:sz w:val="22"/>
          <w:szCs w:val="22"/>
        </w:rPr>
        <w:t xml:space="preserve">Take version 2, not version 3. </w:t>
      </w:r>
      <w:r>
        <w:rPr>
          <w:rFonts w:ascii="Times New Roman" w:cs="Times New Roman" w:eastAsia="Times New Roman" w:hAnsi="Times New Roman"/>
          <w:sz w:val="22"/>
          <w:szCs w:val="22"/>
        </w:rPr>
        <w:t xml:space="preserve">Tabular Editor 3 is a paid commercial product. Nothing in this runbook needs it, and version 2 has the Best Practice Analyzer and the multi-select property editing that make the tool worth having.</w:t>
      </w:r>
    </w:p>
    <w:p>
      <w:pPr>
        <w:pStyle w:val="Heading2"/>
        <w:spacing w:after="120" w:before="240"/>
      </w:pPr>
      <w:r>
        <w:rPr>
          <w:rFonts w:ascii="Times New Roman" w:cs="Times New Roman" w:eastAsia="Times New Roman" w:hAnsi="Times New Roman"/>
          <w:b/>
          <w:bCs/>
          <w:color w:val="1F3864"/>
          <w:sz w:val="25"/>
          <w:szCs w:val="25"/>
        </w:rPr>
        <w:t xml:space="preserve">5.5 If a tool does not appear on the ribbon</w:t>
      </w:r>
    </w:p>
    <w:p>
      <w:pPr>
        <w:pStyle w:val="ListParagraph"/>
        <w:numPr>
          <w:ilvl w:val="0"/>
          <w:numId w:val="2"/>
        </w:numPr>
        <w:spacing w:after="70"/>
      </w:pPr>
      <w:r>
        <w:rPr>
          <w:rFonts w:ascii="Times New Roman" w:cs="Times New Roman" w:eastAsia="Times New Roman" w:hAnsi="Times New Roman"/>
          <w:sz w:val="22"/>
          <w:szCs w:val="22"/>
        </w:rPr>
        <w:t xml:space="preserve">Registration works by dropping a *.pbitool.json file into the Power BI Desktop external tools folder. Check whether the file is there:</w:t>
      </w:r>
    </w:p>
    <w:p>
      <w:pPr>
        <w:shd w:fill="F4F2ED" w:color="auto" w:val="clear"/>
        <w:spacing w:after="40"/>
        <w:ind w:left="200"/>
      </w:pPr>
      <w:r>
        <w:rPr>
          <w:rFonts w:ascii="Consolas" w:cs="Consolas" w:eastAsia="Consolas" w:hAnsi="Consolas"/>
          <w:sz w:val="18"/>
          <w:szCs w:val="18"/>
        </w:rPr>
        <w:t xml:space="preserve">C:\Program Files (x86)\Common Files\Microsoft Shared\Power BI Desktop\External Tools</w:t>
      </w:r>
    </w:p>
    <w:p>
      <w:pPr>
        <w:pStyle w:val="ListParagraph"/>
        <w:numPr>
          <w:ilvl w:val="0"/>
          <w:numId w:val="2"/>
        </w:numPr>
        <w:spacing w:after="70"/>
      </w:pPr>
      <w:r>
        <w:rPr>
          <w:rFonts w:ascii="Times New Roman" w:cs="Times New Roman" w:eastAsia="Times New Roman" w:hAnsi="Times New Roman"/>
          <w:sz w:val="22"/>
          <w:szCs w:val="22"/>
        </w:rPr>
        <w:t xml:space="preserve">If the folder is empty, the installer ran without the rights to write there. Reinstall as administrator.</w:t>
      </w:r>
    </w:p>
    <w:p>
      <w:pPr>
        <w:pStyle w:val="ListParagraph"/>
        <w:numPr>
          <w:ilvl w:val="0"/>
          <w:numId w:val="2"/>
        </w:numPr>
        <w:spacing w:after="70"/>
      </w:pPr>
      <w:r>
        <w:rPr>
          <w:rFonts w:ascii="Times New Roman" w:cs="Times New Roman" w:eastAsia="Times New Roman" w:hAnsi="Times New Roman"/>
          <w:sz w:val="22"/>
          <w:szCs w:val="22"/>
        </w:rPr>
        <w:t xml:space="preserve">If the External Tools ribbon tab is missing entirely, Power BI Desktop predates July 2020 — not a realistic concern on a current build, but that is the failure mode.</w:t>
      </w:r>
    </w:p>
    <w:p>
      <w:pPr>
        <w:pStyle w:val="ListParagraph"/>
        <w:numPr>
          <w:ilvl w:val="0"/>
          <w:numId w:val="2"/>
        </w:numPr>
        <w:spacing w:after="70"/>
      </w:pPr>
      <w:r>
        <w:rPr>
          <w:rFonts w:ascii="Times New Roman" w:cs="Times New Roman" w:eastAsia="Times New Roman" w:hAnsi="Times New Roman"/>
          <w:sz w:val="22"/>
          <w:szCs w:val="22"/>
        </w:rPr>
        <w:t xml:space="preserve">Restart Desktop after any install. The ribbon is populated at startup only.</w:t>
      </w:r>
    </w:p>
    <w:p>
      <w:pPr>
        <w:pStyle w:val="Heading2"/>
        <w:spacing w:after="120" w:before="240"/>
      </w:pPr>
      <w:r>
        <w:rPr>
          <w:rFonts w:ascii="Times New Roman" w:cs="Times New Roman" w:eastAsia="Times New Roman" w:hAnsi="Times New Roman"/>
          <w:b/>
          <w:bCs/>
          <w:color w:val="1F3864"/>
          <w:sz w:val="25"/>
          <w:szCs w:val="25"/>
        </w:rPr>
        <w:t xml:space="preserve">5.6 What deliberately stays uninstalled</w:t>
      </w:r>
    </w:p>
    <w:p>
      <w:pPr>
        <w:spacing w:after="120"/>
      </w:pPr>
      <w:r>
        <w:rPr>
          <w:rFonts w:ascii="Times New Roman" w:cs="Times New Roman" w:eastAsia="Times New Roman" w:hAnsi="Times New Roman"/>
          <w:sz w:val="22"/>
          <w:szCs w:val="22"/>
        </w:rPr>
        <w:t xml:space="preserve">Revision 1 called for nine tools. Seven are now redundant because the notebook does the same work: PBI Inspector, PBI Explorer, Measure Killer, Model Documenter, Analyze in Excel, Report Analyzer and Business Ops.</w:t>
      </w:r>
    </w:p>
    <w:p>
      <w:pPr>
        <w:spacing w:after="120"/>
      </w:pPr>
      <w:r>
        <w:rPr>
          <w:rFonts w:ascii="Times New Roman" w:cs="Times New Roman" w:eastAsia="Times New Roman" w:hAnsi="Times New Roman"/>
          <w:b/>
          <w:bCs/>
          <w:sz w:val="22"/>
          <w:szCs w:val="22"/>
        </w:rPr>
        <w:t xml:space="preserve">Business Ops deserves a specific note. </w:t>
      </w:r>
      <w:r>
        <w:rPr>
          <w:rFonts w:ascii="Times New Roman" w:cs="Times New Roman" w:eastAsia="Times New Roman" w:hAnsi="Times New Roman"/>
          <w:sz w:val="22"/>
          <w:szCs w:val="22"/>
        </w:rPr>
        <w:t xml:space="preserve">It exists to bulk-install a catalogue of thirty-plus tools, which was sound advice when the plan needed nine of them. Installing a package manager to obtain two tools is more work than downloading two installers, so skip it.</w:t>
      </w:r>
    </w:p>
    <w:p>
      <w:pPr>
        <w:spacing w:after="120"/>
      </w:pPr>
      <w:r>
        <w:rPr>
          <w:rFonts w:ascii="Times New Roman" w:cs="Times New Roman" w:eastAsia="Times New Roman" w:hAnsi="Times New Roman"/>
          <w:i/>
          <w:iCs/>
          <w:sz w:val="22"/>
          <w:szCs w:val="22"/>
        </w:rPr>
        <w:t xml:space="preserve">One optional exception: Report Analyzer from Elegant BI is a .pbit template rather than a ribbon tool, so there is nothing to install and nothing to register. If you would rather read Performance Analyzer output as a Power BI report than as JSON in the notebook, open it. That is a preference, not a requirement.</w:t>
      </w:r>
    </w:p>
    <w:p>
      <w:pPr>
        <w:pStyle w:val="Heading1"/>
        <w:spacing w:after="140" w:before="300"/>
      </w:pPr>
      <w:r>
        <w:rPr>
          <w:rFonts w:ascii="Times New Roman" w:cs="Times New Roman" w:eastAsia="Times New Roman" w:hAnsi="Times New Roman"/>
          <w:b/>
          <w:bCs/>
          <w:color w:val="1F3864"/>
          <w:sz w:val="30"/>
          <w:szCs w:val="30"/>
        </w:rPr>
        <w:t xml:space="preserve">6. Revised runbook</w:t>
      </w:r>
    </w:p>
    <w:p>
      <w:pPr>
        <w:pStyle w:val="Heading2"/>
        <w:spacing w:after="120" w:before="240"/>
      </w:pPr>
      <w:r>
        <w:rPr>
          <w:rFonts w:ascii="Times New Roman" w:cs="Times New Roman" w:eastAsia="Times New Roman" w:hAnsi="Times New Roman"/>
          <w:b/>
          <w:bCs/>
          <w:color w:val="1F3864"/>
          <w:sz w:val="25"/>
          <w:szCs w:val="25"/>
        </w:rPr>
        <w:t xml:space="preserve">Phase 0 — Get the project into Fabric  (20 min)</w:t>
      </w:r>
    </w:p>
    <w:p>
      <w:pPr>
        <w:pStyle w:val="ListParagraph"/>
        <w:numPr>
          <w:ilvl w:val="0"/>
          <w:numId w:val="5"/>
        </w:numPr>
        <w:spacing w:after="70"/>
      </w:pPr>
      <w:r>
        <w:rPr>
          <w:rFonts w:ascii="Times New Roman" w:cs="Times New Roman" w:eastAsia="Times New Roman" w:hAnsi="Times New Roman"/>
          <w:sz w:val="22"/>
          <w:szCs w:val="22"/>
        </w:rPr>
        <w:t xml:space="preserve">Create a workspace on the Fabric capacity. Create a lakehouse in it — the BPA export functions write delta tables to the lakehouse attached to the notebook.</w:t>
      </w:r>
    </w:p>
    <w:p>
      <w:pPr>
        <w:pStyle w:val="ListParagraph"/>
        <w:numPr>
          <w:ilvl w:val="0"/>
          <w:numId w:val="5"/>
        </w:numPr>
        <w:spacing w:after="70"/>
      </w:pPr>
      <w:r>
        <w:rPr>
          <w:rFonts w:ascii="Times New Roman" w:cs="Times New Roman" w:eastAsia="Times New Roman" w:hAnsi="Times New Roman"/>
          <w:sz w:val="22"/>
          <w:szCs w:val="22"/>
        </w:rPr>
        <w:t xml:space="preserve">Connect the workspace to the Git repo holding the .pbip (Workspace settings → Git integration), or publish the report and semantic model directly from Desktop if the repo is not yet on a supported Git provider.</w:t>
      </w:r>
    </w:p>
    <w:p>
      <w:pPr>
        <w:pStyle w:val="ListParagraph"/>
        <w:numPr>
          <w:ilvl w:val="0"/>
          <w:numId w:val="5"/>
        </w:numPr>
        <w:spacing w:after="70"/>
      </w:pPr>
      <w:r>
        <w:rPr>
          <w:rFonts w:ascii="Times New Roman" w:cs="Times New Roman" w:eastAsia="Times New Roman" w:hAnsi="Times New Roman"/>
          <w:sz w:val="22"/>
          <w:szCs w:val="22"/>
        </w:rPr>
        <w:t xml:space="preserve">Confirm the semantic model and report both appear as workspace items and that the report opens against the published model.</w:t>
      </w:r>
    </w:p>
    <w:p>
      <w:pPr>
        <w:spacing w:after="120"/>
      </w:pPr>
      <w:r>
        <w:rPr>
          <w:rFonts w:ascii="Times New Roman" w:cs="Times New Roman" w:eastAsia="Times New Roman" w:hAnsi="Times New Roman"/>
          <w:b/>
          <w:bCs/>
          <w:sz w:val="22"/>
          <w:szCs w:val="22"/>
        </w:rPr>
        <w:t xml:space="preserve">Checkpoint: </w:t>
      </w:r>
      <w:r>
        <w:rPr>
          <w:rFonts w:ascii="Times New Roman" w:cs="Times New Roman" w:eastAsia="Times New Roman" w:hAnsi="Times New Roman"/>
          <w:sz w:val="22"/>
          <w:szCs w:val="22"/>
        </w:rPr>
        <w:t xml:space="preserve">workspace contains the semantic model, the report and a lakehouse.</w:t>
      </w:r>
    </w:p>
    <w:p>
      <w:pPr>
        <w:pStyle w:val="Heading2"/>
        <w:spacing w:after="120" w:before="240"/>
      </w:pPr>
      <w:r>
        <w:rPr>
          <w:rFonts w:ascii="Times New Roman" w:cs="Times New Roman" w:eastAsia="Times New Roman" w:hAnsi="Times New Roman"/>
          <w:b/>
          <w:bCs/>
          <w:color w:val="1F3864"/>
          <w:sz w:val="25"/>
          <w:szCs w:val="25"/>
        </w:rPr>
        <w:t xml:space="preserve">Phase 1 — Notebook setup  (10 min)</w:t>
      </w:r>
    </w:p>
    <w:p>
      <w:pPr>
        <w:pStyle w:val="ListParagraph"/>
        <w:numPr>
          <w:ilvl w:val="0"/>
          <w:numId w:val="6"/>
        </w:numPr>
        <w:spacing w:after="70"/>
      </w:pPr>
      <w:r>
        <w:rPr>
          <w:rFonts w:ascii="Times New Roman" w:cs="Times New Roman" w:eastAsia="Times New Roman" w:hAnsi="Times New Roman"/>
          <w:sz w:val="22"/>
          <w:szCs w:val="22"/>
        </w:rPr>
        <w:t xml:space="preserve">Create a notebook in the workspace and attach the lakehouse.</w:t>
      </w:r>
    </w:p>
    <w:p>
      <w:pPr>
        <w:shd w:fill="F4F2ED" w:color="auto" w:val="clear"/>
        <w:spacing w:after="40"/>
        <w:ind w:left="200"/>
      </w:pPr>
      <w:r>
        <w:rPr>
          <w:rFonts w:ascii="Consolas" w:cs="Consolas" w:eastAsia="Consolas" w:hAnsi="Consolas"/>
          <w:sz w:val="18"/>
          <w:szCs w:val="18"/>
        </w:rPr>
        <w:t xml:space="preserve">%pip install semantic-link-labs</w:t>
      </w:r>
    </w:p>
    <w:p>
      <w:pPr>
        <w:shd w:fill="F4F2ED" w:color="auto" w:val="clear"/>
        <w:spacing w:after="40"/>
        <w:ind w:left="200"/>
      </w:pPr>
      <w:r>
        <w:rPr>
          <w:rFonts w:ascii="Consolas" w:cs="Consolas" w:eastAsia="Consolas" w:hAnsi="Consolas"/>
          <w:sz w:val="18"/>
          <w:szCs w:val="18"/>
        </w:rPr>
        <w:t xml:space="preserve">import sempy_labs as labs</w:t>
      </w:r>
    </w:p>
    <w:p>
      <w:pPr>
        <w:shd w:fill="F4F2ED" w:color="auto" w:val="clear"/>
        <w:spacing w:after="40"/>
        <w:ind w:left="200"/>
      </w:pPr>
      <w:r>
        <w:rPr>
          <w:rFonts w:ascii="Consolas" w:cs="Consolas" w:eastAsia="Consolas" w:hAnsi="Consolas"/>
          <w:sz w:val="18"/>
          <w:szCs w:val="18"/>
        </w:rPr>
        <w:t xml:space="preserve">import sempy_labs.report as rep</w:t>
      </w:r>
    </w:p>
    <w:p>
      <w:pPr>
        <w:shd w:fill="F4F2ED" w:color="auto" w:val="clear"/>
        <w:spacing w:after="40"/>
        <w:ind w:left="200"/>
      </w:pPr>
      <w:r>
        <w:rPr>
          <w:rFonts w:ascii="Consolas" w:cs="Consolas" w:eastAsia="Consolas" w:hAnsi="Consolas"/>
          <w:sz w:val="18"/>
          <w:szCs w:val="18"/>
        </w:rPr>
        <w:t xml:space="preserve">import sempy.fabric as fabric</w:t>
      </w:r>
    </w:p>
    <w:p>
      <w:pPr>
        <w:pStyle w:val="ListParagraph"/>
        <w:numPr>
          <w:ilvl w:val="0"/>
          <w:numId w:val="6"/>
        </w:numPr>
        <w:spacing w:after="70"/>
      </w:pPr>
      <w:r>
        <w:rPr>
          <w:rFonts w:ascii="Times New Roman" w:cs="Times New Roman" w:eastAsia="Times New Roman" w:hAnsi="Times New Roman"/>
          <w:sz w:val="22"/>
          <w:szCs w:val="22"/>
        </w:rPr>
        <w:t xml:space="preserve">Pin the library version in the first cell so the notebook is reproducible months later.</w:t>
      </w:r>
    </w:p>
    <w:p>
      <w:pPr>
        <w:pStyle w:val="Heading2"/>
        <w:spacing w:after="120" w:before="240"/>
      </w:pPr>
      <w:r>
        <w:rPr>
          <w:rFonts w:ascii="Times New Roman" w:cs="Times New Roman" w:eastAsia="Times New Roman" w:hAnsi="Times New Roman"/>
          <w:b/>
          <w:bCs/>
          <w:color w:val="1F3864"/>
          <w:sz w:val="25"/>
          <w:szCs w:val="25"/>
        </w:rPr>
        <w:t xml:space="preserve">Phase 2 — Model audit  (20 min)</w:t>
      </w:r>
    </w:p>
    <w:p>
      <w:pPr>
        <w:shd w:fill="F4F2ED" w:color="auto" w:val="clear"/>
        <w:spacing w:after="40"/>
        <w:ind w:left="200"/>
      </w:pPr>
      <w:r>
        <w:rPr>
          <w:rFonts w:ascii="Consolas" w:cs="Consolas" w:eastAsia="Consolas" w:hAnsi="Consolas"/>
          <w:sz w:val="18"/>
          <w:szCs w:val="18"/>
        </w:rPr>
        <w:t xml:space="preserve">labs.run_model_bpa(dataset='Retail_Sales_Forecasting', extended=True, export=True)</w:t>
      </w:r>
    </w:p>
    <w:p>
      <w:pPr>
        <w:pStyle w:val="ListParagraph"/>
        <w:numPr>
          <w:ilvl w:val="0"/>
          <w:numId w:val="7"/>
        </w:numPr>
        <w:spacing w:after="70"/>
      </w:pPr>
      <w:r>
        <w:rPr>
          <w:rFonts w:ascii="Times New Roman" w:cs="Times New Roman" w:eastAsia="Times New Roman" w:hAnsi="Times New Roman"/>
          <w:sz w:val="22"/>
          <w:szCs w:val="22"/>
        </w:rPr>
        <w:t xml:space="preserve">extended=True pulls VertiPaq Analyzer statistics so the size, cardinality and compression rules evaluate — this is the DAX Studio View Metrics step folded into the same call.</w:t>
      </w:r>
    </w:p>
    <w:p>
      <w:pPr>
        <w:pStyle w:val="ListParagraph"/>
        <w:numPr>
          <w:ilvl w:val="0"/>
          <w:numId w:val="7"/>
        </w:numPr>
        <w:spacing w:after="70"/>
      </w:pPr>
      <w:r>
        <w:rPr>
          <w:rFonts w:ascii="Times New Roman" w:cs="Times New Roman" w:eastAsia="Times New Roman" w:hAnsi="Times New Roman"/>
          <w:sz w:val="22"/>
          <w:szCs w:val="22"/>
        </w:rPr>
        <w:t xml:space="preserve">export=True writes the findings to a delta table, giving a dated baseline. Run it again after any remediation and diff the two.</w:t>
      </w:r>
    </w:p>
    <w:p>
      <w:pPr>
        <w:pStyle w:val="ListParagraph"/>
        <w:numPr>
          <w:ilvl w:val="0"/>
          <w:numId w:val="7"/>
        </w:numPr>
        <w:spacing w:after="70"/>
      </w:pPr>
      <w:r>
        <w:rPr>
          <w:rFonts w:ascii="Times New Roman" w:cs="Times New Roman" w:eastAsia="Times New Roman" w:hAnsi="Times New Roman"/>
          <w:sz w:val="22"/>
          <w:szCs w:val="22"/>
        </w:rPr>
        <w:t xml:space="preserve">Triage every finding into genuine defect, deliberate design decision, or rule that does not apply to a 9,994-row demo model. Record the reasoning in a markdown cell directly beneath the results — that commentary is the portfolio signal, not the green ticks.</w:t>
      </w:r>
    </w:p>
    <w:p>
      <w:pPr>
        <w:pStyle w:val="ListParagraph"/>
        <w:numPr>
          <w:ilvl w:val="0"/>
          <w:numId w:val="7"/>
        </w:numPr>
        <w:spacing w:after="70"/>
      </w:pPr>
      <w:r>
        <w:rPr>
          <w:rFonts w:ascii="Times New Roman" w:cs="Times New Roman" w:eastAsia="Times New Roman" w:hAnsi="Times New Roman"/>
          <w:sz w:val="22"/>
          <w:szCs w:val="22"/>
        </w:rPr>
        <w:t xml:space="preserve">Expect the composite keys ProductKey and GeographyKey to be the highest-cardinality columns. That is by design and worth annotating rather than fixing.</w:t>
      </w:r>
    </w:p>
    <w:p>
      <w:pPr>
        <w:spacing w:after="120"/>
      </w:pPr>
      <w:r>
        <w:rPr>
          <w:rFonts w:ascii="Times New Roman" w:cs="Times New Roman" w:eastAsia="Times New Roman" w:hAnsi="Times New Roman"/>
          <w:b/>
          <w:bCs/>
          <w:sz w:val="22"/>
          <w:szCs w:val="22"/>
        </w:rPr>
        <w:t xml:space="preserve">Checkpoint: </w:t>
      </w:r>
      <w:r>
        <w:rPr>
          <w:rFonts w:ascii="Times New Roman" w:cs="Times New Roman" w:eastAsia="Times New Roman" w:hAnsi="Times New Roman"/>
          <w:sz w:val="22"/>
          <w:szCs w:val="22"/>
        </w:rPr>
        <w:t xml:space="preserve">BPA results in a delta table, findings triaged in-notebook with justifications.</w:t>
      </w:r>
    </w:p>
    <w:p>
      <w:pPr>
        <w:pStyle w:val="Heading2"/>
        <w:spacing w:after="120" w:before="240"/>
      </w:pPr>
      <w:r>
        <w:rPr>
          <w:rFonts w:ascii="Times New Roman" w:cs="Times New Roman" w:eastAsia="Times New Roman" w:hAnsi="Times New Roman"/>
          <w:b/>
          <w:bCs/>
          <w:color w:val="1F3864"/>
          <w:sz w:val="25"/>
          <w:szCs w:val="25"/>
        </w:rPr>
        <w:t xml:space="preserve">Phase 3 — Report audit  (40 min)</w:t>
      </w:r>
    </w:p>
    <w:p>
      <w:pPr>
        <w:shd w:fill="F4F2ED" w:color="auto" w:val="clear"/>
        <w:spacing w:after="40"/>
        <w:ind w:left="200"/>
      </w:pPr>
      <w:r>
        <w:rPr>
          <w:rFonts w:ascii="Consolas" w:cs="Consolas" w:eastAsia="Consolas" w:hAnsi="Consolas"/>
          <w:sz w:val="18"/>
          <w:szCs w:val="18"/>
        </w:rPr>
        <w:t xml:space="preserve">rep.run_report_bpa(report='Retail_Sales_Forecasting', export=True)</w:t>
      </w:r>
    </w:p>
    <w:p>
      <w:pPr>
        <w:pStyle w:val="ListParagraph"/>
        <w:numPr>
          <w:ilvl w:val="0"/>
          <w:numId w:val="8"/>
        </w:numPr>
        <w:spacing w:after="70"/>
      </w:pPr>
      <w:r>
        <w:rPr>
          <w:rFonts w:ascii="Times New Roman" w:cs="Times New Roman" w:eastAsia="Times New Roman" w:hAnsi="Times New Roman"/>
          <w:sz w:val="22"/>
          <w:szCs w:val="22"/>
        </w:rPr>
        <w:t xml:space="preserve">This is the PBI Inspector step. It requires PBIR, which the project already uses.</w:t>
      </w:r>
    </w:p>
    <w:p>
      <w:pPr>
        <w:pStyle w:val="ListParagraph"/>
        <w:numPr>
          <w:ilvl w:val="0"/>
          <w:numId w:val="8"/>
        </w:numPr>
        <w:spacing w:after="70"/>
      </w:pPr>
      <w:r>
        <w:rPr>
          <w:rFonts w:ascii="Times New Roman" w:cs="Times New Roman" w:eastAsia="Times New Roman" w:hAnsi="Times New Roman"/>
          <w:sz w:val="22"/>
          <w:szCs w:val="22"/>
        </w:rPr>
        <w:t xml:space="preserve">Then walk the document 13 specification with the report wrapper. list_visuals gives the inventory; the report object model exposes the properties that the specification pins down.</w:t>
      </w:r>
    </w:p>
    <w:p>
      <w:pPr>
        <w:shd w:fill="F4F2ED" w:color="auto" w:val="clear"/>
        <w:spacing w:after="40"/>
        <w:ind w:left="200"/>
      </w:pPr>
      <w:r>
        <w:rPr>
          <w:rFonts w:ascii="Consolas" w:cs="Consolas" w:eastAsia="Consolas" w:hAnsi="Consolas"/>
          <w:sz w:val="18"/>
          <w:szCs w:val="18"/>
        </w:rPr>
        <w:t xml:space="preserve">rw = rep.ReportWrapper('Retail_Sales_Forecasting')</w:t>
      </w:r>
    </w:p>
    <w:p>
      <w:pPr>
        <w:shd w:fill="F4F2ED" w:color="auto" w:val="clear"/>
        <w:spacing w:after="40"/>
        <w:ind w:left="200"/>
      </w:pPr>
      <w:r>
        <w:rPr>
          <w:rFonts w:ascii="Consolas" w:cs="Consolas" w:eastAsia="Consolas" w:hAnsi="Consolas"/>
          <w:sz w:val="18"/>
          <w:szCs w:val="18"/>
        </w:rPr>
        <w:t xml:space="preserve">rw.list_visuals()          # per-page visual inventory with IDs</w:t>
      </w:r>
    </w:p>
    <w:p>
      <w:pPr>
        <w:shd w:fill="F4F2ED" w:color="auto" w:val="clear"/>
        <w:spacing w:after="40"/>
        <w:ind w:left="200"/>
      </w:pPr>
      <w:r>
        <w:rPr>
          <w:rFonts w:ascii="Consolas" w:cs="Consolas" w:eastAsia="Consolas" w:hAnsi="Consolas"/>
          <w:sz w:val="18"/>
          <w:szCs w:val="18"/>
        </w:rPr>
        <w:t xml:space="preserve">rw.list_pages()            # canvas dimensions per page</w:t>
      </w:r>
    </w:p>
    <w:p>
      <w:pPr>
        <w:shd w:fill="F4F2ED" w:color="auto" w:val="clear"/>
        <w:spacing w:after="40"/>
        <w:ind w:left="200"/>
      </w:pPr>
      <w:r>
        <w:rPr>
          <w:rFonts w:ascii="Consolas" w:cs="Consolas" w:eastAsia="Consolas" w:hAnsi="Consolas"/>
          <w:sz w:val="18"/>
          <w:szCs w:val="18"/>
        </w:rPr>
        <w:t xml:space="preserve">rw.list_visual_filters()   # visual-level filters</w:t>
      </w:r>
    </w:p>
    <w:p>
      <w:pPr>
        <w:shd w:fill="F4F2ED" w:color="auto" w:val="clear"/>
        <w:spacing w:after="40"/>
        <w:ind w:left="200"/>
      </w:pPr>
      <w:r>
        <w:rPr>
          <w:rFonts w:ascii="Consolas" w:cs="Consolas" w:eastAsia="Consolas" w:hAnsi="Consolas"/>
          <w:sz w:val="18"/>
          <w:szCs w:val="18"/>
        </w:rPr>
        <w:t xml:space="preserve">rw.list_bookmarks()        # reset-filters bookmark</w:t>
      </w:r>
    </w:p>
    <w:p>
      <w:pPr>
        <w:pStyle w:val="ListParagraph"/>
        <w:numPr>
          <w:ilvl w:val="0"/>
          <w:numId w:val="8"/>
        </w:numPr>
        <w:spacing w:after="70"/>
      </w:pPr>
      <w:r>
        <w:rPr>
          <w:rFonts w:ascii="Times New Roman" w:cs="Times New Roman" w:eastAsia="Times New Roman" w:hAnsi="Times New Roman"/>
          <w:sz w:val="22"/>
          <w:szCs w:val="22"/>
        </w:rPr>
        <w:t xml:space="preserve">Write the section 7 assertions as plain Python asserts against those DataFrames. Twenty assertions is roughly forty lines of code, and it is the single most reusable thing produced by this whole exercise.</w:t>
      </w:r>
    </w:p>
    <w:p>
      <w:pPr>
        <w:spacing w:after="120"/>
      </w:pPr>
      <w:r>
        <w:rPr>
          <w:rFonts w:ascii="Times New Roman" w:cs="Times New Roman" w:eastAsia="Times New Roman" w:hAnsi="Times New Roman"/>
          <w:b/>
          <w:bCs/>
          <w:sz w:val="22"/>
          <w:szCs w:val="22"/>
        </w:rPr>
        <w:t xml:space="preserve">Caveat: </w:t>
      </w:r>
      <w:r>
        <w:rPr>
          <w:rFonts w:ascii="Times New Roman" w:cs="Times New Roman" w:eastAsia="Times New Roman" w:hAnsi="Times New Roman"/>
          <w:sz w:val="22"/>
          <w:szCs w:val="22"/>
        </w:rPr>
        <w:t xml:space="preserve">the PBIR-dependent functions are in preview and carry limitations. If a specific property is not exposed, fall back to reading the JSON under definition/pages directly — it is plain text and the notebook can parse it.</w:t>
      </w:r>
    </w:p>
    <w:p>
      <w:pPr>
        <w:pStyle w:val="Heading2"/>
        <w:spacing w:after="120" w:before="240"/>
      </w:pPr>
      <w:r>
        <w:rPr>
          <w:rFonts w:ascii="Times New Roman" w:cs="Times New Roman" w:eastAsia="Times New Roman" w:hAnsi="Times New Roman"/>
          <w:b/>
          <w:bCs/>
          <w:color w:val="1F3864"/>
          <w:sz w:val="25"/>
          <w:szCs w:val="25"/>
        </w:rPr>
        <w:t xml:space="preserve">Phase 4 — Verify the numbers  (15 min)</w:t>
      </w:r>
    </w:p>
    <w:p>
      <w:pPr>
        <w:pStyle w:val="ListParagraph"/>
        <w:numPr>
          <w:ilvl w:val="0"/>
          <w:numId w:val="9"/>
        </w:numPr>
        <w:spacing w:after="70"/>
      </w:pPr>
      <w:r>
        <w:rPr>
          <w:rFonts w:ascii="Times New Roman" w:cs="Times New Roman" w:eastAsia="Times New Roman" w:hAnsi="Times New Roman"/>
          <w:sz w:val="22"/>
          <w:szCs w:val="22"/>
        </w:rPr>
        <w:t xml:space="preserve">Replace the Analyze in Excel step with assertions. Evaluate each measure against the known-good values from document 21 and let the notebook fail loudly if any drift.</w:t>
      </w:r>
    </w:p>
    <w:p>
      <w:pPr>
        <w:shd w:fill="F4F2ED" w:color="auto" w:val="clear"/>
        <w:spacing w:after="40"/>
        <w:ind w:left="200"/>
      </w:pPr>
      <w:r>
        <w:rPr>
          <w:rFonts w:ascii="Consolas" w:cs="Consolas" w:eastAsia="Consolas" w:hAnsi="Consolas"/>
          <w:sz w:val="18"/>
          <w:szCs w:val="18"/>
        </w:rPr>
        <w:t xml:space="preserve">df = fabric.evaluate_dax('Retail_Sales_Forecasting', '''</w:t>
      </w:r>
    </w:p>
    <w:p>
      <w:pPr>
        <w:shd w:fill="F4F2ED" w:color="auto" w:val="clear"/>
        <w:spacing w:after="40"/>
        <w:ind w:left="200"/>
      </w:pPr>
      <w:r>
        <w:rPr>
          <w:rFonts w:ascii="Consolas" w:cs="Consolas" w:eastAsia="Consolas" w:hAnsi="Consolas"/>
          <w:sz w:val="18"/>
          <w:szCs w:val="18"/>
        </w:rPr>
        <w:t xml:space="preserve">  EVALUATE SUMMARIZECOLUMNS( DimGeography[Region], DimDate[Year],</w:t>
      </w:r>
    </w:p>
    <w:p>
      <w:pPr>
        <w:shd w:fill="F4F2ED" w:color="auto" w:val="clear"/>
        <w:spacing w:after="40"/>
        <w:ind w:left="200"/>
      </w:pPr>
      <w:r>
        <w:rPr>
          <w:rFonts w:ascii="Consolas" w:cs="Consolas" w:eastAsia="Consolas" w:hAnsi="Consolas"/>
          <w:sz w:val="18"/>
          <w:szCs w:val="18"/>
        </w:rPr>
        <w:t xml:space="preserve">    "Sales", [Total Sales], "Quota", [Quota Amount],</w:t>
      </w:r>
    </w:p>
    <w:p>
      <w:pPr>
        <w:shd w:fill="F4F2ED" w:color="auto" w:val="clear"/>
        <w:spacing w:after="40"/>
        <w:ind w:left="200"/>
      </w:pPr>
      <w:r>
        <w:rPr>
          <w:rFonts w:ascii="Consolas" w:cs="Consolas" w:eastAsia="Consolas" w:hAnsi="Consolas"/>
          <w:sz w:val="18"/>
          <w:szCs w:val="18"/>
        </w:rPr>
        <w:t xml:space="preserve">    "Attain", [Quota Attainment %] ) ''')</w:t>
      </w:r>
    </w:p>
    <w:p>
      <w:pPr>
        <w:pStyle w:val="ListParagraph"/>
        <w:numPr>
          <w:ilvl w:val="0"/>
          <w:numId w:val="9"/>
        </w:numPr>
        <w:spacing w:after="70"/>
      </w:pPr>
      <w:r>
        <w:rPr>
          <w:rFonts w:ascii="Times New Roman" w:cs="Times New Roman" w:eastAsia="Times New Roman" w:hAnsi="Times New Roman"/>
          <w:sz w:val="22"/>
          <w:szCs w:val="22"/>
        </w:rPr>
        <w:t xml:space="preserve">Assert the unfiltered totals: 9,994 rows, $2,297,201 sales, $286,397 profit, 5,009 orders, 793 customers, 144 quota rows.</w:t>
      </w:r>
    </w:p>
    <w:p>
      <w:pPr>
        <w:pStyle w:val="ListParagraph"/>
        <w:numPr>
          <w:ilvl w:val="0"/>
          <w:numId w:val="9"/>
        </w:numPr>
        <w:spacing w:after="70"/>
      </w:pPr>
      <w:r>
        <w:rPr>
          <w:rFonts w:ascii="Times New Roman" w:cs="Times New Roman" w:eastAsia="Times New Roman" w:hAnsi="Times New Roman"/>
          <w:sz w:val="22"/>
          <w:szCs w:val="22"/>
        </w:rPr>
        <w:t xml:space="preserve">Assert the two edge cases that can silently mislead on a card — 2014 must return blank for Sales PY and 'No Quota' for Quota Status, not zero.</w:t>
      </w:r>
    </w:p>
    <w:p>
      <w:pPr>
        <w:spacing w:after="120"/>
      </w:pPr>
      <w:r>
        <w:rPr>
          <w:rFonts w:ascii="Times New Roman" w:cs="Times New Roman" w:eastAsia="Times New Roman" w:hAnsi="Times New Roman"/>
          <w:b/>
          <w:bCs/>
          <w:sz w:val="22"/>
          <w:szCs w:val="22"/>
        </w:rPr>
        <w:t xml:space="preserve">Checkpoint: </w:t>
      </w:r>
      <w:r>
        <w:rPr>
          <w:rFonts w:ascii="Times New Roman" w:cs="Times New Roman" w:eastAsia="Times New Roman" w:hAnsi="Times New Roman"/>
          <w:sz w:val="22"/>
          <w:szCs w:val="22"/>
        </w:rPr>
        <w:t xml:space="preserve">a cell that passes or fails, not a spreadsheet to squint at.</w:t>
      </w:r>
    </w:p>
    <w:p>
      <w:pPr>
        <w:pStyle w:val="Heading2"/>
        <w:spacing w:after="120" w:before="240"/>
      </w:pPr>
      <w:r>
        <w:rPr>
          <w:rFonts w:ascii="Times New Roman" w:cs="Times New Roman" w:eastAsia="Times New Roman" w:hAnsi="Times New Roman"/>
          <w:b/>
          <w:bCs/>
          <w:color w:val="1F3864"/>
          <w:sz w:val="25"/>
          <w:szCs w:val="25"/>
        </w:rPr>
        <w:t xml:space="preserve">Phase 5 — Performance  (25 min, split)</w:t>
      </w:r>
    </w:p>
    <w:p>
      <w:pPr>
        <w:pStyle w:val="ListParagraph"/>
        <w:numPr>
          <w:ilvl w:val="0"/>
          <w:numId w:val="10"/>
        </w:numPr>
        <w:spacing w:after="70"/>
      </w:pPr>
      <w:r>
        <w:rPr>
          <w:rFonts w:ascii="Times New Roman" w:cs="Times New Roman" w:eastAsia="Times New Roman" w:hAnsi="Times New Roman"/>
          <w:sz w:val="22"/>
          <w:szCs w:val="22"/>
        </w:rPr>
        <w:t xml:space="preserve">Server side: enable workspace monitoring on the workspace. Telemetry flows into an Eventhouse covering query performance and trends, refresh duration and XMLA operations. Deploy Microsoft's Real-Time Dashboard template for semantic model items rather than building one.</w:t>
      </w:r>
    </w:p>
    <w:p>
      <w:pPr>
        <w:pStyle w:val="ListParagraph"/>
        <w:numPr>
          <w:ilvl w:val="0"/>
          <w:numId w:val="10"/>
        </w:numPr>
        <w:spacing w:after="70"/>
      </w:pPr>
      <w:r>
        <w:rPr>
          <w:rFonts w:ascii="Times New Roman" w:cs="Times New Roman" w:eastAsia="Times New Roman" w:hAnsi="Times New Roman"/>
          <w:sz w:val="22"/>
          <w:szCs w:val="22"/>
        </w:rPr>
        <w:t xml:space="preserve">Client side: this still needs Desktop. View → Performance Analyzer → record → refresh each page → Export, then read the JSON in the notebook rather than in the Elegant BI template, so the timings land beside the rest of the evidence.</w:t>
      </w:r>
    </w:p>
    <w:p>
      <w:pPr>
        <w:pStyle w:val="ListParagraph"/>
        <w:numPr>
          <w:ilvl w:val="0"/>
          <w:numId w:val="10"/>
        </w:numPr>
        <w:spacing w:after="70"/>
      </w:pPr>
      <w:r>
        <w:rPr>
          <w:rFonts w:ascii="Times New Roman" w:cs="Times New Roman" w:eastAsia="Times New Roman" w:hAnsi="Times New Roman"/>
          <w:sz w:val="22"/>
          <w:szCs w:val="22"/>
        </w:rPr>
        <w:t xml:space="preserve">Anything over 500 ms warrants a look, over 2 s needs fixing. On this model the likely culprits are Customer Sales Rank (RANKX across all customers) and the decomposition tree — both explainable rather than broken.</w:t>
      </w:r>
    </w:p>
    <w:p>
      <w:pPr>
        <w:spacing w:after="120"/>
      </w:pPr>
      <w:r>
        <w:rPr>
          <w:rFonts w:ascii="Times New Roman" w:cs="Times New Roman" w:eastAsia="Times New Roman" w:hAnsi="Times New Roman"/>
          <w:b/>
          <w:bCs/>
          <w:sz w:val="22"/>
          <w:szCs w:val="22"/>
        </w:rPr>
        <w:t xml:space="preserve">Checkpoint: </w:t>
      </w:r>
      <w:r>
        <w:rPr>
          <w:rFonts w:ascii="Times New Roman" w:cs="Times New Roman" w:eastAsia="Times New Roman" w:hAnsi="Times New Roman"/>
          <w:sz w:val="22"/>
          <w:szCs w:val="22"/>
        </w:rPr>
        <w:t xml:space="preserve">each page renders under 3 s cold; slowest visual identified and either optimised or justified.</w:t>
      </w:r>
    </w:p>
    <w:p>
      <w:pPr>
        <w:pStyle w:val="Heading2"/>
        <w:spacing w:after="120" w:before="240"/>
      </w:pPr>
      <w:r>
        <w:rPr>
          <w:rFonts w:ascii="Times New Roman" w:cs="Times New Roman" w:eastAsia="Times New Roman" w:hAnsi="Times New Roman"/>
          <w:b/>
          <w:bCs/>
          <w:color w:val="1F3864"/>
          <w:sz w:val="25"/>
          <w:szCs w:val="25"/>
        </w:rPr>
        <w:t xml:space="preserve">Phase 6 — Hygiene  (15 min)</w:t>
      </w:r>
    </w:p>
    <w:p>
      <w:pPr>
        <w:pStyle w:val="ListParagraph"/>
        <w:numPr>
          <w:ilvl w:val="0"/>
          <w:numId w:val="11"/>
        </w:numPr>
        <w:spacing w:after="70"/>
      </w:pPr>
      <w:r>
        <w:rPr>
          <w:rFonts w:ascii="Times New Roman" w:cs="Times New Roman" w:eastAsia="Times New Roman" w:hAnsi="Times New Roman"/>
          <w:sz w:val="22"/>
          <w:szCs w:val="22"/>
        </w:rPr>
        <w:t xml:space="preserve">Compare what the report uses against what the model exposes:</w:t>
      </w:r>
    </w:p>
    <w:p>
      <w:pPr>
        <w:shd w:fill="F4F2ED" w:color="auto" w:val="clear"/>
        <w:spacing w:after="40"/>
        <w:ind w:left="200"/>
      </w:pPr>
      <w:r>
        <w:rPr>
          <w:rFonts w:ascii="Consolas" w:cs="Consolas" w:eastAsia="Consolas" w:hAnsi="Consolas"/>
          <w:sz w:val="18"/>
          <w:szCs w:val="18"/>
        </w:rPr>
        <w:t xml:space="preserve">used  = rep.list_report_semantic_model_objects('Retail_Sales_Forecasting')</w:t>
      </w:r>
    </w:p>
    <w:p>
      <w:pPr>
        <w:shd w:fill="F4F2ED" w:color="auto" w:val="clear"/>
        <w:spacing w:after="40"/>
        <w:ind w:left="200"/>
      </w:pPr>
      <w:r>
        <w:rPr>
          <w:rFonts w:ascii="Consolas" w:cs="Consolas" w:eastAsia="Consolas" w:hAnsi="Consolas"/>
          <w:sz w:val="18"/>
          <w:szCs w:val="18"/>
        </w:rPr>
        <w:t xml:space="preserve">all_m = fabric.list_measures('Retail_Sales_Forecasting')</w:t>
      </w:r>
    </w:p>
    <w:p>
      <w:pPr>
        <w:shd w:fill="F4F2ED" w:color="auto" w:val="clear"/>
        <w:spacing w:after="40"/>
        <w:ind w:left="200"/>
      </w:pPr>
      <w:r>
        <w:rPr>
          <w:rFonts w:ascii="Consolas" w:cs="Consolas" w:eastAsia="Consolas" w:hAnsi="Consolas"/>
          <w:sz w:val="18"/>
          <w:szCs w:val="18"/>
        </w:rPr>
        <w:t xml:space="preserve">unused = set(all_m['Measure Name']) - set(used['Object Name'])</w:t>
      </w:r>
    </w:p>
    <w:p>
      <w:pPr>
        <w:pStyle w:val="ListParagraph"/>
        <w:numPr>
          <w:ilvl w:val="0"/>
          <w:numId w:val="11"/>
        </w:numPr>
        <w:spacing w:after="70"/>
      </w:pPr>
      <w:r>
        <w:rPr>
          <w:rFonts w:ascii="Times New Roman" w:cs="Times New Roman" w:eastAsia="Times New Roman" w:hAnsi="Times New Roman"/>
          <w:sz w:val="22"/>
          <w:szCs w:val="22"/>
        </w:rPr>
        <w:t xml:space="preserve">Do not delete unused measures reflexively. The 35-measure catalog is itself a deliverable, and Top 10 Customer Sales, Sales MTD and Customer Sales Rank are documented as card or label measures that may legitimately sit unused on the canvas. Say so in the README instead of pruning to a clean number.</w:t>
      </w:r>
    </w:p>
    <w:p>
      <w:pPr>
        <w:pStyle w:val="ListParagraph"/>
        <w:numPr>
          <w:ilvl w:val="0"/>
          <w:numId w:val="11"/>
        </w:numPr>
        <w:spacing w:after="70"/>
      </w:pPr>
      <w:r>
        <w:rPr>
          <w:rFonts w:ascii="Times New Roman" w:cs="Times New Roman" w:eastAsia="Times New Roman" w:hAnsi="Times New Roman"/>
          <w:sz w:val="22"/>
          <w:szCs w:val="22"/>
        </w:rPr>
        <w:t xml:space="preserve">Do act on unused columns — anything in DimGeography or DimProduct that no visual, filter or measure touches is model weight with no purpose.</w:t>
      </w:r>
    </w:p>
    <w:p>
      <w:pPr>
        <w:pStyle w:val="Heading2"/>
        <w:spacing w:after="120" w:before="240"/>
      </w:pPr>
      <w:r>
        <w:rPr>
          <w:rFonts w:ascii="Times New Roman" w:cs="Times New Roman" w:eastAsia="Times New Roman" w:hAnsi="Times New Roman"/>
          <w:b/>
          <w:bCs/>
          <w:color w:val="1F3864"/>
          <w:sz w:val="25"/>
          <w:szCs w:val="25"/>
        </w:rPr>
        <w:t xml:space="preserve">Phase 7 — Publish the evaluation  (20 min)</w:t>
      </w:r>
    </w:p>
    <w:p>
      <w:pPr>
        <w:pStyle w:val="ListParagraph"/>
        <w:numPr>
          <w:ilvl w:val="0"/>
          <w:numId w:val="12"/>
        </w:numPr>
        <w:spacing w:after="70"/>
      </w:pPr>
      <w:r>
        <w:rPr>
          <w:rFonts w:ascii="Times New Roman" w:cs="Times New Roman" w:eastAsia="Times New Roman" w:hAnsi="Times New Roman"/>
          <w:sz w:val="22"/>
          <w:szCs w:val="22"/>
        </w:rPr>
        <w:t xml:space="preserve">Build a small Power BI report over the BPA delta tables. An evaluation dashboard for your own project is an unusually strong portfolio piece and costs almost nothing once the data is already in the lakehouse.</w:t>
      </w:r>
    </w:p>
    <w:p>
      <w:pPr>
        <w:pStyle w:val="ListParagraph"/>
        <w:numPr>
          <w:ilvl w:val="0"/>
          <w:numId w:val="12"/>
        </w:numPr>
        <w:spacing w:after="70"/>
      </w:pPr>
      <w:r>
        <w:rPr>
          <w:rFonts w:ascii="Times New Roman" w:cs="Times New Roman" w:eastAsia="Times New Roman" w:hAnsi="Times New Roman"/>
          <w:sz w:val="22"/>
          <w:szCs w:val="22"/>
        </w:rPr>
        <w:t xml:space="preserve">Commit the notebook to the repo under tests/ or evaluation/. Regenerate dax/measures.md from the semantic model TMDL if any measure changed.</w:t>
      </w:r>
    </w:p>
    <w:p>
      <w:pPr>
        <w:pStyle w:val="ListParagraph"/>
        <w:numPr>
          <w:ilvl w:val="0"/>
          <w:numId w:val="12"/>
        </w:numPr>
        <w:spacing w:after="70"/>
      </w:pPr>
      <w:r>
        <w:rPr>
          <w:rFonts w:ascii="Times New Roman" w:cs="Times New Roman" w:eastAsia="Times New Roman" w:hAnsi="Times New Roman"/>
          <w:sz w:val="22"/>
          <w:szCs w:val="22"/>
        </w:rPr>
        <w:t xml:space="preserve">Record the library version and run date in the notebook header so a reader knows what the results were produced against.</w:t>
      </w:r>
    </w:p>
    <w:p>
      <w:pPr>
        <w:pStyle w:val="Heading1"/>
        <w:spacing w:after="140" w:before="300"/>
      </w:pPr>
      <w:r>
        <w:rPr>
          <w:rFonts w:ascii="Times New Roman" w:cs="Times New Roman" w:eastAsia="Times New Roman" w:hAnsi="Times New Roman"/>
          <w:b/>
          <w:bCs/>
          <w:color w:val="1F3864"/>
          <w:sz w:val="30"/>
          <w:szCs w:val="30"/>
        </w:rPr>
        <w:t xml:space="preserve">7. Conformance scorecard — remapped</w:t>
      </w:r>
    </w:p>
    <w:p>
      <w:pPr>
        <w:spacing w:after="100"/>
      </w:pPr>
      <w:r>
        <w:rPr>
          <w:rFonts w:ascii="Times New Roman" w:cs="Times New Roman" w:eastAsia="Times New Roman" w:hAnsi="Times New Roman"/>
          <w:sz w:val="22"/>
          <w:szCs w:val="22"/>
        </w:rPr>
        <w:t xml:space="preserve">The document 13 specification restated as assertions, with the Fabric surface that tests each one.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000"/>
      </w:tblGrid>
      <w:tr>
        <w:trPr>
          <w:tblHeader/>
        </w:trPr>
        <w:tc>
          <w:tcPr>
            <w:tcW w:type="dxa" w:w="5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w:t>
            </w:r>
          </w:p>
        </w:tc>
        <w:tc>
          <w:tcPr>
            <w:tcW w:type="dxa" w:w="46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Assertion</w:t>
            </w:r>
          </w:p>
        </w:tc>
        <w:tc>
          <w:tcPr>
            <w:tcW w:type="dxa" w:w="30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Notebook surface</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Canvas 1280 × 720 on all three pages</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rw.list_pages()</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2</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Theme JSON applied (navy #1F3864, canvas #FAFAFA)</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report.json / StaticResources</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3</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Page 1 has 8 visuals; Page 2 has 6; Page 3 has 4</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rw.list_visuals()</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4</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Cards 1.1, 1.2, 1.4 bind the reference-label measures</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list_report_semantic_model_objects()</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5</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Card 1.4 uses Quota Attainment % Color as field-value colour</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6</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1.5 plots Total Sales and Sales PY, PY dashed</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7</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1.6 overlays Quota Amount on Total Sales by Region</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8</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1.8 matrix has data bars and icons</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9</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Forecast: length 6, ignore last 0, seasonality 12, CI 95%</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10</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2.3 has a constant line at 1.00</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11</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Slicer 2.4 bound to 'Growth Rate'[Growth Rate]</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rw.list_visuals()</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12</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3.1 carries a TopN filter, 10 by Total Sales</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rw.list_visual_filters()</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13</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3.2 filters Account Status &lt;&gt; 'Active'</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rw.list_visual_filters()</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14</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3.3 has quadrant lines at x = 20% and y = 0</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visual JSON</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15</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Region and Order Date slicers sync across all pages</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report.json</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16</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Reset-filters bookmark exists with Data unticked</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rw.list_bookmarks()</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17</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Page 3 declares Region and State as drillthrough fields</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page JSON</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18</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1.6 cross-filters rather than cross-highlights</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report.json</w:t>
            </w:r>
          </w:p>
        </w:tc>
      </w:tr>
      <w:tr>
        <w:tc>
          <w:tcPr>
            <w:tcW w:type="dxa" w:w="5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19</w:t>
            </w:r>
          </w:p>
        </w:tc>
        <w:tc>
          <w:tcPr>
            <w:tcW w:type="dxa" w:w="46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No visual left with a default auto-generated title</w:t>
            </w:r>
          </w:p>
        </w:tc>
        <w:tc>
          <w:tcPr>
            <w:tcW w:type="dxa" w:w="30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run_report_bpa()</w:t>
            </w:r>
          </w:p>
        </w:tc>
      </w:tr>
      <w:tr>
        <w:tc>
          <w:tcPr>
            <w:tcW w:type="dxa" w:w="5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20</w:t>
            </w:r>
          </w:p>
        </w:tc>
        <w:tc>
          <w:tcPr>
            <w:tcW w:type="dxa" w:w="46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Every page renders under 3 s cold</w:t>
            </w:r>
          </w:p>
        </w:tc>
        <w:tc>
          <w:tcPr>
            <w:tcW w:type="dxa" w:w="30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Performance Analyzer (Desktop)</w:t>
            </w:r>
          </w:p>
        </w:tc>
      </w:tr>
    </w:tbl>
    <w:p>
      <w:pPr>
        <w:spacing w:after="160"/>
      </w:pPr>
    </w:p>
    <w:p>
      <w:pPr>
        <w:pStyle w:val="Heading1"/>
        <w:spacing w:after="140" w:before="300"/>
      </w:pPr>
      <w:r>
        <w:rPr>
          <w:rFonts w:ascii="Times New Roman" w:cs="Times New Roman" w:eastAsia="Times New Roman" w:hAnsi="Times New Roman"/>
          <w:b/>
          <w:bCs/>
          <w:color w:val="1F3864"/>
          <w:sz w:val="30"/>
          <w:szCs w:val="30"/>
        </w:rPr>
        <w:t xml:space="preserve">8. Costs, caveats and honest limits</w:t>
      </w:r>
    </w:p>
    <w:p>
      <w:pPr>
        <w:pStyle w:val="ListParagraph"/>
        <w:numPr>
          <w:ilvl w:val="0"/>
          <w:numId w:val="2"/>
        </w:numPr>
        <w:spacing w:after="70"/>
      </w:pPr>
      <w:r>
        <w:rPr>
          <w:rFonts w:ascii="Times New Roman" w:cs="Times New Roman" w:eastAsia="Times New Roman" w:hAnsi="Times New Roman"/>
          <w:b/>
          <w:bCs/>
          <w:sz w:val="22"/>
          <w:szCs w:val="22"/>
        </w:rPr>
        <w:t xml:space="preserve">Preview surface. </w:t>
      </w:r>
      <w:r>
        <w:rPr>
          <w:rFonts w:ascii="Times New Roman" w:cs="Times New Roman" w:eastAsia="Times New Roman" w:hAnsi="Times New Roman"/>
          <w:sz w:val="22"/>
          <w:szCs w:val="22"/>
        </w:rPr>
        <w:t xml:space="preserve">The PBIR-dependent report functions are in preview and documented as carrying limitations. Expect at least one property in the section 7 list to be unreachable through the wrapper and to need reading the page JSON directly. Budget for it rather than being surprised.</w:t>
      </w:r>
    </w:p>
    <w:p>
      <w:pPr>
        <w:pStyle w:val="ListParagraph"/>
        <w:numPr>
          <w:ilvl w:val="0"/>
          <w:numId w:val="2"/>
        </w:numPr>
        <w:spacing w:after="70"/>
      </w:pPr>
      <w:r>
        <w:rPr>
          <w:rFonts w:ascii="Times New Roman" w:cs="Times New Roman" w:eastAsia="Times New Roman" w:hAnsi="Times New Roman"/>
          <w:b/>
          <w:bCs/>
          <w:sz w:val="22"/>
          <w:szCs w:val="22"/>
        </w:rPr>
        <w:t xml:space="preserve">Capacity consumption. </w:t>
      </w:r>
      <w:r>
        <w:rPr>
          <w:rFonts w:ascii="Times New Roman" w:cs="Times New Roman" w:eastAsia="Times New Roman" w:hAnsi="Times New Roman"/>
          <w:sz w:val="22"/>
          <w:szCs w:val="22"/>
        </w:rPr>
        <w:t xml:space="preserve">Notebook sessions and workspace monitoring both consume capacity units. For a single portfolio project on a small SKU this is not a concern, but leaving workspace monitoring on indefinitely for a project you have finished is waste — turn it off when done.</w:t>
      </w:r>
    </w:p>
    <w:p>
      <w:pPr>
        <w:pStyle w:val="ListParagraph"/>
        <w:numPr>
          <w:ilvl w:val="0"/>
          <w:numId w:val="2"/>
        </w:numPr>
        <w:spacing w:after="70"/>
      </w:pPr>
      <w:r>
        <w:rPr>
          <w:rFonts w:ascii="Times New Roman" w:cs="Times New Roman" w:eastAsia="Times New Roman" w:hAnsi="Times New Roman"/>
          <w:b/>
          <w:bCs/>
          <w:sz w:val="22"/>
          <w:szCs w:val="22"/>
        </w:rPr>
        <w:t xml:space="preserve">Publishing changes the surface. </w:t>
      </w:r>
      <w:r>
        <w:rPr>
          <w:rFonts w:ascii="Times New Roman" w:cs="Times New Roman" w:eastAsia="Times New Roman" w:hAnsi="Times New Roman"/>
          <w:sz w:val="22"/>
          <w:szCs w:val="22"/>
        </w:rPr>
        <w:t xml:space="preserve">Evaluating the published model is not identical to evaluating the Desktop file: auto date/time behaviour, refresh semantics and query caching all differ. For this project the model is Import with no gateway, so the gap is negligible — but state that assumption rather than ignoring it.</w:t>
      </w:r>
    </w:p>
    <w:p>
      <w:pPr>
        <w:pStyle w:val="ListParagraph"/>
        <w:numPr>
          <w:ilvl w:val="0"/>
          <w:numId w:val="2"/>
        </w:numPr>
        <w:spacing w:after="70"/>
      </w:pPr>
      <w:r>
        <w:rPr>
          <w:rFonts w:ascii="Times New Roman" w:cs="Times New Roman" w:eastAsia="Times New Roman" w:hAnsi="Times New Roman"/>
          <w:b/>
          <w:bCs/>
          <w:sz w:val="22"/>
          <w:szCs w:val="22"/>
        </w:rPr>
        <w:t xml:space="preserve">Do not abandon the desktop entirely. </w:t>
      </w:r>
      <w:r>
        <w:rPr>
          <w:rFonts w:ascii="Times New Roman" w:cs="Times New Roman" w:eastAsia="Times New Roman" w:hAnsi="Times New Roman"/>
          <w:sz w:val="22"/>
          <w:szCs w:val="22"/>
        </w:rPr>
        <w:t xml:space="preserve">Tabular Editor and DAX Studio remain the fastest way to interrogate something the notebook has flagged. Fabric is better for running the evaluation; the desktop tools are still better for the five minutes of digging afterwards.</w:t>
      </w:r>
    </w:p>
    <w:p>
      <w:pPr>
        <w:pStyle w:val="Heading1"/>
        <w:spacing w:after="140" w:before="300"/>
      </w:pPr>
      <w:r>
        <w:rPr>
          <w:rFonts w:ascii="Times New Roman" w:cs="Times New Roman" w:eastAsia="Times New Roman" w:hAnsi="Times New Roman"/>
          <w:b/>
          <w:bCs/>
          <w:color w:val="1F3864"/>
          <w:sz w:val="30"/>
          <w:szCs w:val="30"/>
        </w:rPr>
        <w:t xml:space="preserve">9. Why this matters beyond the audit</w:t>
      </w:r>
    </w:p>
    <w:p>
      <w:pPr>
        <w:spacing w:after="120"/>
      </w:pPr>
      <w:r>
        <w:rPr>
          <w:rFonts w:ascii="Times New Roman" w:cs="Times New Roman" w:eastAsia="Times New Roman" w:hAnsi="Times New Roman"/>
          <w:sz w:val="22"/>
          <w:szCs w:val="22"/>
        </w:rPr>
        <w:t xml:space="preserve">This project exists to demonstrate BI engineering judgement to people hiring for it. The Revision 1 plan demonstrated that you know which external tools exist. This revision demonstrates something scarcer: that you can express a specification as executable tests, run them against a live semantic model, and publish the results as data.</w:t>
      </w:r>
    </w:p>
    <w:p>
      <w:pPr>
        <w:spacing w:after="120"/>
      </w:pPr>
      <w:r>
        <w:rPr>
          <w:rFonts w:ascii="Times New Roman" w:cs="Times New Roman" w:eastAsia="Times New Roman" w:hAnsi="Times New Roman"/>
          <w:sz w:val="22"/>
          <w:szCs w:val="22"/>
        </w:rPr>
        <w:t xml:space="preserve">The concrete artefact is a notebook that audits a semantic model and a report against a written specification, with the reasoning behind each accepted exception recorded inline. That is closer to what a senior BI role actually looks like than any dashboard screenshot, and almost nobody has one in their portfolio.</w:t>
      </w:r>
    </w:p>
    <w:p>
      <w:pPr>
        <w:pStyle w:val="Heading1"/>
        <w:spacing w:after="140" w:before="300"/>
      </w:pPr>
      <w:r>
        <w:rPr>
          <w:rFonts w:ascii="Times New Roman" w:cs="Times New Roman" w:eastAsia="Times New Roman" w:hAnsi="Times New Roman"/>
          <w:b/>
          <w:bCs/>
          <w:color w:val="1F3864"/>
          <w:sz w:val="30"/>
          <w:szCs w:val="30"/>
        </w:rPr>
        <w:t xml:space="preserve">10. Time budget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1400"/>
      </w:tblGrid>
      <w:tr>
        <w:trPr>
          <w:tblHeader/>
        </w:trPr>
        <w:tc>
          <w:tcPr>
            <w:tcW w:type="dxa" w:w="9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Phase</w:t>
            </w:r>
          </w:p>
        </w:tc>
        <w:tc>
          <w:tcPr>
            <w:tcW w:type="dxa" w:w="59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Activity</w:t>
            </w:r>
          </w:p>
        </w:tc>
        <w:tc>
          <w:tcPr>
            <w:tcW w:type="dxa" w:w="1400"/>
            <w:shd w:fill="1F3864" w:color="auto"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19"/>
                <w:szCs w:val="19"/>
              </w:rPr>
              <w:t xml:space="preserve">Time</w:t>
            </w:r>
          </w:p>
        </w:tc>
      </w:tr>
      <w:tr>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w:t>
            </w:r>
          </w:p>
        </w:tc>
        <w:tc>
          <w:tcPr>
            <w:tcW w:type="dxa" w:w="5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Get the project into Fabric</w:t>
            </w:r>
          </w:p>
        </w:tc>
        <w:tc>
          <w:tcPr>
            <w:tcW w:type="dxa" w:w="1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0:20</w:t>
            </w:r>
          </w:p>
        </w:tc>
      </w:tr>
      <w:tr>
        <w:tc>
          <w:tcPr>
            <w:tcW w:type="dxa" w:w="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1</w:t>
            </w:r>
          </w:p>
        </w:tc>
        <w:tc>
          <w:tcPr>
            <w:tcW w:type="dxa" w:w="5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Notebook setup</w:t>
            </w:r>
          </w:p>
        </w:tc>
        <w:tc>
          <w:tcPr>
            <w:tcW w:type="dxa" w:w="14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0:10</w:t>
            </w:r>
          </w:p>
        </w:tc>
      </w:tr>
      <w:tr>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2</w:t>
            </w:r>
          </w:p>
        </w:tc>
        <w:tc>
          <w:tcPr>
            <w:tcW w:type="dxa" w:w="5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Model audit — run_model_bpa extended</w:t>
            </w:r>
          </w:p>
        </w:tc>
        <w:tc>
          <w:tcPr>
            <w:tcW w:type="dxa" w:w="1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0:20</w:t>
            </w:r>
          </w:p>
        </w:tc>
      </w:tr>
      <w:tr>
        <w:tc>
          <w:tcPr>
            <w:tcW w:type="dxa" w:w="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3</w:t>
            </w:r>
          </w:p>
        </w:tc>
        <w:tc>
          <w:tcPr>
            <w:tcW w:type="dxa" w:w="5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Report audit — run_report_bpa and assertions</w:t>
            </w:r>
          </w:p>
        </w:tc>
        <w:tc>
          <w:tcPr>
            <w:tcW w:type="dxa" w:w="14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0:40</w:t>
            </w:r>
          </w:p>
        </w:tc>
      </w:tr>
      <w:tr>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4</w:t>
            </w:r>
          </w:p>
        </w:tc>
        <w:tc>
          <w:tcPr>
            <w:tcW w:type="dxa" w:w="5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Verify the numbers — evaluate_dax assertions</w:t>
            </w:r>
          </w:p>
        </w:tc>
        <w:tc>
          <w:tcPr>
            <w:tcW w:type="dxa" w:w="1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0:15</w:t>
            </w:r>
          </w:p>
        </w:tc>
      </w:tr>
      <w:tr>
        <w:tc>
          <w:tcPr>
            <w:tcW w:type="dxa" w:w="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5</w:t>
            </w:r>
          </w:p>
        </w:tc>
        <w:tc>
          <w:tcPr>
            <w:tcW w:type="dxa" w:w="5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Performance — monitoring plus Desktop capture</w:t>
            </w:r>
          </w:p>
        </w:tc>
        <w:tc>
          <w:tcPr>
            <w:tcW w:type="dxa" w:w="14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0:25</w:t>
            </w:r>
          </w:p>
        </w:tc>
      </w:tr>
      <w:tr>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6</w:t>
            </w:r>
          </w:p>
        </w:tc>
        <w:tc>
          <w:tcPr>
            <w:tcW w:type="dxa" w:w="5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Hygiene — unused objects</w:t>
            </w:r>
          </w:p>
        </w:tc>
        <w:tc>
          <w:tcPr>
            <w:tcW w:type="dxa" w:w="1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0:15</w:t>
            </w:r>
          </w:p>
        </w:tc>
      </w:tr>
      <w:tr>
        <w:tc>
          <w:tcPr>
            <w:tcW w:type="dxa" w:w="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7</w:t>
            </w:r>
          </w:p>
        </w:tc>
        <w:tc>
          <w:tcPr>
            <w:tcW w:type="dxa" w:w="59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Publish the evaluation and commit</w:t>
            </w:r>
          </w:p>
        </w:tc>
        <w:tc>
          <w:tcPr>
            <w:tcW w:type="dxa" w:w="1400"/>
            <w:shd w:fill="F2F4F8"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0:20</w:t>
            </w:r>
          </w:p>
        </w:tc>
      </w:tr>
      <w:tr>
        <w:tc>
          <w:tcPr>
            <w:tcW w:type="dxa" w:w="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
            </w:r>
          </w:p>
        </w:tc>
        <w:tc>
          <w:tcPr>
            <w:tcW w:type="dxa" w:w="59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Total</w:t>
            </w:r>
          </w:p>
        </w:tc>
        <w:tc>
          <w:tcPr>
            <w:tcW w:type="dxa" w:w="1400"/>
            <w:tcMar>
              <w:top w:type="dxa" w:w="70"/>
              <w:left w:type="dxa" w:w="100"/>
              <w:bottom w:type="dxa" w:w="70"/>
              <w:right w:type="dxa" w:w="100"/>
            </w:tcMar>
          </w:tcPr>
          <w:p>
            <w:pPr>
              <w:spacing w:after="0"/>
            </w:pPr>
            <w:r>
              <w:rPr>
                <w:rFonts w:ascii="Times New Roman" w:cs="Times New Roman" w:eastAsia="Times New Roman" w:hAnsi="Times New Roman"/>
                <w:b w:val="false"/>
                <w:bCs w:val="false"/>
                <w:sz w:val="19"/>
                <w:szCs w:val="19"/>
              </w:rPr>
              <w:t xml:space="preserve">2:45</w:t>
            </w:r>
          </w:p>
        </w:tc>
      </w:tr>
    </w:tbl>
    <w:p>
      <w:pPr>
        <w:spacing w:after="160"/>
      </w:pPr>
    </w:p>
    <w:p>
      <w:pPr>
        <w:spacing w:after="140"/>
      </w:pPr>
      <w:r>
        <w:rPr>
          <w:rFonts w:ascii="Times New Roman" w:cs="Times New Roman" w:eastAsia="Times New Roman" w:hAnsi="Times New Roman"/>
          <w:i/>
          <w:iCs/>
          <w:sz w:val="22"/>
          <w:szCs w:val="22"/>
        </w:rPr>
        <w:t xml:space="preserve">Add roughly fifteen minutes once, and once only, if DAX Studio and Tabular Editor 2 are not yet installed (section 5). They sit outside the phase flow because neither is needed to run the evaluation.</w:t>
      </w:r>
    </w:p>
    <w:p>
      <w:pPr>
        <w:spacing w:after="120"/>
      </w:pPr>
      <w:r>
        <w:rPr>
          <w:rFonts w:ascii="Times New Roman" w:cs="Times New Roman" w:eastAsia="Times New Roman" w:hAnsi="Times New Roman"/>
          <w:i/>
          <w:iCs/>
          <w:sz w:val="22"/>
          <w:szCs w:val="22"/>
        </w:rPr>
        <w:t xml:space="preserve">Fifteen minutes faster than the desktop plan, and unlike the desktop plan the second run costs minutes rather than hours. If time is short, Phases 2, 3 and 4 are the ones that cannot be cut: model conformance, report conformance, and whether the numbers on the page are true.</w:t>
      </w:r>
    </w:p>
    <w:p>
      <w:pPr>
        <w:pStyle w:val="Heading1"/>
        <w:spacing w:after="140" w:before="300"/>
      </w:pPr>
      <w:r>
        <w:rPr>
          <w:rFonts w:ascii="Times New Roman" w:cs="Times New Roman" w:eastAsia="Times New Roman" w:hAnsi="Times New Roman"/>
          <w:b/>
          <w:bCs/>
          <w:color w:val="1F3864"/>
          <w:sz w:val="30"/>
          <w:szCs w:val="30"/>
        </w:rPr>
        <w:t xml:space="preserve">11. Sources</w:t>
      </w:r>
    </w:p>
    <w:p>
      <w:pPr>
        <w:pStyle w:val="ListParagraph"/>
        <w:numPr>
          <w:ilvl w:val="0"/>
          <w:numId w:val="2"/>
        </w:numPr>
        <w:spacing w:after="70"/>
      </w:pPr>
      <w:r>
        <w:rPr>
          <w:rFonts w:ascii="Times New Roman" w:cs="Times New Roman" w:eastAsia="Times New Roman" w:hAnsi="Times New Roman"/>
          <w:sz w:val="22"/>
          <w:szCs w:val="22"/>
        </w:rPr>
        <w:t xml:space="preserve">semantic-link-labs — code examples and function reference (github.com/microsoft/semantic-link-labs, semantic-link-labs.readthedocs.io)</w:t>
      </w:r>
    </w:p>
    <w:p>
      <w:pPr>
        <w:pStyle w:val="ListParagraph"/>
        <w:numPr>
          <w:ilvl w:val="0"/>
          <w:numId w:val="2"/>
        </w:numPr>
        <w:spacing w:after="70"/>
      </w:pPr>
      <w:r>
        <w:rPr>
          <w:rFonts w:ascii="Times New Roman" w:cs="Times New Roman" w:eastAsia="Times New Roman" w:hAnsi="Times New Roman"/>
          <w:sz w:val="22"/>
          <w:szCs w:val="22"/>
        </w:rPr>
        <w:t xml:space="preserve">Workspace monitoring and the semantic model Real-Time Dashboard template (Microsoft Fabric blog; learn.microsoft.com/fabric/fundamentals/sample-gallery-workspace-monitoring)</w:t>
      </w:r>
    </w:p>
    <w:p>
      <w:pPr>
        <w:pStyle w:val="ListParagraph"/>
        <w:numPr>
          <w:ilvl w:val="0"/>
          <w:numId w:val="2"/>
        </w:numPr>
        <w:spacing w:after="70"/>
      </w:pPr>
      <w:r>
        <w:rPr>
          <w:rFonts w:ascii="Times New Roman" w:cs="Times New Roman" w:eastAsia="Times New Roman" w:hAnsi="Times New Roman"/>
          <w:sz w:val="22"/>
          <w:szCs w:val="22"/>
        </w:rPr>
        <w:t xml:space="preserve">Managing Power BI reports or models using semantic-link-labs — Data Goblins</w:t>
      </w:r>
    </w:p>
    <w:p>
      <w:pPr>
        <w:pStyle w:val="ListParagraph"/>
        <w:numPr>
          <w:ilvl w:val="0"/>
          <w:numId w:val="2"/>
        </w:numPr>
        <w:spacing w:after="70"/>
      </w:pPr>
      <w:r>
        <w:rPr>
          <w:rFonts w:ascii="Times New Roman" w:cs="Times New Roman" w:eastAsia="Times New Roman" w:hAnsi="Times New Roman"/>
          <w:sz w:val="22"/>
          <w:szCs w:val="22"/>
        </w:rPr>
        <w:t xml:space="preserve">Finding fields used in a PBIR report with Semantic Link Labs — Data Savvy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5"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6"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7"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8"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9"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0"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1"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2"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3"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4"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5"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6"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7"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8"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Evaluation Strategy &amp; Runbook — Revision 2</dc:title>
  <dc:creator>Evelyn Livant</dc:creator>
  <cp:lastModifiedBy>Un-named</cp:lastModifiedBy>
  <cp:revision>1</cp:revision>
  <dcterms:created xsi:type="dcterms:W3CDTF">2026-07-31T02:02:01.680Z</dcterms:created>
  <dcterms:modified xsi:type="dcterms:W3CDTF">2026-07-31T02:02:01.681Z</dcterms:modified>
</cp:coreProperties>
</file>

<file path=docProps/custom.xml><?xml version="1.0" encoding="utf-8"?>
<Properties xmlns="http://schemas.openxmlformats.org/officeDocument/2006/custom-properties" xmlns:vt="http://schemas.openxmlformats.org/officeDocument/2006/docPropsVTypes"/>
</file>