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6"/>
        </w:pBdr>
        <w:spacing w:after="60"/>
      </w:pPr>
      <w:r>
        <w:rPr>
          <w:rFonts w:ascii="Times New Roman" w:cs="Times New Roman" w:eastAsia="Times New Roman" w:hAnsi="Times New Roman"/>
          <w:b/>
          <w:bCs/>
          <w:color w:val="1F3864"/>
          <w:sz w:val="34"/>
          <w:szCs w:val="34"/>
        </w:rPr>
        <w:t xml:space="preserve">Evaluation Dashboard — Build Specification</w:t>
      </w:r>
    </w:p>
    <w:p>
      <w:pPr>
        <w:spacing w:after="120"/>
      </w:pPr>
      <w:r>
        <w:rPr>
          <w:rFonts w:ascii="Times New Roman" w:cs="Times New Roman" w:eastAsia="Times New Roman" w:hAnsi="Times New Roman"/>
          <w:color w:val="555555"/>
          <w:sz w:val="22"/>
          <w:szCs w:val="22"/>
        </w:rPr>
        <w:t xml:space="preserve">Retail Sales Analysis &amp; Forecasting Dashboard  ·  Superstore Portfolio Project</w:t>
      </w:r>
    </w:p>
    <w:p>
      <w:pPr>
        <w:spacing w:after="240"/>
      </w:pPr>
      <w:r>
        <w:rPr>
          <w:rFonts w:ascii="Times New Roman" w:cs="Times New Roman" w:eastAsia="Times New Roman" w:hAnsi="Times New Roman"/>
          <w:color w:val="555555"/>
          <w:sz w:val="20"/>
          <w:szCs w:val="20"/>
        </w:rPr>
        <w:t xml:space="preserve">Companion to document 22 §6, Phase 7  ·  Project ID: PBI-RETAIL-001  ·  30 July 2026  ·  Document 23</w:t>
      </w:r>
    </w:p>
    <w:p>
      <w:pPr>
        <w:pStyle w:val="Heading1"/>
        <w:spacing w:after="140" w:before="300"/>
      </w:pPr>
      <w:r>
        <w:rPr>
          <w:rFonts w:ascii="Times New Roman" w:cs="Times New Roman" w:eastAsia="Times New Roman" w:hAnsi="Times New Roman"/>
          <w:b/>
          <w:bCs/>
          <w:color w:val="1F3864"/>
          <w:sz w:val="30"/>
          <w:szCs w:val="30"/>
        </w:rPr>
        <w:t xml:space="preserve">1. What you are building — and what you are not</w:t>
      </w:r>
    </w:p>
    <w:p>
      <w:pPr>
        <w:spacing w:after="120"/>
      </w:pPr>
      <w:r>
        <w:rPr>
          <w:rFonts w:ascii="Times New Roman" w:cs="Times New Roman" w:eastAsia="Times New Roman" w:hAnsi="Times New Roman"/>
          <w:b/>
          <w:bCs/>
          <w:sz w:val="22"/>
          <w:szCs w:val="22"/>
        </w:rPr>
        <w:t xml:space="preserve">Start with the part most people waste an hour on: semantic-link-labs already generates a BPA report for you. </w:t>
      </w:r>
      <w:r>
        <w:rPr>
          <w:rFonts w:ascii="Times New Roman" w:cs="Times New Roman" w:eastAsia="Times New Roman" w:hAnsi="Times New Roman"/>
          <w:sz w:val="22"/>
          <w:szCs w:val="22"/>
        </w:rPr>
        <w:t xml:space="preserve">Three function calls produce a Direct Lake semantic model over the results table and a working Power BI report on top of it. Do not hand-build that.</w:t>
      </w:r>
    </w:p>
    <w:p>
      <w:pPr>
        <w:shd w:fill="F4F2ED" w:color="auto" w:val="clear"/>
        <w:spacing w:after="30"/>
        <w:ind w:left="200"/>
      </w:pPr>
      <w:r>
        <w:rPr>
          <w:rFonts w:ascii="Consolas" w:cs="Consolas" w:eastAsia="Consolas" w:hAnsi="Consolas"/>
          <w:sz w:val="17"/>
          <w:szCs w:val="17"/>
        </w:rPr>
        <w:t xml:space="preserve">labs.run_model_bpa_bulk(workspace='Retail-Portfolio')</w:t>
      </w:r>
    </w:p>
    <w:p>
      <w:pPr>
        <w:shd w:fill="F4F2ED" w:color="auto" w:val="clear"/>
        <w:spacing w:after="30"/>
        <w:ind w:left="200"/>
      </w:pPr>
      <w:r>
        <w:rPr>
          <w:rFonts w:ascii="Consolas" w:cs="Consolas" w:eastAsia="Consolas" w:hAnsi="Consolas"/>
          <w:sz w:val="17"/>
          <w:szCs w:val="17"/>
        </w:rPr>
        <w:t xml:space="preserve">labs.create_model_bpa_semantic_model()      # creates 'ModelBPA' (Direct Lake)</w:t>
      </w:r>
    </w:p>
    <w:p>
      <w:pPr>
        <w:shd w:fill="F4F2ED" w:color="auto" w:val="clear"/>
        <w:spacing w:after="30"/>
        <w:ind w:left="200"/>
      </w:pPr>
      <w:r>
        <w:rPr>
          <w:rFonts w:ascii="Consolas" w:cs="Consolas" w:eastAsia="Consolas" w:hAnsi="Consolas"/>
          <w:sz w:val="17"/>
          <w:szCs w:val="17"/>
        </w:rPr>
        <w:t xml:space="preserve">rep.create_model_bpa_report()               # creates the report</w:t>
      </w:r>
    </w:p>
    <w:p>
      <w:pPr>
        <w:spacing w:after="120"/>
      </w:pPr>
      <w:r>
        <w:rPr>
          <w:rFonts w:ascii="Times New Roman" w:cs="Times New Roman" w:eastAsia="Times New Roman" w:hAnsi="Times New Roman"/>
          <w:sz w:val="22"/>
          <w:szCs w:val="22"/>
        </w:rPr>
        <w:t xml:space="preserve">Because the model is Direct Lake, every later evaluation run appears in that report automatically — no refresh, no republish.</w:t>
      </w:r>
    </w:p>
    <w:p>
      <w:pPr>
        <w:spacing w:after="120"/>
      </w:pPr>
      <w:r>
        <w:rPr>
          <w:rFonts w:ascii="Times New Roman" w:cs="Times New Roman" w:eastAsia="Times New Roman" w:hAnsi="Times New Roman"/>
          <w:b/>
          <w:bCs/>
          <w:sz w:val="22"/>
          <w:szCs w:val="22"/>
        </w:rPr>
        <w:t xml:space="preserve">But the generated report is Microsoft's report, not yours. </w:t>
      </w:r>
      <w:r>
        <w:rPr>
          <w:rFonts w:ascii="Times New Roman" w:cs="Times New Roman" w:eastAsia="Times New Roman" w:hAnsi="Times New Roman"/>
          <w:sz w:val="22"/>
          <w:szCs w:val="22"/>
        </w:rPr>
        <w:t xml:space="preserve">Presenting it as portfolio work is weak, and any interviewer who knows the library will recognise it on sight. It is a baseline, not a deliverable.</w:t>
      </w:r>
    </w:p>
    <w:p>
      <w:pPr>
        <w:spacing w:after="120"/>
      </w:pPr>
      <w:r>
        <w:rPr>
          <w:rFonts w:ascii="Times New Roman" w:cs="Times New Roman" w:eastAsia="Times New Roman" w:hAnsi="Times New Roman"/>
          <w:sz w:val="22"/>
          <w:szCs w:val="22"/>
        </w:rPr>
        <w:t xml:space="preserve">The portfolio value is in what you add: three tables of your own that the library does not produce, and three pages that answer questions about this specific project. That is what this document specifies.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3900"/>
      </w:tblGrid>
      <w:tr>
        <w:trPr>
          <w:tblHeader/>
        </w:trPr>
        <w:tc>
          <w:tcPr>
            <w:tcW w:type="dxa" w:w="25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Layer</w:t>
            </w:r>
          </w:p>
        </w:tc>
        <w:tc>
          <w:tcPr>
            <w:tcW w:type="dxa" w:w="24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Source</w:t>
            </w:r>
          </w:p>
        </w:tc>
        <w:tc>
          <w:tcPr>
            <w:tcW w:type="dxa" w:w="39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Portfolio value</w:t>
            </w:r>
          </w:p>
        </w:tc>
      </w:tr>
      <w:tr>
        <w:trPr>
          <w:cantSplit/>
        </w:trPr>
        <w:tc>
          <w:tcPr>
            <w:tcW w:type="dxa" w:w="2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'modelbparesults' delta table</w:t>
            </w:r>
          </w:p>
        </w:tc>
        <w:tc>
          <w:tcPr>
            <w:tcW w:type="dxa" w:w="24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Generated by the library</w:t>
            </w:r>
          </w:p>
        </w:tc>
        <w:tc>
          <w:tcPr>
            <w:tcW w:type="dxa" w:w="39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None on its own — everyone with the library has it</w:t>
            </w:r>
          </w:p>
        </w:tc>
      </w:tr>
      <w:tr>
        <w:trPr>
          <w:cantSplit/>
        </w:trPr>
        <w:tc>
          <w:tcPr>
            <w:tcW w:type="dxa" w:w="25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Generated ModelBPA report</w:t>
            </w:r>
          </w:p>
        </w:tc>
        <w:tc>
          <w:tcPr>
            <w:tcW w:type="dxa" w:w="24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Generated by the library</w:t>
            </w:r>
          </w:p>
        </w:tc>
        <w:tc>
          <w:tcPr>
            <w:tcW w:type="dxa" w:w="39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A baseline to check your work against</w:t>
            </w:r>
          </w:p>
        </w:tc>
      </w:tr>
      <w:tr>
        <w:trPr>
          <w:cantSplit/>
        </w:trPr>
        <w:tc>
          <w:tcPr>
            <w:tcW w:type="dxa" w:w="2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Conformance, validation and performance tables</w:t>
            </w:r>
          </w:p>
        </w:tc>
        <w:tc>
          <w:tcPr>
            <w:tcW w:type="dxa" w:w="24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You write them in the notebook</w:t>
            </w:r>
          </w:p>
        </w:tc>
        <w:tc>
          <w:tcPr>
            <w:tcW w:type="dxa" w:w="39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High — this is the specification-as-tests idea made concrete</w:t>
            </w:r>
          </w:p>
        </w:tc>
      </w:tr>
      <w:tr>
        <w:trPr>
          <w:cantSplit/>
        </w:trPr>
        <w:tc>
          <w:tcPr>
            <w:tcW w:type="dxa" w:w="25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Three custom report pages</w:t>
            </w:r>
          </w:p>
        </w:tc>
        <w:tc>
          <w:tcPr>
            <w:tcW w:type="dxa" w:w="24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You build them</w:t>
            </w:r>
          </w:p>
        </w:tc>
        <w:tc>
          <w:tcPr>
            <w:tcW w:type="dxa" w:w="39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High — evidence you can turn an audit into a narrative</w:t>
            </w:r>
          </w:p>
        </w:tc>
      </w:tr>
    </w:tbl>
    <w:p>
      <w:pPr>
        <w:spacing w:after="160"/>
      </w:pPr>
    </w:p>
    <w:p>
      <w:pPr>
        <w:pStyle w:val="Heading1"/>
        <w:spacing w:after="140" w:before="300"/>
      </w:pPr>
      <w:r>
        <w:rPr>
          <w:rFonts w:ascii="Times New Roman" w:cs="Times New Roman" w:eastAsia="Times New Roman" w:hAnsi="Times New Roman"/>
          <w:b/>
          <w:bCs/>
          <w:color w:val="1F3864"/>
          <w:sz w:val="30"/>
          <w:szCs w:val="30"/>
        </w:rPr>
        <w:t xml:space="preserve">2. Fabric in ten minutes</w:t>
      </w:r>
    </w:p>
    <w:p>
      <w:pPr>
        <w:spacing w:after="120"/>
      </w:pPr>
      <w:r>
        <w:rPr>
          <w:rFonts w:ascii="Times New Roman" w:cs="Times New Roman" w:eastAsia="Times New Roman" w:hAnsi="Times New Roman"/>
          <w:sz w:val="22"/>
          <w:szCs w:val="22"/>
        </w:rPr>
        <w:t xml:space="preserve">This section assumes you have never opened Fabric. If you already work in it daily, skip to section 4.</w:t>
      </w:r>
    </w:p>
    <w:p>
      <w:pPr>
        <w:spacing w:after="100"/>
      </w:pPr>
      <w:r>
        <w:rPr>
          <w:rFonts w:ascii="Times New Roman" w:cs="Times New Roman" w:eastAsia="Times New Roman" w:hAnsi="Times New Roman"/>
          <w:sz w:val="22"/>
          <w:szCs w:val="22"/>
        </w:rPr>
        <w:t xml:space="preserve">Fabric is the platform Power BI now lives inside. Same sign-in, same portal — app.fabric.microsoft.com — and the reports and semantic models you already publish are Fabric items. What is new to you is everything below the report layer: storage, notebooks, and the compute that runs them.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300"/>
      </w:tblGrid>
      <w:tr>
        <w:trPr>
          <w:tblHeader/>
        </w:trPr>
        <w:tc>
          <w:tcPr>
            <w:tcW w:type="dxa" w:w="16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Term</w:t>
            </w:r>
          </w:p>
        </w:tc>
        <w:tc>
          <w:tcPr>
            <w:tcW w:type="dxa" w:w="40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What it is</w:t>
            </w:r>
          </w:p>
        </w:tc>
        <w:tc>
          <w:tcPr>
            <w:tcW w:type="dxa" w:w="33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Why it matters here</w:t>
            </w:r>
          </w:p>
        </w:tc>
      </w:tr>
      <w:tr>
        <w:trPr>
          <w:cantSplit/>
        </w:trPr>
        <w:tc>
          <w:tcPr>
            <w:tcW w:type="dxa" w:w="16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Capacity</w:t>
            </w:r>
          </w:p>
        </w:tc>
        <w:tc>
          <w:tcPr>
            <w:tcW w:type="dxa" w:w="40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The compute you pay for, sized in Capacity Units (F2, F4, F64…). Everything you run consumes it.</w:t>
            </w:r>
          </w:p>
        </w:tc>
        <w:tc>
          <w:tcPr>
            <w:tcW w:type="dxa" w:w="33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A workspace must sit on a Fabric capacity before it can hold a lakehouse or a notebook</w:t>
            </w:r>
          </w:p>
        </w:tc>
      </w:tr>
      <w:tr>
        <w:trPr>
          <w:cantSplit/>
        </w:trPr>
        <w:tc>
          <w:tcPr>
            <w:tcW w:type="dxa" w:w="16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Workspace</w:t>
            </w:r>
          </w:p>
        </w:tc>
        <w:tc>
          <w:tcPr>
            <w:tcW w:type="dxa" w:w="40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A container for items. You already use these in Power BI.</w:t>
            </w:r>
          </w:p>
        </w:tc>
        <w:tc>
          <w:tcPr>
            <w:tcW w:type="dxa" w:w="33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Make one for this project and put it on your capacity</w:t>
            </w:r>
          </w:p>
        </w:tc>
      </w:tr>
      <w:tr>
        <w:trPr>
          <w:cantSplit/>
        </w:trPr>
        <w:tc>
          <w:tcPr>
            <w:tcW w:type="dxa" w:w="16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OneLake</w:t>
            </w:r>
          </w:p>
        </w:tc>
        <w:tc>
          <w:tcPr>
            <w:tcW w:type="dxa" w:w="40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The single storage layer under everything. One copy of the data, many engines reading it.</w:t>
            </w:r>
          </w:p>
        </w:tc>
        <w:tc>
          <w:tcPr>
            <w:tcW w:type="dxa" w:w="33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The reason a notebook and a semantic model can read the same files with no copying</w:t>
            </w:r>
          </w:p>
        </w:tc>
      </w:tr>
      <w:tr>
        <w:trPr>
          <w:cantSplit/>
        </w:trPr>
        <w:tc>
          <w:tcPr>
            <w:tcW w:type="dxa" w:w="16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Lakehouse</w:t>
            </w:r>
          </w:p>
        </w:tc>
        <w:tc>
          <w:tcPr>
            <w:tcW w:type="dxa" w:w="40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A storage item with two areas — Tables (structured) and Files (anything else).</w:t>
            </w:r>
          </w:p>
        </w:tc>
        <w:tc>
          <w:tcPr>
            <w:tcW w:type="dxa" w:w="33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BPA results land in Tables; the Performance Analyzer export goes in Files</w:t>
            </w:r>
          </w:p>
        </w:tc>
      </w:tr>
      <w:tr>
        <w:trPr>
          <w:cantSplit/>
        </w:trPr>
        <w:tc>
          <w:tcPr>
            <w:tcW w:type="dxa" w:w="16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Delta table</w:t>
            </w:r>
          </w:p>
        </w:tc>
        <w:tc>
          <w:tcPr>
            <w:tcW w:type="dxa" w:w="40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Parquet files plus a transaction log. Behaves like a SQL table and supports appending.</w:t>
            </w:r>
          </w:p>
        </w:tc>
        <w:tc>
          <w:tcPr>
            <w:tcW w:type="dxa" w:w="33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Each evaluation run appends rows instead of overwriting, which is what makes the trend possible</w:t>
            </w:r>
          </w:p>
        </w:tc>
      </w:tr>
      <w:tr>
        <w:trPr>
          <w:cantSplit/>
        </w:trPr>
        <w:tc>
          <w:tcPr>
            <w:tcW w:type="dxa" w:w="16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Notebook</w:t>
            </w:r>
          </w:p>
        </w:tc>
        <w:tc>
          <w:tcPr>
            <w:tcW w:type="dxa" w:w="40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A browser-based Python environment backed by Spark.</w:t>
            </w:r>
          </w:p>
        </w:tc>
        <w:tc>
          <w:tcPr>
            <w:tcW w:type="dxa" w:w="33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Where the evaluation runs. Nothing installs on your machine</w:t>
            </w:r>
          </w:p>
        </w:tc>
      </w:tr>
      <w:tr>
        <w:trPr>
          <w:cantSplit/>
        </w:trPr>
        <w:tc>
          <w:tcPr>
            <w:tcW w:type="dxa" w:w="16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Default lakehouse</w:t>
            </w:r>
          </w:p>
        </w:tc>
        <w:tc>
          <w:tcPr>
            <w:tcW w:type="dxa" w:w="40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The lakehouse a notebook writes to when no path is given.</w:t>
            </w:r>
          </w:p>
        </w:tc>
        <w:tc>
          <w:tcPr>
            <w:tcW w:type="dxa" w:w="33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Critical — the export functions write here and take no lakehouse parameter</w:t>
            </w:r>
          </w:p>
        </w:tc>
      </w:tr>
      <w:tr>
        <w:trPr>
          <w:cantSplit/>
        </w:trPr>
        <w:tc>
          <w:tcPr>
            <w:tcW w:type="dxa" w:w="16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Semantic model</w:t>
            </w:r>
          </w:p>
        </w:tc>
        <w:tc>
          <w:tcPr>
            <w:tcW w:type="dxa" w:w="40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What Desktop calls the data model. Older docs and some function parameters call it 'dataset'.</w:t>
            </w:r>
          </w:p>
        </w:tc>
        <w:tc>
          <w:tcPr>
            <w:tcW w:type="dxa" w:w="33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Both words mean the same thing</w:t>
            </w:r>
          </w:p>
        </w:tc>
      </w:tr>
      <w:tr>
        <w:trPr>
          <w:cantSplit/>
        </w:trPr>
        <w:tc>
          <w:tcPr>
            <w:tcW w:type="dxa" w:w="16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Direct Lake</w:t>
            </w:r>
          </w:p>
        </w:tc>
        <w:tc>
          <w:tcPr>
            <w:tcW w:type="dxa" w:w="40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A storage mode where the model reads delta files directly — no import, no refresh.</w:t>
            </w:r>
          </w:p>
        </w:tc>
        <w:tc>
          <w:tcPr>
            <w:tcW w:type="dxa" w:w="33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New evaluation runs appear in the dashboard without you doing anything</w:t>
            </w:r>
          </w:p>
        </w:tc>
      </w:tr>
      <w:tr>
        <w:trPr>
          <w:cantSplit/>
        </w:trPr>
        <w:tc>
          <w:tcPr>
            <w:tcW w:type="dxa" w:w="16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Spark session</w:t>
            </w:r>
          </w:p>
        </w:tc>
        <w:tc>
          <w:tcPr>
            <w:tcW w:type="dxa" w:w="40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The compute behind a notebook, started by your first cell run.</w:t>
            </w:r>
          </w:p>
        </w:tc>
        <w:tc>
          <w:tcPr>
            <w:tcW w:type="dxa" w:w="33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Expect one to two minutes on the first cell; everything after is fast</w:t>
            </w:r>
          </w:p>
        </w:tc>
      </w:tr>
    </w:tbl>
    <w:p>
      <w:pPr>
        <w:spacing w:after="160"/>
      </w:pPr>
    </w:p>
    <w:p>
      <w:pPr>
        <w:spacing w:after="120"/>
      </w:pPr>
      <w:r>
        <w:rPr>
          <w:rFonts w:ascii="Times New Roman" w:cs="Times New Roman" w:eastAsia="Times New Roman" w:hAnsi="Times New Roman"/>
          <w:b/>
          <w:bCs/>
          <w:sz w:val="22"/>
          <w:szCs w:val="22"/>
        </w:rPr>
        <w:t xml:space="preserve">The one idea worth holding onto: </w:t>
      </w:r>
      <w:r>
        <w:rPr>
          <w:rFonts w:ascii="Times New Roman" w:cs="Times New Roman" w:eastAsia="Times New Roman" w:hAnsi="Times New Roman"/>
          <w:sz w:val="22"/>
          <w:szCs w:val="22"/>
        </w:rPr>
        <w:t xml:space="preserve">the notebook writes delta tables into the lakehouse, and the dashboard reads those same files directly. There is no import step and no refresh schedule anywhere in this design. That is what Direct Lake buys you, and it is why an evaluation dashboard costs almost nothing to keep current.</w:t>
      </w:r>
    </w:p>
    <w:p>
      <w:pPr>
        <w:pStyle w:val="Heading1"/>
        <w:spacing w:after="140" w:before="300"/>
      </w:pPr>
      <w:r>
        <w:rPr>
          <w:rFonts w:ascii="Times New Roman" w:cs="Times New Roman" w:eastAsia="Times New Roman" w:hAnsi="Times New Roman"/>
          <w:b/>
          <w:bCs/>
          <w:color w:val="1F3864"/>
          <w:sz w:val="30"/>
          <w:szCs w:val="30"/>
        </w:rPr>
        <w:t xml:space="preserve">3. Setting up from scratch</w:t>
      </w:r>
    </w:p>
    <w:p>
      <w:pPr>
        <w:spacing w:after="120"/>
      </w:pPr>
      <w:r>
        <w:rPr>
          <w:rFonts w:ascii="Times New Roman" w:cs="Times New Roman" w:eastAsia="Times New Roman" w:hAnsi="Times New Roman"/>
          <w:sz w:val="22"/>
          <w:szCs w:val="22"/>
        </w:rPr>
        <w:t xml:space="preserve">Roughly twenty-five minutes the first time, five minutes every time after.</w:t>
      </w:r>
    </w:p>
    <w:p>
      <w:pPr>
        <w:pStyle w:val="Heading2"/>
        <w:spacing w:after="120" w:before="240"/>
      </w:pPr>
      <w:r>
        <w:rPr>
          <w:rFonts w:ascii="Times New Roman" w:cs="Times New Roman" w:eastAsia="Times New Roman" w:hAnsi="Times New Roman"/>
          <w:b/>
          <w:bCs/>
          <w:color w:val="1F3864"/>
          <w:sz w:val="25"/>
          <w:szCs w:val="25"/>
        </w:rPr>
        <w:t xml:space="preserve">3.1 Confirm you have capacity</w:t>
      </w:r>
    </w:p>
    <w:p>
      <w:pPr>
        <w:pStyle w:val="ListParagraph"/>
        <w:numPr>
          <w:ilvl w:val="0"/>
          <w:numId w:val="2"/>
        </w:numPr>
        <w:spacing w:after="70"/>
      </w:pPr>
      <w:r>
        <w:rPr>
          <w:rFonts w:ascii="Times New Roman" w:cs="Times New Roman" w:eastAsia="Times New Roman" w:hAnsi="Times New Roman"/>
          <w:sz w:val="22"/>
          <w:szCs w:val="22"/>
        </w:rPr>
        <w:t xml:space="preserve">Sign in at app.fabric.microsoft.com.</w:t>
      </w:r>
    </w:p>
    <w:p>
      <w:pPr>
        <w:pStyle w:val="ListParagraph"/>
        <w:numPr>
          <w:ilvl w:val="0"/>
          <w:numId w:val="2"/>
        </w:numPr>
        <w:spacing w:after="70"/>
      </w:pPr>
      <w:r>
        <w:rPr>
          <w:rFonts w:ascii="Times New Roman" w:cs="Times New Roman" w:eastAsia="Times New Roman" w:hAnsi="Times New Roman"/>
          <w:sz w:val="22"/>
          <w:szCs w:val="22"/>
        </w:rPr>
        <w:t xml:space="preserve">If someone else manages your subscription, ask which capacity you may use and whether you can create workspaces on it. If you administer it yourself, the gear icon → Admin portal → Capacity settings lists what you have.</w:t>
      </w:r>
    </w:p>
    <w:p>
      <w:pPr>
        <w:pStyle w:val="ListParagraph"/>
        <w:numPr>
          <w:ilvl w:val="0"/>
          <w:numId w:val="2"/>
        </w:numPr>
        <w:spacing w:after="70"/>
      </w:pPr>
      <w:r>
        <w:rPr>
          <w:rFonts w:ascii="Times New Roman" w:cs="Times New Roman" w:eastAsia="Times New Roman" w:hAnsi="Times New Roman"/>
          <w:sz w:val="22"/>
          <w:szCs w:val="22"/>
        </w:rPr>
        <w:t xml:space="preserve">No capacity available? Account manager (top right) → Start trial. The trial gives 64 capacity units and 1 TB of OneLake storage for 60 days, and can be extended once it has fewer than seven days left.</w:t>
      </w:r>
    </w:p>
    <w:p>
      <w:pPr>
        <w:spacing w:after="120"/>
      </w:pPr>
      <w:r>
        <w:rPr>
          <w:rFonts w:ascii="Times New Roman" w:cs="Times New Roman" w:eastAsia="Times New Roman" w:hAnsi="Times New Roman"/>
          <w:b/>
          <w:bCs/>
          <w:sz w:val="22"/>
          <w:szCs w:val="22"/>
        </w:rPr>
        <w:t xml:space="preserve">If you use the trial, diarise the expiry. </w:t>
      </w:r>
      <w:r>
        <w:rPr>
          <w:rFonts w:ascii="Times New Roman" w:cs="Times New Roman" w:eastAsia="Times New Roman" w:hAnsi="Times New Roman"/>
          <w:sz w:val="22"/>
          <w:szCs w:val="22"/>
        </w:rPr>
        <w:t xml:space="preserve">When it lapses you have a seven-day grace period to move the workspace onto a paid F capacity. After that, non-Power BI items — the lakehouse and the notebook — are removed. Portfolio work that sits untouched for two months is exactly the thing this catches out.</w:t>
      </w:r>
    </w:p>
    <w:p>
      <w:pPr>
        <w:pStyle w:val="Heading2"/>
        <w:spacing w:after="120" w:before="240"/>
      </w:pPr>
      <w:r>
        <w:rPr>
          <w:rFonts w:ascii="Times New Roman" w:cs="Times New Roman" w:eastAsia="Times New Roman" w:hAnsi="Times New Roman"/>
          <w:b/>
          <w:bCs/>
          <w:color w:val="1F3864"/>
          <w:sz w:val="25"/>
          <w:szCs w:val="25"/>
        </w:rPr>
        <w:t xml:space="preserve">3.2 Create the workspace</w:t>
      </w:r>
    </w:p>
    <w:p>
      <w:pPr>
        <w:pStyle w:val="ListParagraph"/>
        <w:numPr>
          <w:ilvl w:val="0"/>
          <w:numId w:val="3"/>
        </w:numPr>
        <w:spacing w:after="70"/>
      </w:pPr>
      <w:r>
        <w:rPr>
          <w:rFonts w:ascii="Times New Roman" w:cs="Times New Roman" w:eastAsia="Times New Roman" w:hAnsi="Times New Roman"/>
          <w:sz w:val="22"/>
          <w:szCs w:val="22"/>
        </w:rPr>
        <w:t xml:space="preserve">Left navigation → Workspaces → New workspace.</w:t>
      </w:r>
    </w:p>
    <w:p>
      <w:pPr>
        <w:pStyle w:val="ListParagraph"/>
        <w:numPr>
          <w:ilvl w:val="0"/>
          <w:numId w:val="3"/>
        </w:numPr>
        <w:spacing w:after="70"/>
      </w:pPr>
      <w:r>
        <w:rPr>
          <w:rFonts w:ascii="Times New Roman" w:cs="Times New Roman" w:eastAsia="Times New Roman" w:hAnsi="Times New Roman"/>
          <w:sz w:val="22"/>
          <w:szCs w:val="22"/>
        </w:rPr>
        <w:t xml:space="preserve">Name it something recognisable — Retail-Portfolio-Evaluation.</w:t>
      </w:r>
    </w:p>
    <w:p>
      <w:pPr>
        <w:pStyle w:val="ListParagraph"/>
        <w:numPr>
          <w:ilvl w:val="0"/>
          <w:numId w:val="3"/>
        </w:numPr>
        <w:spacing w:after="70"/>
      </w:pPr>
      <w:r>
        <w:rPr>
          <w:rFonts w:ascii="Times New Roman" w:cs="Times New Roman" w:eastAsia="Times New Roman" w:hAnsi="Times New Roman"/>
          <w:sz w:val="22"/>
          <w:szCs w:val="22"/>
        </w:rPr>
        <w:t xml:space="preserve">Expand Advanced → License mode → select Fabric capacity → choose your capacity → Apply.</w:t>
      </w:r>
    </w:p>
    <w:p>
      <w:pPr>
        <w:spacing w:after="120"/>
      </w:pPr>
      <w:r>
        <w:rPr>
          <w:rFonts w:ascii="Times New Roman" w:cs="Times New Roman" w:eastAsia="Times New Roman" w:hAnsi="Times New Roman"/>
          <w:b/>
          <w:bCs/>
          <w:sz w:val="22"/>
          <w:szCs w:val="22"/>
        </w:rPr>
        <w:t xml:space="preserve">Do not skip the license mode step. </w:t>
      </w:r>
      <w:r>
        <w:rPr>
          <w:rFonts w:ascii="Times New Roman" w:cs="Times New Roman" w:eastAsia="Times New Roman" w:hAnsi="Times New Roman"/>
          <w:sz w:val="22"/>
          <w:szCs w:val="22"/>
        </w:rPr>
        <w:t xml:space="preserve">A workspace created on the default Pro licence will not offer Lakehouse in its New menu, and the error message does not explain why. This is the most common first-time blocker in Fabric, and the fix is Workspace settings → License mode after the fact.</w:t>
      </w:r>
    </w:p>
    <w:p>
      <w:pPr>
        <w:pStyle w:val="Heading2"/>
        <w:spacing w:after="120" w:before="240"/>
      </w:pPr>
      <w:r>
        <w:rPr>
          <w:rFonts w:ascii="Times New Roman" w:cs="Times New Roman" w:eastAsia="Times New Roman" w:hAnsi="Times New Roman"/>
          <w:b/>
          <w:bCs/>
          <w:color w:val="1F3864"/>
          <w:sz w:val="25"/>
          <w:szCs w:val="25"/>
        </w:rPr>
        <w:t xml:space="preserve">3.3 Create the lakehouse</w:t>
      </w:r>
    </w:p>
    <w:p>
      <w:pPr>
        <w:pStyle w:val="ListParagraph"/>
        <w:numPr>
          <w:ilvl w:val="0"/>
          <w:numId w:val="4"/>
        </w:numPr>
        <w:spacing w:after="70"/>
      </w:pPr>
      <w:r>
        <w:rPr>
          <w:rFonts w:ascii="Times New Roman" w:cs="Times New Roman" w:eastAsia="Times New Roman" w:hAnsi="Times New Roman"/>
          <w:sz w:val="22"/>
          <w:szCs w:val="22"/>
        </w:rPr>
        <w:t xml:space="preserve">Inside the workspace: + New item → Lakehouse.</w:t>
      </w:r>
    </w:p>
    <w:p>
      <w:pPr>
        <w:pStyle w:val="ListParagraph"/>
        <w:numPr>
          <w:ilvl w:val="0"/>
          <w:numId w:val="4"/>
        </w:numPr>
        <w:spacing w:after="70"/>
      </w:pPr>
      <w:r>
        <w:rPr>
          <w:rFonts w:ascii="Times New Roman" w:cs="Times New Roman" w:eastAsia="Times New Roman" w:hAnsi="Times New Roman"/>
          <w:sz w:val="22"/>
          <w:szCs w:val="22"/>
        </w:rPr>
        <w:t xml:space="preserve">Name it EvaluationLake.</w:t>
      </w:r>
    </w:p>
    <w:p>
      <w:pPr>
        <w:pStyle w:val="ListParagraph"/>
        <w:numPr>
          <w:ilvl w:val="0"/>
          <w:numId w:val="4"/>
        </w:numPr>
        <w:spacing w:after="70"/>
      </w:pPr>
      <w:r>
        <w:rPr>
          <w:rFonts w:ascii="Times New Roman" w:cs="Times New Roman" w:eastAsia="Times New Roman" w:hAnsi="Times New Roman"/>
          <w:sz w:val="22"/>
          <w:szCs w:val="22"/>
        </w:rPr>
        <w:t xml:space="preserve">It opens on an explorer with two folders, Tables and Files, both empty. Tables holds delta tables; Files holds anything else. Leave them alone for now.</w:t>
      </w:r>
    </w:p>
    <w:p>
      <w:pPr>
        <w:pStyle w:val="Heading2"/>
        <w:spacing w:after="120" w:before="240"/>
      </w:pPr>
      <w:r>
        <w:rPr>
          <w:rFonts w:ascii="Times New Roman" w:cs="Times New Roman" w:eastAsia="Times New Roman" w:hAnsi="Times New Roman"/>
          <w:b/>
          <w:bCs/>
          <w:color w:val="1F3864"/>
          <w:sz w:val="25"/>
          <w:szCs w:val="25"/>
        </w:rPr>
        <w:t xml:space="preserve">3.4 Create the notebook and attach the lakehouse</w:t>
      </w:r>
    </w:p>
    <w:p>
      <w:pPr>
        <w:pStyle w:val="ListParagraph"/>
        <w:numPr>
          <w:ilvl w:val="0"/>
          <w:numId w:val="5"/>
        </w:numPr>
        <w:spacing w:after="70"/>
      </w:pPr>
      <w:r>
        <w:rPr>
          <w:rFonts w:ascii="Times New Roman" w:cs="Times New Roman" w:eastAsia="Times New Roman" w:hAnsi="Times New Roman"/>
          <w:sz w:val="22"/>
          <w:szCs w:val="22"/>
        </w:rPr>
        <w:t xml:space="preserve">In the workspace: + New item → Notebook.</w:t>
      </w:r>
    </w:p>
    <w:p>
      <w:pPr>
        <w:pStyle w:val="ListParagraph"/>
        <w:numPr>
          <w:ilvl w:val="0"/>
          <w:numId w:val="5"/>
        </w:numPr>
        <w:spacing w:after="70"/>
      </w:pPr>
      <w:r>
        <w:rPr>
          <w:rFonts w:ascii="Times New Roman" w:cs="Times New Roman" w:eastAsia="Times New Roman" w:hAnsi="Times New Roman"/>
          <w:sz w:val="22"/>
          <w:szCs w:val="22"/>
        </w:rPr>
        <w:t xml:space="preserve">Rename it from the title at the top left — Evaluation Run.</w:t>
      </w:r>
    </w:p>
    <w:p>
      <w:pPr>
        <w:pStyle w:val="ListParagraph"/>
        <w:numPr>
          <w:ilvl w:val="0"/>
          <w:numId w:val="5"/>
        </w:numPr>
        <w:spacing w:after="70"/>
      </w:pPr>
      <w:r>
        <w:rPr>
          <w:rFonts w:ascii="Times New Roman" w:cs="Times New Roman" w:eastAsia="Times New Roman" w:hAnsi="Times New Roman"/>
          <w:sz w:val="22"/>
          <w:szCs w:val="22"/>
        </w:rPr>
        <w:t xml:space="preserve">In the Explorer pane on the left: Lakehouses → Add → Existing lakehouse → EvaluationLake.</w:t>
      </w:r>
    </w:p>
    <w:p>
      <w:pPr>
        <w:pStyle w:val="ListParagraph"/>
        <w:numPr>
          <w:ilvl w:val="0"/>
          <w:numId w:val="5"/>
        </w:numPr>
        <w:spacing w:after="70"/>
      </w:pPr>
      <w:r>
        <w:rPr>
          <w:rFonts w:ascii="Times New Roman" w:cs="Times New Roman" w:eastAsia="Times New Roman" w:hAnsi="Times New Roman"/>
          <w:sz w:val="22"/>
          <w:szCs w:val="22"/>
        </w:rPr>
        <w:t xml:space="preserve">Confirm it is set as the default. If you ever attach more than one, right-click the one you want and choose Set as default.</w:t>
      </w:r>
    </w:p>
    <w:p>
      <w:pPr>
        <w:spacing w:after="120"/>
      </w:pPr>
      <w:r>
        <w:rPr>
          <w:rFonts w:ascii="Times New Roman" w:cs="Times New Roman" w:eastAsia="Times New Roman" w:hAnsi="Times New Roman"/>
          <w:b/>
          <w:bCs/>
          <w:sz w:val="22"/>
          <w:szCs w:val="22"/>
        </w:rPr>
        <w:t xml:space="preserve">This step is not optional. </w:t>
      </w:r>
      <w:r>
        <w:rPr>
          <w:rFonts w:ascii="Times New Roman" w:cs="Times New Roman" w:eastAsia="Times New Roman" w:hAnsi="Times New Roman"/>
          <w:sz w:val="22"/>
          <w:szCs w:val="22"/>
        </w:rPr>
        <w:t xml:space="preserve">run_model_bpa(export=True) writes to the default lakehouse and has no parameter to point it elsewhere. With no lakehouse attached the call appears to succeed and no table appears.</w:t>
      </w:r>
    </w:p>
    <w:p>
      <w:pPr>
        <w:pStyle w:val="Heading2"/>
        <w:spacing w:after="120" w:before="240"/>
      </w:pPr>
      <w:r>
        <w:rPr>
          <w:rFonts w:ascii="Times New Roman" w:cs="Times New Roman" w:eastAsia="Times New Roman" w:hAnsi="Times New Roman"/>
          <w:b/>
          <w:bCs/>
          <w:color w:val="1F3864"/>
          <w:sz w:val="25"/>
          <w:szCs w:val="25"/>
        </w:rPr>
        <w:t xml:space="preserve">3.5 Run your first cell</w:t>
      </w:r>
    </w:p>
    <w:p>
      <w:pPr>
        <w:pStyle w:val="ListParagraph"/>
        <w:numPr>
          <w:ilvl w:val="0"/>
          <w:numId w:val="6"/>
        </w:numPr>
        <w:spacing w:after="70"/>
      </w:pPr>
      <w:r>
        <w:rPr>
          <w:rFonts w:ascii="Times New Roman" w:cs="Times New Roman" w:eastAsia="Times New Roman" w:hAnsi="Times New Roman"/>
          <w:sz w:val="22"/>
          <w:szCs w:val="22"/>
        </w:rPr>
        <w:t xml:space="preserve">Click into the first cell, type the install command, and press Shift+Enter.</w:t>
      </w:r>
    </w:p>
    <w:p>
      <w:pPr>
        <w:shd w:fill="F4F2ED" w:color="auto" w:val="clear"/>
        <w:spacing w:after="30"/>
        <w:ind w:left="200"/>
      </w:pPr>
      <w:r>
        <w:rPr>
          <w:rFonts w:ascii="Consolas" w:cs="Consolas" w:eastAsia="Consolas" w:hAnsi="Consolas"/>
          <w:sz w:val="17"/>
          <w:szCs w:val="17"/>
        </w:rPr>
        <w:t xml:space="preserve">%pip install semantic-link-labs</w:t>
      </w:r>
    </w:p>
    <w:p>
      <w:pPr>
        <w:pStyle w:val="ListParagraph"/>
        <w:numPr>
          <w:ilvl w:val="0"/>
          <w:numId w:val="6"/>
        </w:numPr>
        <w:spacing w:after="70"/>
      </w:pPr>
      <w:r>
        <w:rPr>
          <w:rFonts w:ascii="Times New Roman" w:cs="Times New Roman" w:eastAsia="Times New Roman" w:hAnsi="Times New Roman"/>
          <w:sz w:val="22"/>
          <w:szCs w:val="22"/>
        </w:rPr>
        <w:t xml:space="preserve">The Spark session starts on this first run — one to two minutes is normal, and it is a one-off per session, not per cell.</w:t>
      </w:r>
    </w:p>
    <w:p>
      <w:pPr>
        <w:pStyle w:val="ListParagraph"/>
        <w:numPr>
          <w:ilvl w:val="0"/>
          <w:numId w:val="6"/>
        </w:numPr>
        <w:spacing w:after="70"/>
      </w:pPr>
      <w:r>
        <w:rPr>
          <w:rFonts w:ascii="Times New Roman" w:cs="Times New Roman" w:eastAsia="Times New Roman" w:hAnsi="Times New Roman"/>
          <w:sz w:val="22"/>
          <w:szCs w:val="22"/>
        </w:rPr>
        <w:t xml:space="preserve">Keep %pip in its own cell, above the imports. If you put it after them you will get ModuleNotFoundError.</w:t>
      </w:r>
    </w:p>
    <w:p>
      <w:pPr>
        <w:pStyle w:val="ListParagraph"/>
        <w:numPr>
          <w:ilvl w:val="0"/>
          <w:numId w:val="6"/>
        </w:numPr>
        <w:spacing w:after="70"/>
      </w:pPr>
      <w:r>
        <w:rPr>
          <w:rFonts w:ascii="Times New Roman" w:cs="Times New Roman" w:eastAsia="Times New Roman" w:hAnsi="Times New Roman"/>
          <w:sz w:val="22"/>
          <w:szCs w:val="22"/>
        </w:rPr>
        <w:t xml:space="preserve">Then import, in a second cell:</w:t>
      </w:r>
    </w:p>
    <w:p>
      <w:pPr>
        <w:shd w:fill="F4F2ED" w:color="auto" w:val="clear"/>
        <w:spacing w:after="30"/>
        <w:ind w:left="200"/>
      </w:pPr>
      <w:r>
        <w:rPr>
          <w:rFonts w:ascii="Consolas" w:cs="Consolas" w:eastAsia="Consolas" w:hAnsi="Consolas"/>
          <w:sz w:val="17"/>
          <w:szCs w:val="17"/>
        </w:rPr>
        <w:t xml:space="preserve">import sempy_labs as labs</w:t>
      </w:r>
    </w:p>
    <w:p>
      <w:pPr>
        <w:shd w:fill="F4F2ED" w:color="auto" w:val="clear"/>
        <w:spacing w:after="30"/>
        <w:ind w:left="200"/>
      </w:pPr>
      <w:r>
        <w:rPr>
          <w:rFonts w:ascii="Consolas" w:cs="Consolas" w:eastAsia="Consolas" w:hAnsi="Consolas"/>
          <w:sz w:val="17"/>
          <w:szCs w:val="17"/>
        </w:rPr>
        <w:t xml:space="preserve">import sempy_labs.report as rep</w:t>
      </w:r>
    </w:p>
    <w:p>
      <w:pPr>
        <w:shd w:fill="F4F2ED" w:color="auto" w:val="clear"/>
        <w:spacing w:after="30"/>
        <w:ind w:left="200"/>
      </w:pPr>
      <w:r>
        <w:rPr>
          <w:rFonts w:ascii="Consolas" w:cs="Consolas" w:eastAsia="Consolas" w:hAnsi="Consolas"/>
          <w:sz w:val="17"/>
          <w:szCs w:val="17"/>
        </w:rPr>
        <w:t xml:space="preserve">import sempy.fabric as fabric</w:t>
      </w:r>
    </w:p>
    <w:p>
      <w:pPr>
        <w:pStyle w:val="Heading2"/>
        <w:spacing w:after="120" w:before="240"/>
      </w:pPr>
      <w:r>
        <w:rPr>
          <w:rFonts w:ascii="Times New Roman" w:cs="Times New Roman" w:eastAsia="Times New Roman" w:hAnsi="Times New Roman"/>
          <w:b/>
          <w:bCs/>
          <w:color w:val="1F3864"/>
          <w:sz w:val="25"/>
          <w:szCs w:val="25"/>
        </w:rPr>
        <w:t xml:space="preserve">3.6 Verify before going further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5300"/>
      </w:tblGrid>
      <w:tr>
        <w:trPr>
          <w:tblHeader/>
        </w:trPr>
        <w:tc>
          <w:tcPr>
            <w:tcW w:type="dxa" w:w="32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Check</w:t>
            </w:r>
          </w:p>
        </w:tc>
        <w:tc>
          <w:tcPr>
            <w:tcW w:type="dxa" w:w="53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What you should see</w:t>
            </w:r>
          </w:p>
        </w:tc>
      </w:tr>
      <w:tr>
        <w:trPr>
          <w:cantSplit/>
        </w:trPr>
        <w:tc>
          <w:tcPr>
            <w:tcW w:type="dxa" w:w="32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Workspace is on Fabric capacity</w:t>
            </w:r>
          </w:p>
        </w:tc>
        <w:tc>
          <w:tcPr>
            <w:tcW w:type="dxa" w:w="53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New item menu offers Lakehouse and Notebook</w:t>
            </w:r>
          </w:p>
        </w:tc>
      </w:tr>
      <w:tr>
        <w:trPr>
          <w:cantSplit/>
        </w:trPr>
        <w:tc>
          <w:tcPr>
            <w:tcW w:type="dxa" w:w="32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Lakehouse exists</w:t>
            </w:r>
          </w:p>
        </w:tc>
        <w:tc>
          <w:tcPr>
            <w:tcW w:type="dxa" w:w="53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EvaluationLake in the workspace, with Tables and Files</w:t>
            </w:r>
          </w:p>
        </w:tc>
      </w:tr>
      <w:tr>
        <w:trPr>
          <w:cantSplit/>
        </w:trPr>
        <w:tc>
          <w:tcPr>
            <w:tcW w:type="dxa" w:w="32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Notebook is attached</w:t>
            </w:r>
          </w:p>
        </w:tc>
        <w:tc>
          <w:tcPr>
            <w:tcW w:type="dxa" w:w="53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Lakehouse shown in the notebook Explorer, marked as default</w:t>
            </w:r>
          </w:p>
        </w:tc>
      </w:tr>
      <w:tr>
        <w:trPr>
          <w:cantSplit/>
        </w:trPr>
        <w:tc>
          <w:tcPr>
            <w:tcW w:type="dxa" w:w="32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Library installed</w:t>
            </w:r>
          </w:p>
        </w:tc>
        <w:tc>
          <w:tcPr>
            <w:tcW w:type="dxa" w:w="53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The %pip cell completed with no red error output</w:t>
            </w:r>
          </w:p>
        </w:tc>
      </w:tr>
    </w:tbl>
    <w:p>
      <w:pPr>
        <w:spacing w:after="160"/>
      </w:pPr>
    </w:p>
    <w:p>
      <w:pPr>
        <w:pStyle w:val="Heading1"/>
        <w:spacing w:after="140" w:before="300"/>
      </w:pPr>
      <w:r>
        <w:rPr>
          <w:rFonts w:ascii="Times New Roman" w:cs="Times New Roman" w:eastAsia="Times New Roman" w:hAnsi="Times New Roman"/>
          <w:b/>
          <w:bCs/>
          <w:color w:val="1F3864"/>
          <w:sz w:val="30"/>
          <w:szCs w:val="30"/>
        </w:rPr>
        <w:t xml:space="preserve">4. Before you start</w:t>
      </w:r>
    </w:p>
    <w:p>
      <w:pPr>
        <w:pStyle w:val="ListParagraph"/>
        <w:numPr>
          <w:ilvl w:val="0"/>
          <w:numId w:val="7"/>
        </w:numPr>
        <w:spacing w:after="70"/>
      </w:pPr>
      <w:r>
        <w:rPr>
          <w:rFonts w:ascii="Times New Roman" w:cs="Times New Roman" w:eastAsia="Times New Roman" w:hAnsi="Times New Roman"/>
          <w:sz w:val="22"/>
          <w:szCs w:val="22"/>
        </w:rPr>
        <w:t xml:space="preserve">Section 3 complete: workspace on Fabric capacity, lakehouse, notebook with the lakehouse attached.</w:t>
      </w:r>
    </w:p>
    <w:p>
      <w:pPr>
        <w:pStyle w:val="ListParagraph"/>
        <w:numPr>
          <w:ilvl w:val="0"/>
          <w:numId w:val="7"/>
        </w:numPr>
        <w:spacing w:after="70"/>
      </w:pPr>
      <w:r>
        <w:rPr>
          <w:rFonts w:ascii="Times New Roman" w:cs="Times New Roman" w:eastAsia="Times New Roman" w:hAnsi="Times New Roman"/>
          <w:sz w:val="22"/>
          <w:szCs w:val="22"/>
        </w:rPr>
        <w:t xml:space="preserve">Document 22 Phases 2–6 run at least once, so there are findings to report on.</w:t>
      </w:r>
    </w:p>
    <w:p>
      <w:pPr>
        <w:pStyle w:val="ListParagraph"/>
        <w:numPr>
          <w:ilvl w:val="0"/>
          <w:numId w:val="7"/>
        </w:numPr>
        <w:spacing w:after="70"/>
      </w:pPr>
      <w:r>
        <w:rPr>
          <w:rFonts w:ascii="Times New Roman" w:cs="Times New Roman" w:eastAsia="Times New Roman" w:hAnsi="Times New Roman"/>
          <w:sz w:val="22"/>
          <w:szCs w:val="22"/>
        </w:rPr>
        <w:t xml:space="preserve">At least two evaluation runs exist before you build Page 1. The headline visual is a trend, and a trend needs more than one point. If you have only one run, re-run the audit after applying a fix so the chart has something to show.</w:t>
      </w:r>
    </w:p>
    <w:p>
      <w:pPr>
        <w:pStyle w:val="ListParagraph"/>
        <w:numPr>
          <w:ilvl w:val="0"/>
          <w:numId w:val="7"/>
        </w:numPr>
        <w:spacing w:after="70"/>
      </w:pPr>
      <w:r>
        <w:rPr>
          <w:rFonts w:ascii="Times New Roman" w:cs="Times New Roman" w:eastAsia="Times New Roman" w:hAnsi="Times New Roman"/>
          <w:sz w:val="22"/>
          <w:szCs w:val="22"/>
        </w:rPr>
        <w:t xml:space="preserve">theme/superstore_theme.json from the main project repo. Reuse it — a consistent design system across two different reports is itself a signal.</w:t>
      </w:r>
    </w:p>
    <w:p>
      <w:pPr>
        <w:pStyle w:val="Heading1"/>
        <w:spacing w:after="140" w:before="300"/>
      </w:pPr>
      <w:r>
        <w:rPr>
          <w:rFonts w:ascii="Times New Roman" w:cs="Times New Roman" w:eastAsia="Times New Roman" w:hAnsi="Times New Roman"/>
          <w:b/>
          <w:bCs/>
          <w:color w:val="1F3864"/>
          <w:sz w:val="30"/>
          <w:szCs w:val="30"/>
        </w:rPr>
        <w:t xml:space="preserve">5. The tables you write yourself</w:t>
      </w:r>
    </w:p>
    <w:p>
      <w:pPr>
        <w:spacing w:after="100"/>
      </w:pPr>
      <w:r>
        <w:rPr>
          <w:rFonts w:ascii="Times New Roman" w:cs="Times New Roman" w:eastAsia="Times New Roman" w:hAnsi="Times New Roman"/>
          <w:sz w:val="22"/>
          <w:szCs w:val="22"/>
        </w:rPr>
        <w:t xml:space="preserve">The library produces findings. It does not know your specification, your expected figures, or your render timings. These three tables close that gap. Write them at the end of the evaluation notebook so every run appends a new row set.</w:t>
      </w:r>
    </w:p>
    <w:p>
      <w:pPr>
        <w:pStyle w:val="Heading2"/>
        <w:spacing w:after="120" w:before="240"/>
      </w:pPr>
      <w:r>
        <w:rPr>
          <w:rFonts w:ascii="Times New Roman" w:cs="Times New Roman" w:eastAsia="Times New Roman" w:hAnsi="Times New Roman"/>
          <w:b/>
          <w:bCs/>
          <w:color w:val="1F3864"/>
          <w:sz w:val="25"/>
          <w:szCs w:val="25"/>
        </w:rPr>
        <w:t xml:space="preserve">5.1 Run header — the dimension</w:t>
      </w:r>
    </w:p>
    <w:p>
      <w:pPr>
        <w:spacing w:after="120"/>
      </w:pPr>
      <w:r>
        <w:rPr>
          <w:rFonts w:ascii="Times New Roman" w:cs="Times New Roman" w:eastAsia="Times New Roman" w:hAnsi="Times New Roman"/>
          <w:sz w:val="22"/>
          <w:szCs w:val="22"/>
        </w:rPr>
        <w:t xml:space="preserve">One row per evaluation run. Everything else joins to this, which gives the dashboard a star schema for the same reason the main model has one.</w:t>
      </w:r>
    </w:p>
    <w:p>
      <w:pPr>
        <w:shd w:fill="F4F2ED" w:color="auto" w:val="clear"/>
        <w:spacing w:after="30"/>
        <w:ind w:left="200"/>
      </w:pPr>
      <w:r>
        <w:rPr>
          <w:rFonts w:ascii="Consolas" w:cs="Consolas" w:eastAsia="Consolas" w:hAnsi="Consolas"/>
          <w:sz w:val="17"/>
          <w:szCs w:val="17"/>
        </w:rPr>
        <w:t xml:space="preserve">import uuid, datetime as dt, pandas as pd</w:t>
      </w:r>
    </w:p>
    <w:p>
      <w:pPr>
        <w:shd w:fill="F4F2ED" w:color="auto" w:val="clear"/>
        <w:spacing w:after="30"/>
        <w:ind w:left="200"/>
      </w:pPr>
      <w:r>
        <w:rPr>
          <w:rFonts w:ascii="Consolas" w:cs="Consolas" w:eastAsia="Consolas" w:hAnsi="Consolas"/>
          <w:sz w:val="17"/>
          <w:szCs w:val="17"/>
        </w:rPr>
        <w:t xml:space="preserve">run_id = str(uuid.uuid4())</w:t>
      </w:r>
    </w:p>
    <w:p>
      <w:pPr>
        <w:shd w:fill="F4F2ED" w:color="auto" w:val="clear"/>
        <w:spacing w:after="30"/>
        <w:ind w:left="200"/>
      </w:pPr>
      <w:r>
        <w:rPr>
          <w:rFonts w:ascii="Consolas" w:cs="Consolas" w:eastAsia="Consolas" w:hAnsi="Consolas"/>
          <w:sz w:val="17"/>
          <w:szCs w:val="17"/>
        </w:rPr>
        <w:t xml:space="preserve">run_ts = dt.datetime.utcnow()</w:t>
      </w:r>
    </w:p>
    <w:p>
      <w:pPr>
        <w:shd w:fill="F4F2ED" w:color="auto" w:val="clear"/>
        <w:spacing w:after="30"/>
        <w:ind w:left="200"/>
      </w:pPr>
      <w:r>
        <w:rPr>
          <w:rFonts w:ascii="Consolas" w:cs="Consolas" w:eastAsia="Consolas" w:hAnsi="Consolas"/>
          <w:sz w:val="17"/>
          <w:szCs w:val="17"/>
        </w:rPr>
        <w:t xml:space="preserve"/>
      </w:r>
    </w:p>
    <w:p>
      <w:pPr>
        <w:shd w:fill="F4F2ED" w:color="auto" w:val="clear"/>
        <w:spacing w:after="30"/>
        <w:ind w:left="200"/>
      </w:pPr>
      <w:r>
        <w:rPr>
          <w:rFonts w:ascii="Consolas" w:cs="Consolas" w:eastAsia="Consolas" w:hAnsi="Consolas"/>
          <w:sz w:val="17"/>
          <w:szCs w:val="17"/>
        </w:rPr>
        <w:t xml:space="preserve">runs = pd.DataFrame([{</w:t>
      </w:r>
    </w:p>
    <w:p>
      <w:pPr>
        <w:shd w:fill="F4F2ED" w:color="auto" w:val="clear"/>
        <w:spacing w:after="30"/>
        <w:ind w:left="200"/>
      </w:pPr>
      <w:r>
        <w:rPr>
          <w:rFonts w:ascii="Consolas" w:cs="Consolas" w:eastAsia="Consolas" w:hAnsi="Consolas"/>
          <w:sz w:val="17"/>
          <w:szCs w:val="17"/>
        </w:rPr>
        <w:t xml:space="preserve">    'run_id': run_id,</w:t>
      </w:r>
    </w:p>
    <w:p>
      <w:pPr>
        <w:shd w:fill="F4F2ED" w:color="auto" w:val="clear"/>
        <w:spacing w:after="30"/>
        <w:ind w:left="200"/>
      </w:pPr>
      <w:r>
        <w:rPr>
          <w:rFonts w:ascii="Consolas" w:cs="Consolas" w:eastAsia="Consolas" w:hAnsi="Consolas"/>
          <w:sz w:val="17"/>
          <w:szCs w:val="17"/>
        </w:rPr>
        <w:t xml:space="preserve">    'run_timestamp': run_ts,</w:t>
      </w:r>
    </w:p>
    <w:p>
      <w:pPr>
        <w:shd w:fill="F4F2ED" w:color="auto" w:val="clear"/>
        <w:spacing w:after="30"/>
        <w:ind w:left="200"/>
      </w:pPr>
      <w:r>
        <w:rPr>
          <w:rFonts w:ascii="Consolas" w:cs="Consolas" w:eastAsia="Consolas" w:hAnsi="Consolas"/>
          <w:sz w:val="17"/>
          <w:szCs w:val="17"/>
        </w:rPr>
        <w:t xml:space="preserve">    'model_name': 'Retail_Sales_Forecasting',</w:t>
      </w:r>
    </w:p>
    <w:p>
      <w:pPr>
        <w:shd w:fill="F4F2ED" w:color="auto" w:val="clear"/>
        <w:spacing w:after="30"/>
        <w:ind w:left="200"/>
      </w:pPr>
      <w:r>
        <w:rPr>
          <w:rFonts w:ascii="Consolas" w:cs="Consolas" w:eastAsia="Consolas" w:hAnsi="Consolas"/>
          <w:sz w:val="17"/>
          <w:szCs w:val="17"/>
        </w:rPr>
        <w:t xml:space="preserve">    'labs_version': labs.__version__,</w:t>
      </w:r>
    </w:p>
    <w:p>
      <w:pPr>
        <w:shd w:fill="F4F2ED" w:color="auto" w:val="clear"/>
        <w:spacing w:after="30"/>
        <w:ind w:left="200"/>
      </w:pPr>
      <w:r>
        <w:rPr>
          <w:rFonts w:ascii="Consolas" w:cs="Consolas" w:eastAsia="Consolas" w:hAnsi="Consolas"/>
          <w:sz w:val="17"/>
          <w:szCs w:val="17"/>
        </w:rPr>
        <w:t xml:space="preserve">    'notes': 'post-remediation baseline'</w:t>
      </w:r>
    </w:p>
    <w:p>
      <w:pPr>
        <w:shd w:fill="F4F2ED" w:color="auto" w:val="clear"/>
        <w:spacing w:after="30"/>
        <w:ind w:left="200"/>
      </w:pPr>
      <w:r>
        <w:rPr>
          <w:rFonts w:ascii="Consolas" w:cs="Consolas" w:eastAsia="Consolas" w:hAnsi="Consolas"/>
          <w:sz w:val="17"/>
          <w:szCs w:val="17"/>
        </w:rPr>
        <w:t xml:space="preserve">}])</w:t>
      </w:r>
    </w:p>
    <w:p>
      <w:pPr>
        <w:shd w:fill="F4F2ED" w:color="auto" w:val="clear"/>
        <w:spacing w:after="30"/>
        <w:ind w:left="200"/>
      </w:pPr>
      <w:r>
        <w:rPr>
          <w:rFonts w:ascii="Consolas" w:cs="Consolas" w:eastAsia="Consolas" w:hAnsi="Consolas"/>
          <w:sz w:val="17"/>
          <w:szCs w:val="17"/>
        </w:rPr>
        <w:t xml:space="preserve">spark.createDataFrame(runs).write.mode('append').saveAsTable('evaluation_runs')</w:t>
      </w:r>
    </w:p>
    <w:p>
      <w:pPr>
        <w:pStyle w:val="Heading2"/>
        <w:spacing w:after="120" w:before="240"/>
      </w:pPr>
      <w:r>
        <w:rPr>
          <w:rFonts w:ascii="Times New Roman" w:cs="Times New Roman" w:eastAsia="Times New Roman" w:hAnsi="Times New Roman"/>
          <w:b/>
          <w:bCs/>
          <w:color w:val="1F3864"/>
          <w:sz w:val="25"/>
          <w:szCs w:val="25"/>
        </w:rPr>
        <w:t xml:space="preserve">5.2 Conformance results — the document 13 assertions</w:t>
      </w:r>
    </w:p>
    <w:p>
      <w:pPr>
        <w:spacing w:after="120"/>
      </w:pPr>
      <w:r>
        <w:rPr>
          <w:rFonts w:ascii="Times New Roman" w:cs="Times New Roman" w:eastAsia="Times New Roman" w:hAnsi="Times New Roman"/>
          <w:sz w:val="22"/>
          <w:szCs w:val="22"/>
        </w:rPr>
        <w:t xml:space="preserve">The twenty assertions from document 22 §7. Each one writes a row rather than just passing or failing silently, so the dashboard can show which parts of the specification the report actually meets.</w:t>
      </w:r>
    </w:p>
    <w:p>
      <w:pPr>
        <w:shd w:fill="F4F2ED" w:color="auto" w:val="clear"/>
        <w:spacing w:after="30"/>
        <w:ind w:left="200"/>
      </w:pPr>
      <w:r>
        <w:rPr>
          <w:rFonts w:ascii="Consolas" w:cs="Consolas" w:eastAsia="Consolas" w:hAnsi="Consolas"/>
          <w:sz w:val="17"/>
          <w:szCs w:val="17"/>
        </w:rPr>
        <w:t xml:space="preserve">rows = []</w:t>
      </w:r>
    </w:p>
    <w:p>
      <w:pPr>
        <w:shd w:fill="F4F2ED" w:color="auto" w:val="clear"/>
        <w:spacing w:after="30"/>
        <w:ind w:left="200"/>
      </w:pPr>
      <w:r>
        <w:rPr>
          <w:rFonts w:ascii="Consolas" w:cs="Consolas" w:eastAsia="Consolas" w:hAnsi="Consolas"/>
          <w:sz w:val="17"/>
          <w:szCs w:val="17"/>
        </w:rPr>
        <w:t xml:space="preserve">def check(aid, assertion, category, page, expected, actual):</w:t>
      </w:r>
    </w:p>
    <w:p>
      <w:pPr>
        <w:shd w:fill="F4F2ED" w:color="auto" w:val="clear"/>
        <w:spacing w:after="30"/>
        <w:ind w:left="200"/>
      </w:pPr>
      <w:r>
        <w:rPr>
          <w:rFonts w:ascii="Consolas" w:cs="Consolas" w:eastAsia="Consolas" w:hAnsi="Consolas"/>
          <w:sz w:val="17"/>
          <w:szCs w:val="17"/>
        </w:rPr>
        <w:t xml:space="preserve">    rows.append({'run_id': run_id, 'assertion_id': aid,</w:t>
      </w:r>
    </w:p>
    <w:p>
      <w:pPr>
        <w:shd w:fill="F4F2ED" w:color="auto" w:val="clear"/>
        <w:spacing w:after="30"/>
        <w:ind w:left="200"/>
      </w:pPr>
      <w:r>
        <w:rPr>
          <w:rFonts w:ascii="Consolas" w:cs="Consolas" w:eastAsia="Consolas" w:hAnsi="Consolas"/>
          <w:sz w:val="17"/>
          <w:szCs w:val="17"/>
        </w:rPr>
        <w:t xml:space="preserve">        'assertion': assertion, 'category': category, 'page': page,</w:t>
      </w:r>
    </w:p>
    <w:p>
      <w:pPr>
        <w:shd w:fill="F4F2ED" w:color="auto" w:val="clear"/>
        <w:spacing w:after="30"/>
        <w:ind w:left="200"/>
      </w:pPr>
      <w:r>
        <w:rPr>
          <w:rFonts w:ascii="Consolas" w:cs="Consolas" w:eastAsia="Consolas" w:hAnsi="Consolas"/>
          <w:sz w:val="17"/>
          <w:szCs w:val="17"/>
        </w:rPr>
        <w:t xml:space="preserve">        'expected': str(expected), 'actual': str(actual),</w:t>
      </w:r>
    </w:p>
    <w:p>
      <w:pPr>
        <w:shd w:fill="F4F2ED" w:color="auto" w:val="clear"/>
        <w:spacing w:after="30"/>
        <w:ind w:left="200"/>
      </w:pPr>
      <w:r>
        <w:rPr>
          <w:rFonts w:ascii="Consolas" w:cs="Consolas" w:eastAsia="Consolas" w:hAnsi="Consolas"/>
          <w:sz w:val="17"/>
          <w:szCs w:val="17"/>
        </w:rPr>
        <w:t xml:space="preserve">        'result': 'Pass' if str(expected) == str(actual) else 'Fail'})</w:t>
      </w:r>
    </w:p>
    <w:p>
      <w:pPr>
        <w:shd w:fill="F4F2ED" w:color="auto" w:val="clear"/>
        <w:spacing w:after="30"/>
        <w:ind w:left="200"/>
      </w:pPr>
      <w:r>
        <w:rPr>
          <w:rFonts w:ascii="Consolas" w:cs="Consolas" w:eastAsia="Consolas" w:hAnsi="Consolas"/>
          <w:sz w:val="17"/>
          <w:szCs w:val="17"/>
        </w:rPr>
        <w:t xml:space="preserve"/>
      </w:r>
    </w:p>
    <w:p>
      <w:pPr>
        <w:shd w:fill="F4F2ED" w:color="auto" w:val="clear"/>
        <w:spacing w:after="30"/>
        <w:ind w:left="200"/>
      </w:pPr>
      <w:r>
        <w:rPr>
          <w:rFonts w:ascii="Consolas" w:cs="Consolas" w:eastAsia="Consolas" w:hAnsi="Consolas"/>
          <w:sz w:val="17"/>
          <w:szCs w:val="17"/>
        </w:rPr>
        <w:t xml:space="preserve">pages = rw.list_pages()</w:t>
      </w:r>
    </w:p>
    <w:p>
      <w:pPr>
        <w:shd w:fill="F4F2ED" w:color="auto" w:val="clear"/>
        <w:spacing w:after="30"/>
        <w:ind w:left="200"/>
      </w:pPr>
      <w:r>
        <w:rPr>
          <w:rFonts w:ascii="Consolas" w:cs="Consolas" w:eastAsia="Consolas" w:hAnsi="Consolas"/>
          <w:sz w:val="17"/>
          <w:szCs w:val="17"/>
        </w:rPr>
        <w:t xml:space="preserve">check(1, 'Canvas is 1280 x 720 on all pages', 'Layout', 'All',</w:t>
      </w:r>
    </w:p>
    <w:p>
      <w:pPr>
        <w:shd w:fill="F4F2ED" w:color="auto" w:val="clear"/>
        <w:spacing w:after="30"/>
        <w:ind w:left="200"/>
      </w:pPr>
      <w:r>
        <w:rPr>
          <w:rFonts w:ascii="Consolas" w:cs="Consolas" w:eastAsia="Consolas" w:hAnsi="Consolas"/>
          <w:sz w:val="17"/>
          <w:szCs w:val="17"/>
        </w:rPr>
        <w:t xml:space="preserve">      True, bool((pages['Width'].eq(1280) &amp; pages['Height'].eq(720)).all()))</w:t>
      </w:r>
    </w:p>
    <w:p>
      <w:pPr>
        <w:shd w:fill="F4F2ED" w:color="auto" w:val="clear"/>
        <w:spacing w:after="30"/>
        <w:ind w:left="200"/>
      </w:pPr>
      <w:r>
        <w:rPr>
          <w:rFonts w:ascii="Consolas" w:cs="Consolas" w:eastAsia="Consolas" w:hAnsi="Consolas"/>
          <w:sz w:val="17"/>
          <w:szCs w:val="17"/>
        </w:rPr>
        <w:t xml:space="preserve">check(3, 'Page 1 has 8 visuals', 'Layout', 'Page 1',</w:t>
      </w:r>
    </w:p>
    <w:p>
      <w:pPr>
        <w:shd w:fill="F4F2ED" w:color="auto" w:val="clear"/>
        <w:spacing w:after="30"/>
        <w:ind w:left="200"/>
      </w:pPr>
      <w:r>
        <w:rPr>
          <w:rFonts w:ascii="Consolas" w:cs="Consolas" w:eastAsia="Consolas" w:hAnsi="Consolas"/>
          <w:sz w:val="17"/>
          <w:szCs w:val="17"/>
        </w:rPr>
        <w:t xml:space="preserve">      8, len(rw.list_visuals().query("Page == 'Page 1'")))</w:t>
      </w:r>
    </w:p>
    <w:p>
      <w:pPr>
        <w:shd w:fill="F4F2ED" w:color="auto" w:val="clear"/>
        <w:spacing w:after="30"/>
        <w:ind w:left="200"/>
      </w:pPr>
      <w:r>
        <w:rPr>
          <w:rFonts w:ascii="Consolas" w:cs="Consolas" w:eastAsia="Consolas" w:hAnsi="Consolas"/>
          <w:sz w:val="17"/>
          <w:szCs w:val="17"/>
        </w:rPr>
        <w:t xml:space="preserve"># ... one call per assertion, 20 in total</w:t>
      </w:r>
    </w:p>
    <w:p>
      <w:pPr>
        <w:shd w:fill="F4F2ED" w:color="auto" w:val="clear"/>
        <w:spacing w:after="30"/>
        <w:ind w:left="200"/>
      </w:pPr>
      <w:r>
        <w:rPr>
          <w:rFonts w:ascii="Consolas" w:cs="Consolas" w:eastAsia="Consolas" w:hAnsi="Consolas"/>
          <w:sz w:val="17"/>
          <w:szCs w:val="17"/>
        </w:rPr>
        <w:t xml:space="preserve"/>
      </w:r>
    </w:p>
    <w:p>
      <w:pPr>
        <w:shd w:fill="F4F2ED" w:color="auto" w:val="clear"/>
        <w:spacing w:after="30"/>
        <w:ind w:left="200"/>
      </w:pPr>
      <w:r>
        <w:rPr>
          <w:rFonts w:ascii="Consolas" w:cs="Consolas" w:eastAsia="Consolas" w:hAnsi="Consolas"/>
          <w:sz w:val="17"/>
          <w:szCs w:val="17"/>
        </w:rPr>
        <w:t xml:space="preserve">spark.createDataFrame(pd.DataFrame(rows)) \</w:t>
      </w:r>
    </w:p>
    <w:p>
      <w:pPr>
        <w:shd w:fill="F4F2ED" w:color="auto" w:val="clear"/>
        <w:spacing w:after="30"/>
        <w:ind w:left="200"/>
      </w:pPr>
      <w:r>
        <w:rPr>
          <w:rFonts w:ascii="Consolas" w:cs="Consolas" w:eastAsia="Consolas" w:hAnsi="Consolas"/>
          <w:sz w:val="17"/>
          <w:szCs w:val="17"/>
        </w:rPr>
        <w:t xml:space="preserve">     .write.mode('append').saveAsTable('evaluation_conformance')</w:t>
      </w:r>
    </w:p>
    <w:p>
      <w:pPr>
        <w:spacing w:after="120"/>
      </w:pPr>
      <w:r>
        <w:rPr>
          <w:rFonts w:ascii="Times New Roman" w:cs="Times New Roman" w:eastAsia="Times New Roman" w:hAnsi="Times New Roman"/>
          <w:b/>
          <w:bCs/>
          <w:sz w:val="22"/>
          <w:szCs w:val="22"/>
        </w:rPr>
        <w:t xml:space="preserve">Column names in the wrapper output vary by version. </w:t>
      </w:r>
      <w:r>
        <w:rPr>
          <w:rFonts w:ascii="Times New Roman" w:cs="Times New Roman" w:eastAsia="Times New Roman" w:hAnsi="Times New Roman"/>
          <w:sz w:val="22"/>
          <w:szCs w:val="22"/>
        </w:rPr>
        <w:t xml:space="preserve">Profile each DataFrame once before writing assertions against it — display(rw.list_pages()) — and build the checks around what you actually see rather than what you expect.</w:t>
      </w:r>
    </w:p>
    <w:p>
      <w:pPr>
        <w:pStyle w:val="Heading2"/>
        <w:spacing w:after="120" w:before="240"/>
      </w:pPr>
      <w:r>
        <w:rPr>
          <w:rFonts w:ascii="Times New Roman" w:cs="Times New Roman" w:eastAsia="Times New Roman" w:hAnsi="Times New Roman"/>
          <w:b/>
          <w:bCs/>
          <w:color w:val="1F3864"/>
          <w:sz w:val="25"/>
          <w:szCs w:val="25"/>
        </w:rPr>
        <w:t xml:space="preserve">5.3 Measure validation</w:t>
      </w:r>
    </w:p>
    <w:p>
      <w:pPr>
        <w:spacing w:after="120"/>
      </w:pPr>
      <w:r>
        <w:rPr>
          <w:rFonts w:ascii="Times New Roman" w:cs="Times New Roman" w:eastAsia="Times New Roman" w:hAnsi="Times New Roman"/>
          <w:sz w:val="22"/>
          <w:szCs w:val="22"/>
        </w:rPr>
        <w:t xml:space="preserve">The known-good figures from document 21, asserted rather than eyeballed.</w:t>
      </w:r>
    </w:p>
    <w:p>
      <w:pPr>
        <w:shd w:fill="F4F2ED" w:color="auto" w:val="clear"/>
        <w:spacing w:after="30"/>
        <w:ind w:left="200"/>
      </w:pPr>
      <w:r>
        <w:rPr>
          <w:rFonts w:ascii="Consolas" w:cs="Consolas" w:eastAsia="Consolas" w:hAnsi="Consolas"/>
          <w:sz w:val="17"/>
          <w:szCs w:val="17"/>
        </w:rPr>
        <w:t xml:space="preserve">expected = {'Total Sales': 2297200.86, 'Total Profit': 286397.02,</w:t>
      </w:r>
    </w:p>
    <w:p>
      <w:pPr>
        <w:shd w:fill="F4F2ED" w:color="auto" w:val="clear"/>
        <w:spacing w:after="30"/>
        <w:ind w:left="200"/>
      </w:pPr>
      <w:r>
        <w:rPr>
          <w:rFonts w:ascii="Consolas" w:cs="Consolas" w:eastAsia="Consolas" w:hAnsi="Consolas"/>
          <w:sz w:val="17"/>
          <w:szCs w:val="17"/>
        </w:rPr>
        <w:t xml:space="preserve">            'Order Count': 5009, 'Active Customers': 793}</w:t>
      </w:r>
    </w:p>
    <w:p>
      <w:pPr>
        <w:shd w:fill="F4F2ED" w:color="auto" w:val="clear"/>
        <w:spacing w:after="30"/>
        <w:ind w:left="200"/>
      </w:pPr>
      <w:r>
        <w:rPr>
          <w:rFonts w:ascii="Consolas" w:cs="Consolas" w:eastAsia="Consolas" w:hAnsi="Consolas"/>
          <w:sz w:val="17"/>
          <w:szCs w:val="17"/>
        </w:rPr>
        <w:t xml:space="preserve"/>
      </w:r>
    </w:p>
    <w:p>
      <w:pPr>
        <w:shd w:fill="F4F2ED" w:color="auto" w:val="clear"/>
        <w:spacing w:after="30"/>
        <w:ind w:left="200"/>
      </w:pPr>
      <w:r>
        <w:rPr>
          <w:rFonts w:ascii="Consolas" w:cs="Consolas" w:eastAsia="Consolas" w:hAnsi="Consolas"/>
          <w:sz w:val="17"/>
          <w:szCs w:val="17"/>
        </w:rPr>
        <w:t xml:space="preserve">vrows = []</w:t>
      </w:r>
    </w:p>
    <w:p>
      <w:pPr>
        <w:shd w:fill="F4F2ED" w:color="auto" w:val="clear"/>
        <w:spacing w:after="30"/>
        <w:ind w:left="200"/>
      </w:pPr>
      <w:r>
        <w:rPr>
          <w:rFonts w:ascii="Consolas" w:cs="Consolas" w:eastAsia="Consolas" w:hAnsi="Consolas"/>
          <w:sz w:val="17"/>
          <w:szCs w:val="17"/>
        </w:rPr>
        <w:t xml:space="preserve">for m, exp in expected.items():</w:t>
      </w:r>
    </w:p>
    <w:p>
      <w:pPr>
        <w:shd w:fill="F4F2ED" w:color="auto" w:val="clear"/>
        <w:spacing w:after="30"/>
        <w:ind w:left="200"/>
      </w:pPr>
      <w:r>
        <w:rPr>
          <w:rFonts w:ascii="Consolas" w:cs="Consolas" w:eastAsia="Consolas" w:hAnsi="Consolas"/>
          <w:sz w:val="17"/>
          <w:szCs w:val="17"/>
        </w:rPr>
        <w:t xml:space="preserve">    act = fabric.evaluate_measure('Retail_Sales_Forecasting', m).iloc[0,0]</w:t>
      </w:r>
    </w:p>
    <w:p>
      <w:pPr>
        <w:shd w:fill="F4F2ED" w:color="auto" w:val="clear"/>
        <w:spacing w:after="30"/>
        <w:ind w:left="200"/>
      </w:pPr>
      <w:r>
        <w:rPr>
          <w:rFonts w:ascii="Consolas" w:cs="Consolas" w:eastAsia="Consolas" w:hAnsi="Consolas"/>
          <w:sz w:val="17"/>
          <w:szCs w:val="17"/>
        </w:rPr>
        <w:t xml:space="preserve">    vrows.append({'run_id': run_id, 'measure_name': m,</w:t>
      </w:r>
    </w:p>
    <w:p>
      <w:pPr>
        <w:shd w:fill="F4F2ED" w:color="auto" w:val="clear"/>
        <w:spacing w:after="30"/>
        <w:ind w:left="200"/>
      </w:pPr>
      <w:r>
        <w:rPr>
          <w:rFonts w:ascii="Consolas" w:cs="Consolas" w:eastAsia="Consolas" w:hAnsi="Consolas"/>
          <w:sz w:val="17"/>
          <w:szCs w:val="17"/>
        </w:rPr>
        <w:t xml:space="preserve">        'expected_value': exp, 'actual_value': float(act),</w:t>
      </w:r>
    </w:p>
    <w:p>
      <w:pPr>
        <w:shd w:fill="F4F2ED" w:color="auto" w:val="clear"/>
        <w:spacing w:after="30"/>
        <w:ind w:left="200"/>
      </w:pPr>
      <w:r>
        <w:rPr>
          <w:rFonts w:ascii="Consolas" w:cs="Consolas" w:eastAsia="Consolas" w:hAnsi="Consolas"/>
          <w:sz w:val="17"/>
          <w:szCs w:val="17"/>
        </w:rPr>
        <w:t xml:space="preserve">        'variance': float(act) - exp,</w:t>
      </w:r>
    </w:p>
    <w:p>
      <w:pPr>
        <w:shd w:fill="F4F2ED" w:color="auto" w:val="clear"/>
        <w:spacing w:after="30"/>
        <w:ind w:left="200"/>
      </w:pPr>
      <w:r>
        <w:rPr>
          <w:rFonts w:ascii="Consolas" w:cs="Consolas" w:eastAsia="Consolas" w:hAnsi="Consolas"/>
          <w:sz w:val="17"/>
          <w:szCs w:val="17"/>
        </w:rPr>
        <w:t xml:space="preserve">        'result': 'Pass' if abs(float(act) - exp) &lt; 0.01 else 'Fail'})</w:t>
      </w:r>
    </w:p>
    <w:p>
      <w:pPr>
        <w:shd w:fill="F4F2ED" w:color="auto" w:val="clear"/>
        <w:spacing w:after="30"/>
        <w:ind w:left="200"/>
      </w:pPr>
      <w:r>
        <w:rPr>
          <w:rFonts w:ascii="Consolas" w:cs="Consolas" w:eastAsia="Consolas" w:hAnsi="Consolas"/>
          <w:sz w:val="17"/>
          <w:szCs w:val="17"/>
        </w:rPr>
        <w:t xml:space="preserve"/>
      </w:r>
    </w:p>
    <w:p>
      <w:pPr>
        <w:shd w:fill="F4F2ED" w:color="auto" w:val="clear"/>
        <w:spacing w:after="30"/>
        <w:ind w:left="200"/>
      </w:pPr>
      <w:r>
        <w:rPr>
          <w:rFonts w:ascii="Consolas" w:cs="Consolas" w:eastAsia="Consolas" w:hAnsi="Consolas"/>
          <w:sz w:val="17"/>
          <w:szCs w:val="17"/>
        </w:rPr>
        <w:t xml:space="preserve">spark.createDataFrame(pd.DataFrame(vrows)) \</w:t>
      </w:r>
    </w:p>
    <w:p>
      <w:pPr>
        <w:shd w:fill="F4F2ED" w:color="auto" w:val="clear"/>
        <w:spacing w:after="30"/>
        <w:ind w:left="200"/>
      </w:pPr>
      <w:r>
        <w:rPr>
          <w:rFonts w:ascii="Consolas" w:cs="Consolas" w:eastAsia="Consolas" w:hAnsi="Consolas"/>
          <w:sz w:val="17"/>
          <w:szCs w:val="17"/>
        </w:rPr>
        <w:t xml:space="preserve">     .write.mode('append').saveAsTable('evaluation_validation')</w:t>
      </w:r>
    </w:p>
    <w:p>
      <w:pPr>
        <w:pStyle w:val="Heading2"/>
        <w:spacing w:after="120" w:before="240"/>
      </w:pPr>
      <w:r>
        <w:rPr>
          <w:rFonts w:ascii="Times New Roman" w:cs="Times New Roman" w:eastAsia="Times New Roman" w:hAnsi="Times New Roman"/>
          <w:b/>
          <w:bCs/>
          <w:color w:val="1F3864"/>
          <w:sz w:val="25"/>
          <w:szCs w:val="25"/>
        </w:rPr>
        <w:t xml:space="preserve">5.4 Performance timings</w:t>
      </w:r>
    </w:p>
    <w:p>
      <w:pPr>
        <w:spacing w:after="120"/>
      </w:pPr>
      <w:r>
        <w:rPr>
          <w:rFonts w:ascii="Times New Roman" w:cs="Times New Roman" w:eastAsia="Times New Roman" w:hAnsi="Times New Roman"/>
          <w:sz w:val="22"/>
          <w:szCs w:val="22"/>
        </w:rPr>
        <w:t xml:space="preserve">Performance Analyzer runs on the desktop, but its export is JSON — so read it in the notebook and land it beside everything else rather than leaving it in a separate tool.</w:t>
      </w:r>
    </w:p>
    <w:p>
      <w:pPr>
        <w:shd w:fill="F4F2ED" w:color="auto" w:val="clear"/>
        <w:spacing w:after="30"/>
        <w:ind w:left="200"/>
      </w:pPr>
      <w:r>
        <w:rPr>
          <w:rFonts w:ascii="Consolas" w:cs="Consolas" w:eastAsia="Consolas" w:hAnsi="Consolas"/>
          <w:sz w:val="17"/>
          <w:szCs w:val="17"/>
        </w:rPr>
        <w:t xml:space="preserve"># upload the Performance Analyzer export to the lakehouse Files area first</w:t>
      </w:r>
    </w:p>
    <w:p>
      <w:pPr>
        <w:shd w:fill="F4F2ED" w:color="auto" w:val="clear"/>
        <w:spacing w:after="30"/>
        <w:ind w:left="200"/>
      </w:pPr>
      <w:r>
        <w:rPr>
          <w:rFonts w:ascii="Consolas" w:cs="Consolas" w:eastAsia="Consolas" w:hAnsi="Consolas"/>
          <w:sz w:val="17"/>
          <w:szCs w:val="17"/>
        </w:rPr>
        <w:t xml:space="preserve">import json</w:t>
      </w:r>
    </w:p>
    <w:p>
      <w:pPr>
        <w:shd w:fill="F4F2ED" w:color="auto" w:val="clear"/>
        <w:spacing w:after="30"/>
        <w:ind w:left="200"/>
      </w:pPr>
      <w:r>
        <w:rPr>
          <w:rFonts w:ascii="Consolas" w:cs="Consolas" w:eastAsia="Consolas" w:hAnsi="Consolas"/>
          <w:sz w:val="17"/>
          <w:szCs w:val="17"/>
        </w:rPr>
        <w:t xml:space="preserve">pa = json.load(open('/lakehouse/default/Files/perf_export.json'))</w:t>
      </w:r>
    </w:p>
    <w:p>
      <w:pPr>
        <w:shd w:fill="F4F2ED" w:color="auto" w:val="clear"/>
        <w:spacing w:after="30"/>
        <w:ind w:left="200"/>
      </w:pPr>
      <w:r>
        <w:rPr>
          <w:rFonts w:ascii="Consolas" w:cs="Consolas" w:eastAsia="Consolas" w:hAnsi="Consolas"/>
          <w:sz w:val="17"/>
          <w:szCs w:val="17"/>
        </w:rPr>
        <w:t xml:space="preserve"># extract per-visual events; keep visual name, page, and the DAX/render split</w:t>
      </w:r>
    </w:p>
    <w:p>
      <w:pPr>
        <w:shd w:fill="F4F2ED" w:color="auto" w:val="clear"/>
        <w:spacing w:after="30"/>
        <w:ind w:left="200"/>
      </w:pPr>
      <w:r>
        <w:rPr>
          <w:rFonts w:ascii="Consolas" w:cs="Consolas" w:eastAsia="Consolas" w:hAnsi="Consolas"/>
          <w:sz w:val="17"/>
          <w:szCs w:val="17"/>
        </w:rPr>
        <w:t xml:space="preserve"># write to 'evaluation_performance' with run_id, page, visual_name,</w:t>
      </w:r>
    </w:p>
    <w:p>
      <w:pPr>
        <w:shd w:fill="F4F2ED" w:color="auto" w:val="clear"/>
        <w:spacing w:after="30"/>
        <w:ind w:left="200"/>
      </w:pPr>
      <w:r>
        <w:rPr>
          <w:rFonts w:ascii="Consolas" w:cs="Consolas" w:eastAsia="Consolas" w:hAnsi="Consolas"/>
          <w:sz w:val="17"/>
          <w:szCs w:val="17"/>
        </w:rPr>
        <w:t xml:space="preserve">#   visual_type, dax_ms, render_ms, total_ms</w:t>
      </w:r>
    </w:p>
    <w:p>
      <w:pPr>
        <w:spacing w:after="120"/>
      </w:pPr>
      <w:r>
        <w:rPr>
          <w:rFonts w:ascii="Times New Roman" w:cs="Times New Roman" w:eastAsia="Times New Roman" w:hAnsi="Times New Roman"/>
          <w:b/>
          <w:bCs/>
          <w:sz w:val="22"/>
          <w:szCs w:val="22"/>
        </w:rPr>
        <w:t xml:space="preserve">Threshold convention: </w:t>
      </w:r>
      <w:r>
        <w:rPr>
          <w:rFonts w:ascii="Times New Roman" w:cs="Times New Roman" w:eastAsia="Times New Roman" w:hAnsi="Times New Roman"/>
          <w:sz w:val="22"/>
          <w:szCs w:val="22"/>
        </w:rPr>
        <w:t xml:space="preserve">under 500 ms is green, 500–2000 ms amber, over 2000 ms red. Store the raw milliseconds and let the banding live in DAX so the thresholds are visible and adjustable.</w:t>
      </w:r>
    </w:p>
    <w:p>
      <w:pPr>
        <w:pStyle w:val="Heading1"/>
        <w:spacing w:after="140" w:before="300"/>
      </w:pPr>
      <w:r>
        <w:rPr>
          <w:rFonts w:ascii="Times New Roman" w:cs="Times New Roman" w:eastAsia="Times New Roman" w:hAnsi="Times New Roman"/>
          <w:b/>
          <w:bCs/>
          <w:color w:val="1F3864"/>
          <w:sz w:val="30"/>
          <w:szCs w:val="30"/>
        </w:rPr>
        <w:t xml:space="preserve">6. Data model</w:t>
      </w:r>
    </w:p>
    <w:p>
      <w:pPr>
        <w:spacing w:after="100"/>
      </w:pPr>
      <w:r>
        <w:rPr>
          <w:rFonts w:ascii="Times New Roman" w:cs="Times New Roman" w:eastAsia="Times New Roman" w:hAnsi="Times New Roman"/>
          <w:sz w:val="22"/>
          <w:szCs w:val="22"/>
        </w:rPr>
        <w:t xml:space="preserve">Four fact tables around one run dimension. Single-direction, many-to-one, exactly as in the main project.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2900"/>
      </w:tblGrid>
      <w:tr>
        <w:trPr>
          <w:tblHeader/>
        </w:trPr>
        <w:tc>
          <w:tcPr>
            <w:tcW w:type="dxa" w:w="32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From (many)</w:t>
            </w:r>
          </w:p>
        </w:tc>
        <w:tc>
          <w:tcPr>
            <w:tcW w:type="dxa" w:w="27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To (one)</w:t>
            </w:r>
          </w:p>
        </w:tc>
        <w:tc>
          <w:tcPr>
            <w:tcW w:type="dxa" w:w="29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Note</w:t>
            </w:r>
          </w:p>
        </w:tc>
      </w:tr>
      <w:tr>
        <w:trPr>
          <w:cantSplit/>
        </w:trPr>
        <w:tc>
          <w:tcPr>
            <w:tcW w:type="dxa" w:w="32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evaluation_conformance[run_id]</w:t>
            </w:r>
          </w:p>
        </w:tc>
        <w:tc>
          <w:tcPr>
            <w:tcW w:type="dxa" w:w="27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evaluation_runs[run_id]</w:t>
            </w:r>
          </w:p>
        </w:tc>
        <w:tc>
          <w:tcPr>
            <w:tcW w:type="dxa" w:w="29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20 rows per run</w:t>
            </w:r>
          </w:p>
        </w:tc>
      </w:tr>
      <w:tr>
        <w:trPr>
          <w:cantSplit/>
        </w:trPr>
        <w:tc>
          <w:tcPr>
            <w:tcW w:type="dxa" w:w="32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evaluation_validation[run_id]</w:t>
            </w:r>
          </w:p>
        </w:tc>
        <w:tc>
          <w:tcPr>
            <w:tcW w:type="dxa" w:w="27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evaluation_runs[run_id]</w:t>
            </w:r>
          </w:p>
        </w:tc>
        <w:tc>
          <w:tcPr>
            <w:tcW w:type="dxa" w:w="29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One row per validated measure</w:t>
            </w:r>
          </w:p>
        </w:tc>
      </w:tr>
      <w:tr>
        <w:trPr>
          <w:cantSplit/>
        </w:trPr>
        <w:tc>
          <w:tcPr>
            <w:tcW w:type="dxa" w:w="32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evaluation_performance[run_id]</w:t>
            </w:r>
          </w:p>
        </w:tc>
        <w:tc>
          <w:tcPr>
            <w:tcW w:type="dxa" w:w="27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evaluation_runs[run_id]</w:t>
            </w:r>
          </w:p>
        </w:tc>
        <w:tc>
          <w:tcPr>
            <w:tcW w:type="dxa" w:w="29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One row per visual</w:t>
            </w:r>
          </w:p>
        </w:tc>
      </w:tr>
      <w:tr>
        <w:trPr>
          <w:cantSplit/>
        </w:trPr>
        <w:tc>
          <w:tcPr>
            <w:tcW w:type="dxa" w:w="32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modelbparesults[Timestamp]</w:t>
            </w:r>
          </w:p>
        </w:tc>
        <w:tc>
          <w:tcPr>
            <w:tcW w:type="dxa" w:w="27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evaluation_runs[run_timestamp]</w:t>
            </w:r>
          </w:p>
        </w:tc>
        <w:tc>
          <w:tcPr>
            <w:tcW w:type="dxa" w:w="29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See the caveat below</w:t>
            </w:r>
          </w:p>
        </w:tc>
      </w:tr>
    </w:tbl>
    <w:p>
      <w:pPr>
        <w:spacing w:after="160"/>
      </w:pPr>
    </w:p>
    <w:p>
      <w:pPr>
        <w:spacing w:after="120"/>
      </w:pPr>
      <w:r>
        <w:rPr>
          <w:rFonts w:ascii="Times New Roman" w:cs="Times New Roman" w:eastAsia="Times New Roman" w:hAnsi="Times New Roman"/>
          <w:b/>
          <w:bCs/>
          <w:sz w:val="22"/>
          <w:szCs w:val="22"/>
        </w:rPr>
        <w:t xml:space="preserve">The BPA table is the awkward join. </w:t>
      </w:r>
      <w:r>
        <w:rPr>
          <w:rFonts w:ascii="Times New Roman" w:cs="Times New Roman" w:eastAsia="Times New Roman" w:hAnsi="Times New Roman"/>
          <w:sz w:val="22"/>
          <w:szCs w:val="22"/>
        </w:rPr>
        <w:t xml:space="preserve">It is written by the library and carries its own timestamp rather than your run_id. Two options: match on the timestamp date, or — cleaner — stamp your own run_id onto a copy of the BPA output before it lands. If you take the timestamp route, add a date column on both sides and join on that, and say so in the README rather than leaving a reader to work out why the grain is fuzzy.</w:t>
      </w:r>
    </w:p>
    <w:p>
      <w:pPr>
        <w:spacing w:after="120"/>
      </w:pPr>
      <w:r>
        <w:rPr>
          <w:rFonts w:ascii="Times New Roman" w:cs="Times New Roman" w:eastAsia="Times New Roman" w:hAnsi="Times New Roman"/>
          <w:i/>
          <w:iCs/>
          <w:sz w:val="22"/>
          <w:szCs w:val="22"/>
        </w:rPr>
        <w:t xml:space="preserve">Mark evaluation_runs[run_timestamp] as the date column if you want time intelligence across runs. For a handful of runs it is not necessary — a categorical axis on run_timestamp reads fine.</w:t>
      </w:r>
    </w:p>
    <w:p>
      <w:pPr>
        <w:pStyle w:val="Heading1"/>
        <w:spacing w:after="140" w:before="300"/>
      </w:pPr>
      <w:r>
        <w:rPr>
          <w:rFonts w:ascii="Times New Roman" w:cs="Times New Roman" w:eastAsia="Times New Roman" w:hAnsi="Times New Roman"/>
          <w:b/>
          <w:bCs/>
          <w:color w:val="1F3864"/>
          <w:sz w:val="30"/>
          <w:szCs w:val="30"/>
        </w:rPr>
        <w:t xml:space="preserve">7. DAX for the dashboard</w:t>
      </w:r>
    </w:p>
    <w:p>
      <w:pPr>
        <w:spacing w:after="100"/>
      </w:pPr>
      <w:r>
        <w:rPr>
          <w:rFonts w:ascii="Times New Roman" w:cs="Times New Roman" w:eastAsia="Times New Roman" w:hAnsi="Times New Roman"/>
          <w:sz w:val="22"/>
          <w:szCs w:val="22"/>
        </w:rPr>
        <w:t xml:space="preserve">A dedicated _Measures table again, same hygiene as the main model.</w:t>
      </w:r>
    </w:p>
    <w:p>
      <w:pPr>
        <w:shd w:fill="F4F2ED" w:color="auto" w:val="clear"/>
        <w:spacing w:after="30"/>
        <w:ind w:left="200"/>
      </w:pPr>
      <w:r>
        <w:rPr>
          <w:rFonts w:ascii="Consolas" w:cs="Consolas" w:eastAsia="Consolas" w:hAnsi="Consolas"/>
          <w:sz w:val="17"/>
          <w:szCs w:val="17"/>
        </w:rPr>
        <w:t xml:space="preserve">Conformance Pass Rate =</w:t>
      </w:r>
    </w:p>
    <w:p>
      <w:pPr>
        <w:shd w:fill="F4F2ED" w:color="auto" w:val="clear"/>
        <w:spacing w:after="30"/>
        <w:ind w:left="200"/>
      </w:pPr>
      <w:r>
        <w:rPr>
          <w:rFonts w:ascii="Consolas" w:cs="Consolas" w:eastAsia="Consolas" w:hAnsi="Consolas"/>
          <w:sz w:val="17"/>
          <w:szCs w:val="17"/>
        </w:rPr>
        <w:t xml:space="preserve">DIVIDE (</w:t>
      </w:r>
    </w:p>
    <w:p>
      <w:pPr>
        <w:shd w:fill="F4F2ED" w:color="auto" w:val="clear"/>
        <w:spacing w:after="30"/>
        <w:ind w:left="200"/>
      </w:pPr>
      <w:r>
        <w:rPr>
          <w:rFonts w:ascii="Consolas" w:cs="Consolas" w:eastAsia="Consolas" w:hAnsi="Consolas"/>
          <w:sz w:val="17"/>
          <w:szCs w:val="17"/>
        </w:rPr>
        <w:t xml:space="preserve">    CALCULATE ( COUNTROWS ( evaluation_conformance ),</w:t>
      </w:r>
    </w:p>
    <w:p>
      <w:pPr>
        <w:shd w:fill="F4F2ED" w:color="auto" w:val="clear"/>
        <w:spacing w:after="30"/>
        <w:ind w:left="200"/>
      </w:pPr>
      <w:r>
        <w:rPr>
          <w:rFonts w:ascii="Consolas" w:cs="Consolas" w:eastAsia="Consolas" w:hAnsi="Consolas"/>
          <w:sz w:val="17"/>
          <w:szCs w:val="17"/>
        </w:rPr>
        <w:t xml:space="preserve">        evaluation_conformance[result] = "Pass" ),</w:t>
      </w:r>
    </w:p>
    <w:p>
      <w:pPr>
        <w:shd w:fill="F4F2ED" w:color="auto" w:val="clear"/>
        <w:spacing w:after="30"/>
        <w:ind w:left="200"/>
      </w:pPr>
      <w:r>
        <w:rPr>
          <w:rFonts w:ascii="Consolas" w:cs="Consolas" w:eastAsia="Consolas" w:hAnsi="Consolas"/>
          <w:sz w:val="17"/>
          <w:szCs w:val="17"/>
        </w:rPr>
        <w:t xml:space="preserve">    COUNTROWS ( evaluation_conformance )</w:t>
      </w:r>
    </w:p>
    <w:p>
      <w:pPr>
        <w:shd w:fill="F4F2ED" w:color="auto" w:val="clear"/>
        <w:spacing w:after="30"/>
        <w:ind w:left="200"/>
      </w:pPr>
      <w:r>
        <w:rPr>
          <w:rFonts w:ascii="Consolas" w:cs="Consolas" w:eastAsia="Consolas" w:hAnsi="Consolas"/>
          <w:sz w:val="17"/>
          <w:szCs w:val="17"/>
        </w:rPr>
        <w:t xml:space="preserve">)   -- 0%</w:t>
      </w:r>
    </w:p>
    <w:p>
      <w:pPr>
        <w:shd w:fill="F4F2ED" w:color="auto" w:val="clear"/>
        <w:spacing w:after="30"/>
        <w:ind w:left="200"/>
      </w:pPr>
      <w:r>
        <w:rPr>
          <w:rFonts w:ascii="Consolas" w:cs="Consolas" w:eastAsia="Consolas" w:hAnsi="Consolas"/>
          <w:sz w:val="17"/>
          <w:szCs w:val="17"/>
        </w:rPr>
        <w:t xml:space="preserve"/>
      </w:r>
    </w:p>
    <w:p>
      <w:pPr>
        <w:shd w:fill="F4F2ED" w:color="auto" w:val="clear"/>
        <w:spacing w:after="30"/>
        <w:ind w:left="200"/>
      </w:pPr>
      <w:r>
        <w:rPr>
          <w:rFonts w:ascii="Consolas" w:cs="Consolas" w:eastAsia="Consolas" w:hAnsi="Consolas"/>
          <w:sz w:val="17"/>
          <w:szCs w:val="17"/>
        </w:rPr>
        <w:t xml:space="preserve">Assertions Failing =</w:t>
      </w:r>
    </w:p>
    <w:p>
      <w:pPr>
        <w:shd w:fill="F4F2ED" w:color="auto" w:val="clear"/>
        <w:spacing w:after="30"/>
        <w:ind w:left="200"/>
      </w:pPr>
      <w:r>
        <w:rPr>
          <w:rFonts w:ascii="Consolas" w:cs="Consolas" w:eastAsia="Consolas" w:hAnsi="Consolas"/>
          <w:sz w:val="17"/>
          <w:szCs w:val="17"/>
        </w:rPr>
        <w:t xml:space="preserve">CALCULATE ( COUNTROWS ( evaluation_conformance ),</w:t>
      </w:r>
    </w:p>
    <w:p>
      <w:pPr>
        <w:shd w:fill="F4F2ED" w:color="auto" w:val="clear"/>
        <w:spacing w:after="30"/>
        <w:ind w:left="200"/>
      </w:pPr>
      <w:r>
        <w:rPr>
          <w:rFonts w:ascii="Consolas" w:cs="Consolas" w:eastAsia="Consolas" w:hAnsi="Consolas"/>
          <w:sz w:val="17"/>
          <w:szCs w:val="17"/>
        </w:rPr>
        <w:t xml:space="preserve">    evaluation_conformance[result] = "Fail" )   -- #,##0</w:t>
      </w:r>
    </w:p>
    <w:p>
      <w:pPr>
        <w:shd w:fill="F4F2ED" w:color="auto" w:val="clear"/>
        <w:spacing w:after="30"/>
        <w:ind w:left="200"/>
      </w:pPr>
      <w:r>
        <w:rPr>
          <w:rFonts w:ascii="Consolas" w:cs="Consolas" w:eastAsia="Consolas" w:hAnsi="Consolas"/>
          <w:sz w:val="17"/>
          <w:szCs w:val="17"/>
        </w:rPr>
        <w:t xml:space="preserve"/>
      </w:r>
    </w:p>
    <w:p>
      <w:pPr>
        <w:shd w:fill="F4F2ED" w:color="auto" w:val="clear"/>
        <w:spacing w:after="30"/>
        <w:ind w:left="200"/>
      </w:pPr>
      <w:r>
        <w:rPr>
          <w:rFonts w:ascii="Consolas" w:cs="Consolas" w:eastAsia="Consolas" w:hAnsi="Consolas"/>
          <w:sz w:val="17"/>
          <w:szCs w:val="17"/>
        </w:rPr>
        <w:t xml:space="preserve">BPA Findings = COUNTROWS ( modelbparesults )   -- #,##0</w:t>
      </w:r>
    </w:p>
    <w:p>
      <w:pPr>
        <w:shd w:fill="F4F2ED" w:color="auto" w:val="clear"/>
        <w:spacing w:after="30"/>
        <w:ind w:left="200"/>
      </w:pPr>
      <w:r>
        <w:rPr>
          <w:rFonts w:ascii="Consolas" w:cs="Consolas" w:eastAsia="Consolas" w:hAnsi="Consolas"/>
          <w:sz w:val="17"/>
          <w:szCs w:val="17"/>
        </w:rPr>
        <w:t xml:space="preserve"/>
      </w:r>
    </w:p>
    <w:p>
      <w:pPr>
        <w:shd w:fill="F4F2ED" w:color="auto" w:val="clear"/>
        <w:spacing w:after="30"/>
        <w:ind w:left="200"/>
      </w:pPr>
      <w:r>
        <w:rPr>
          <w:rFonts w:ascii="Consolas" w:cs="Consolas" w:eastAsia="Consolas" w:hAnsi="Consolas"/>
          <w:sz w:val="17"/>
          <w:szCs w:val="17"/>
        </w:rPr>
        <w:t xml:space="preserve">Latest Run = MAX ( evaluation_runs[run_timestamp] )   -- dd-MMM-yyyy HH:mm</w:t>
      </w:r>
    </w:p>
    <w:p>
      <w:pPr>
        <w:shd w:fill="F4F2ED" w:color="auto" w:val="clear"/>
        <w:spacing w:after="30"/>
        <w:ind w:left="200"/>
      </w:pPr>
      <w:r>
        <w:rPr>
          <w:rFonts w:ascii="Consolas" w:cs="Consolas" w:eastAsia="Consolas" w:hAnsi="Consolas"/>
          <w:sz w:val="17"/>
          <w:szCs w:val="17"/>
        </w:rPr>
        <w:t xml:space="preserve"/>
      </w:r>
    </w:p>
    <w:p>
      <w:pPr>
        <w:shd w:fill="F4F2ED" w:color="auto" w:val="clear"/>
        <w:spacing w:after="30"/>
        <w:ind w:left="200"/>
      </w:pPr>
      <w:r>
        <w:rPr>
          <w:rFonts w:ascii="Consolas" w:cs="Consolas" w:eastAsia="Consolas" w:hAnsi="Consolas"/>
          <w:sz w:val="17"/>
          <w:szCs w:val="17"/>
        </w:rPr>
        <w:t xml:space="preserve">Findings Prior Run =</w:t>
      </w:r>
    </w:p>
    <w:p>
      <w:pPr>
        <w:shd w:fill="F4F2ED" w:color="auto" w:val="clear"/>
        <w:spacing w:after="30"/>
        <w:ind w:left="200"/>
      </w:pPr>
      <w:r>
        <w:rPr>
          <w:rFonts w:ascii="Consolas" w:cs="Consolas" w:eastAsia="Consolas" w:hAnsi="Consolas"/>
          <w:sz w:val="17"/>
          <w:szCs w:val="17"/>
        </w:rPr>
        <w:t xml:space="preserve">VAR ThisRun = MAX ( evaluation_runs[run_timestamp] )</w:t>
      </w:r>
    </w:p>
    <w:p>
      <w:pPr>
        <w:shd w:fill="F4F2ED" w:color="auto" w:val="clear"/>
        <w:spacing w:after="30"/>
        <w:ind w:left="200"/>
      </w:pPr>
      <w:r>
        <w:rPr>
          <w:rFonts w:ascii="Consolas" w:cs="Consolas" w:eastAsia="Consolas" w:hAnsi="Consolas"/>
          <w:sz w:val="17"/>
          <w:szCs w:val="17"/>
        </w:rPr>
        <w:t xml:space="preserve">VAR Prior =</w:t>
      </w:r>
    </w:p>
    <w:p>
      <w:pPr>
        <w:shd w:fill="F4F2ED" w:color="auto" w:val="clear"/>
        <w:spacing w:after="30"/>
        <w:ind w:left="200"/>
      </w:pPr>
      <w:r>
        <w:rPr>
          <w:rFonts w:ascii="Consolas" w:cs="Consolas" w:eastAsia="Consolas" w:hAnsi="Consolas"/>
          <w:sz w:val="17"/>
          <w:szCs w:val="17"/>
        </w:rPr>
        <w:t xml:space="preserve">    CALCULATE ( MAX ( evaluation_runs[run_timestamp] ),</w:t>
      </w:r>
    </w:p>
    <w:p>
      <w:pPr>
        <w:shd w:fill="F4F2ED" w:color="auto" w:val="clear"/>
        <w:spacing w:after="30"/>
        <w:ind w:left="200"/>
      </w:pPr>
      <w:r>
        <w:rPr>
          <w:rFonts w:ascii="Consolas" w:cs="Consolas" w:eastAsia="Consolas" w:hAnsi="Consolas"/>
          <w:sz w:val="17"/>
          <w:szCs w:val="17"/>
        </w:rPr>
        <w:t xml:space="preserve">        ALL ( evaluation_runs ),</w:t>
      </w:r>
    </w:p>
    <w:p>
      <w:pPr>
        <w:shd w:fill="F4F2ED" w:color="auto" w:val="clear"/>
        <w:spacing w:after="30"/>
        <w:ind w:left="200"/>
      </w:pPr>
      <w:r>
        <w:rPr>
          <w:rFonts w:ascii="Consolas" w:cs="Consolas" w:eastAsia="Consolas" w:hAnsi="Consolas"/>
          <w:sz w:val="17"/>
          <w:szCs w:val="17"/>
        </w:rPr>
        <w:t xml:space="preserve">        evaluation_runs[run_timestamp] &lt; ThisRun )</w:t>
      </w:r>
    </w:p>
    <w:p>
      <w:pPr>
        <w:shd w:fill="F4F2ED" w:color="auto" w:val="clear"/>
        <w:spacing w:after="30"/>
        <w:ind w:left="200"/>
      </w:pPr>
      <w:r>
        <w:rPr>
          <w:rFonts w:ascii="Consolas" w:cs="Consolas" w:eastAsia="Consolas" w:hAnsi="Consolas"/>
          <w:sz w:val="17"/>
          <w:szCs w:val="17"/>
        </w:rPr>
        <w:t xml:space="preserve">RETURN</w:t>
      </w:r>
    </w:p>
    <w:p>
      <w:pPr>
        <w:shd w:fill="F4F2ED" w:color="auto" w:val="clear"/>
        <w:spacing w:after="30"/>
        <w:ind w:left="200"/>
      </w:pPr>
      <w:r>
        <w:rPr>
          <w:rFonts w:ascii="Consolas" w:cs="Consolas" w:eastAsia="Consolas" w:hAnsi="Consolas"/>
          <w:sz w:val="17"/>
          <w:szCs w:val="17"/>
        </w:rPr>
        <w:t xml:space="preserve">    CALCULATE ( [BPA Findings], ALL ( evaluation_runs ),</w:t>
      </w:r>
    </w:p>
    <w:p>
      <w:pPr>
        <w:shd w:fill="F4F2ED" w:color="auto" w:val="clear"/>
        <w:spacing w:after="30"/>
        <w:ind w:left="200"/>
      </w:pPr>
      <w:r>
        <w:rPr>
          <w:rFonts w:ascii="Consolas" w:cs="Consolas" w:eastAsia="Consolas" w:hAnsi="Consolas"/>
          <w:sz w:val="17"/>
          <w:szCs w:val="17"/>
        </w:rPr>
        <w:t xml:space="preserve">        evaluation_runs[run_timestamp] = Prior )   -- #,##0</w:t>
      </w:r>
    </w:p>
    <w:p>
      <w:pPr>
        <w:shd w:fill="F4F2ED" w:color="auto" w:val="clear"/>
        <w:spacing w:after="30"/>
        <w:ind w:left="200"/>
      </w:pPr>
      <w:r>
        <w:rPr>
          <w:rFonts w:ascii="Consolas" w:cs="Consolas" w:eastAsia="Consolas" w:hAnsi="Consolas"/>
          <w:sz w:val="17"/>
          <w:szCs w:val="17"/>
        </w:rPr>
        <w:t xml:space="preserve"/>
      </w:r>
    </w:p>
    <w:p>
      <w:pPr>
        <w:shd w:fill="F4F2ED" w:color="auto" w:val="clear"/>
        <w:spacing w:after="30"/>
        <w:ind w:left="200"/>
      </w:pPr>
      <w:r>
        <w:rPr>
          <w:rFonts w:ascii="Consolas" w:cs="Consolas" w:eastAsia="Consolas" w:hAnsi="Consolas"/>
          <w:sz w:val="17"/>
          <w:szCs w:val="17"/>
        </w:rPr>
        <w:t xml:space="preserve">Findings Delta = [BPA Findings] - [Findings Prior Run]   -- +#,##0;-#,##0</w:t>
      </w:r>
    </w:p>
    <w:p>
      <w:pPr>
        <w:shd w:fill="F4F2ED" w:color="auto" w:val="clear"/>
        <w:spacing w:after="30"/>
        <w:ind w:left="200"/>
      </w:pPr>
      <w:r>
        <w:rPr>
          <w:rFonts w:ascii="Consolas" w:cs="Consolas" w:eastAsia="Consolas" w:hAnsi="Consolas"/>
          <w:sz w:val="17"/>
          <w:szCs w:val="17"/>
        </w:rPr>
        <w:t xml:space="preserve"/>
      </w:r>
    </w:p>
    <w:p>
      <w:pPr>
        <w:shd w:fill="F4F2ED" w:color="auto" w:val="clear"/>
        <w:spacing w:after="30"/>
        <w:ind w:left="200"/>
      </w:pPr>
      <w:r>
        <w:rPr>
          <w:rFonts w:ascii="Consolas" w:cs="Consolas" w:eastAsia="Consolas" w:hAnsi="Consolas"/>
          <w:sz w:val="17"/>
          <w:szCs w:val="17"/>
        </w:rPr>
        <w:t xml:space="preserve">Slowest Visual ms = MAX ( evaluation_performance[total_ms] )   -- #,##0</w:t>
      </w:r>
    </w:p>
    <w:p>
      <w:pPr>
        <w:shd w:fill="F4F2ED" w:color="auto" w:val="clear"/>
        <w:spacing w:after="30"/>
        <w:ind w:left="200"/>
      </w:pPr>
      <w:r>
        <w:rPr>
          <w:rFonts w:ascii="Consolas" w:cs="Consolas" w:eastAsia="Consolas" w:hAnsi="Consolas"/>
          <w:sz w:val="17"/>
          <w:szCs w:val="17"/>
        </w:rPr>
        <w:t xml:space="preserve"/>
      </w:r>
    </w:p>
    <w:p>
      <w:pPr>
        <w:shd w:fill="F4F2ED" w:color="auto" w:val="clear"/>
        <w:spacing w:after="30"/>
        <w:ind w:left="200"/>
      </w:pPr>
      <w:r>
        <w:rPr>
          <w:rFonts w:ascii="Consolas" w:cs="Consolas" w:eastAsia="Consolas" w:hAnsi="Consolas"/>
          <w:sz w:val="17"/>
          <w:szCs w:val="17"/>
        </w:rPr>
        <w:t xml:space="preserve">Measures Failing =</w:t>
      </w:r>
    </w:p>
    <w:p>
      <w:pPr>
        <w:shd w:fill="F4F2ED" w:color="auto" w:val="clear"/>
        <w:spacing w:after="30"/>
        <w:ind w:left="200"/>
      </w:pPr>
      <w:r>
        <w:rPr>
          <w:rFonts w:ascii="Consolas" w:cs="Consolas" w:eastAsia="Consolas" w:hAnsi="Consolas"/>
          <w:sz w:val="17"/>
          <w:szCs w:val="17"/>
        </w:rPr>
        <w:t xml:space="preserve">CALCULATE ( COUNTROWS ( evaluation_validation ),</w:t>
      </w:r>
    </w:p>
    <w:p>
      <w:pPr>
        <w:shd w:fill="F4F2ED" w:color="auto" w:val="clear"/>
        <w:spacing w:after="30"/>
        <w:ind w:left="200"/>
      </w:pPr>
      <w:r>
        <w:rPr>
          <w:rFonts w:ascii="Consolas" w:cs="Consolas" w:eastAsia="Consolas" w:hAnsi="Consolas"/>
          <w:sz w:val="17"/>
          <w:szCs w:val="17"/>
        </w:rPr>
        <w:t xml:space="preserve">    evaluation_validation[result] = "Fail" )   -- #,##0</w:t>
      </w:r>
    </w:p>
    <w:p>
      <w:pPr>
        <w:shd w:fill="F4F2ED" w:color="auto" w:val="clear"/>
        <w:spacing w:after="30"/>
        <w:ind w:left="200"/>
      </w:pPr>
      <w:r>
        <w:rPr>
          <w:rFonts w:ascii="Consolas" w:cs="Consolas" w:eastAsia="Consolas" w:hAnsi="Consolas"/>
          <w:sz w:val="17"/>
          <w:szCs w:val="17"/>
        </w:rPr>
        <w:t xml:space="preserve"/>
      </w:r>
    </w:p>
    <w:p>
      <w:pPr>
        <w:shd w:fill="F4F2ED" w:color="auto" w:val="clear"/>
        <w:spacing w:after="30"/>
        <w:ind w:left="200"/>
      </w:pPr>
      <w:r>
        <w:rPr>
          <w:rFonts w:ascii="Consolas" w:cs="Consolas" w:eastAsia="Consolas" w:hAnsi="Consolas"/>
          <w:sz w:val="17"/>
          <w:szCs w:val="17"/>
        </w:rPr>
        <w:t xml:space="preserve">Health Color =</w:t>
      </w:r>
    </w:p>
    <w:p>
      <w:pPr>
        <w:shd w:fill="F4F2ED" w:color="auto" w:val="clear"/>
        <w:spacing w:after="30"/>
        <w:ind w:left="200"/>
      </w:pPr>
      <w:r>
        <w:rPr>
          <w:rFonts w:ascii="Consolas" w:cs="Consolas" w:eastAsia="Consolas" w:hAnsi="Consolas"/>
          <w:sz w:val="17"/>
          <w:szCs w:val="17"/>
        </w:rPr>
        <w:t xml:space="preserve">SWITCH ( TRUE (),</w:t>
      </w:r>
    </w:p>
    <w:p>
      <w:pPr>
        <w:shd w:fill="F4F2ED" w:color="auto" w:val="clear"/>
        <w:spacing w:after="30"/>
        <w:ind w:left="200"/>
      </w:pPr>
      <w:r>
        <w:rPr>
          <w:rFonts w:ascii="Consolas" w:cs="Consolas" w:eastAsia="Consolas" w:hAnsi="Consolas"/>
          <w:sz w:val="17"/>
          <w:szCs w:val="17"/>
        </w:rPr>
        <w:t xml:space="preserve">    [Assertions Failing] + [Measures Failing] = 0, "#1E7B34",</w:t>
      </w:r>
    </w:p>
    <w:p>
      <w:pPr>
        <w:shd w:fill="F4F2ED" w:color="auto" w:val="clear"/>
        <w:spacing w:after="30"/>
        <w:ind w:left="200"/>
      </w:pPr>
      <w:r>
        <w:rPr>
          <w:rFonts w:ascii="Consolas" w:cs="Consolas" w:eastAsia="Consolas" w:hAnsi="Consolas"/>
          <w:sz w:val="17"/>
          <w:szCs w:val="17"/>
        </w:rPr>
        <w:t xml:space="preserve">    [Assertions Failing] + [Measures Failing] &lt;= 2, "#C8860A",</w:t>
      </w:r>
    </w:p>
    <w:p>
      <w:pPr>
        <w:shd w:fill="F4F2ED" w:color="auto" w:val="clear"/>
        <w:spacing w:after="30"/>
        <w:ind w:left="200"/>
      </w:pPr>
      <w:r>
        <w:rPr>
          <w:rFonts w:ascii="Consolas" w:cs="Consolas" w:eastAsia="Consolas" w:hAnsi="Consolas"/>
          <w:sz w:val="17"/>
          <w:szCs w:val="17"/>
        </w:rPr>
        <w:t xml:space="preserve">    "#C0392B" )</w:t>
      </w:r>
    </w:p>
    <w:p>
      <w:pPr>
        <w:spacing w:after="120"/>
      </w:pPr>
      <w:r>
        <w:rPr>
          <w:rFonts w:ascii="Times New Roman" w:cs="Times New Roman" w:eastAsia="Times New Roman" w:hAnsi="Times New Roman"/>
          <w:b/>
          <w:bCs/>
          <w:sz w:val="22"/>
          <w:szCs w:val="22"/>
        </w:rPr>
        <w:t xml:space="preserve">Findings Delta is the measure that matters. </w:t>
      </w:r>
      <w:r>
        <w:rPr>
          <w:rFonts w:ascii="Times New Roman" w:cs="Times New Roman" w:eastAsia="Times New Roman" w:hAnsi="Times New Roman"/>
          <w:sz w:val="22"/>
          <w:szCs w:val="22"/>
        </w:rPr>
        <w:t xml:space="preserve">A negative number after a remediation run is the single most persuasive number in the whole dashboard, because it is evidence rather than assertion.</w:t>
      </w:r>
    </w:p>
    <w:p>
      <w:pPr>
        <w:pStyle w:val="Heading1"/>
        <w:spacing w:after="140" w:before="300"/>
      </w:pPr>
      <w:r>
        <w:rPr>
          <w:rFonts w:ascii="Times New Roman" w:cs="Times New Roman" w:eastAsia="Times New Roman" w:hAnsi="Times New Roman"/>
          <w:b/>
          <w:bCs/>
          <w:color w:val="1F3864"/>
          <w:sz w:val="30"/>
          <w:szCs w:val="30"/>
        </w:rPr>
        <w:t xml:space="preserve">8. Page specifications</w:t>
      </w:r>
    </w:p>
    <w:p>
      <w:pPr>
        <w:spacing w:after="100"/>
      </w:pPr>
      <w:r>
        <w:rPr>
          <w:rFonts w:ascii="Times New Roman" w:cs="Times New Roman" w:eastAsia="Times New Roman" w:hAnsi="Times New Roman"/>
          <w:sz w:val="22"/>
          <w:szCs w:val="22"/>
        </w:rPr>
        <w:t xml:space="preserve">Canvas 1280 × 720, superstore_theme.json applied, same header band convention as the main report.</w:t>
      </w:r>
    </w:p>
    <w:p>
      <w:pPr>
        <w:pStyle w:val="Heading2"/>
        <w:spacing w:after="120" w:before="240"/>
      </w:pPr>
      <w:r>
        <w:rPr>
          <w:rFonts w:ascii="Times New Roman" w:cs="Times New Roman" w:eastAsia="Times New Roman" w:hAnsi="Times New Roman"/>
          <w:b/>
          <w:bCs/>
          <w:color w:val="1F3864"/>
          <w:sz w:val="25"/>
          <w:szCs w:val="25"/>
        </w:rPr>
        <w:t xml:space="preserve">8.1 Page 1 — Evaluation Scorecard</w:t>
      </w:r>
    </w:p>
    <w:p>
      <w:pPr>
        <w:spacing w:after="120"/>
      </w:pPr>
      <w:r>
        <w:rPr>
          <w:rFonts w:ascii="Times New Roman" w:cs="Times New Roman" w:eastAsia="Times New Roman" w:hAnsi="Times New Roman"/>
          <w:sz w:val="22"/>
          <w:szCs w:val="22"/>
        </w:rPr>
        <w:t xml:space="preserve">Purpose: can this project be shipped? Answerable in five seconds from the KPI row.</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500"/>
        <w:gridCol w:w="4700"/>
      </w:tblGrid>
      <w:tr>
        <w:trPr>
          <w:tblHeader/>
        </w:trPr>
        <w:tc>
          <w:tcPr>
            <w:tcW w:type="dxa" w:w="5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w:t>
            </w:r>
          </w:p>
        </w:tc>
        <w:tc>
          <w:tcPr>
            <w:tcW w:type="dxa" w:w="19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Visual</w:t>
            </w:r>
          </w:p>
        </w:tc>
        <w:tc>
          <w:tcPr>
            <w:tcW w:type="dxa" w:w="15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Type</w:t>
            </w:r>
          </w:p>
        </w:tc>
        <w:tc>
          <w:tcPr>
            <w:tcW w:type="dxa" w:w="47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Fields</w:t>
            </w:r>
          </w:p>
        </w:tc>
      </w:tr>
      <w:tr>
        <w:trPr>
          <w:cantSplit/>
        </w:trPr>
        <w:tc>
          <w:tcPr>
            <w:tcW w:type="dxa" w:w="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1.1</w:t>
            </w:r>
          </w:p>
        </w:tc>
        <w:tc>
          <w:tcPr>
            <w:tcW w:type="dxa" w:w="19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Conformance Pass Rate</w:t>
            </w:r>
          </w:p>
        </w:tc>
        <w:tc>
          <w:tcPr>
            <w:tcW w:type="dxa" w:w="1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Card</w:t>
            </w:r>
          </w:p>
        </w:tc>
        <w:tc>
          <w:tcPr>
            <w:tcW w:type="dxa" w:w="47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Conformance Pass Rate; reference label: Assertions Failing</w:t>
            </w:r>
          </w:p>
        </w:tc>
      </w:tr>
      <w:tr>
        <w:trPr>
          <w:cantSplit/>
        </w:trPr>
        <w:tc>
          <w:tcPr>
            <w:tcW w:type="dxa" w:w="5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1.2</w:t>
            </w:r>
          </w:p>
        </w:tc>
        <w:tc>
          <w:tcPr>
            <w:tcW w:type="dxa" w:w="19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BPA Findings</w:t>
            </w:r>
          </w:p>
        </w:tc>
        <w:tc>
          <w:tcPr>
            <w:tcW w:type="dxa" w:w="15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Card</w:t>
            </w:r>
          </w:p>
        </w:tc>
        <w:tc>
          <w:tcPr>
            <w:tcW w:type="dxa" w:w="47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BPA Findings; reference label: Findings Delta, coloured by sign</w:t>
            </w:r>
          </w:p>
        </w:tc>
      </w:tr>
      <w:tr>
        <w:trPr>
          <w:cantSplit/>
        </w:trPr>
        <w:tc>
          <w:tcPr>
            <w:tcW w:type="dxa" w:w="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1.3</w:t>
            </w:r>
          </w:p>
        </w:tc>
        <w:tc>
          <w:tcPr>
            <w:tcW w:type="dxa" w:w="19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Measure Validation</w:t>
            </w:r>
          </w:p>
        </w:tc>
        <w:tc>
          <w:tcPr>
            <w:tcW w:type="dxa" w:w="1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Card</w:t>
            </w:r>
          </w:p>
        </w:tc>
        <w:tc>
          <w:tcPr>
            <w:tcW w:type="dxa" w:w="47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Measures Failing; reference label: count validated</w:t>
            </w:r>
          </w:p>
        </w:tc>
      </w:tr>
      <w:tr>
        <w:trPr>
          <w:cantSplit/>
        </w:trPr>
        <w:tc>
          <w:tcPr>
            <w:tcW w:type="dxa" w:w="5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1.4</w:t>
            </w:r>
          </w:p>
        </w:tc>
        <w:tc>
          <w:tcPr>
            <w:tcW w:type="dxa" w:w="19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Slowest Visual</w:t>
            </w:r>
          </w:p>
        </w:tc>
        <w:tc>
          <w:tcPr>
            <w:tcW w:type="dxa" w:w="15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Card</w:t>
            </w:r>
          </w:p>
        </w:tc>
        <w:tc>
          <w:tcPr>
            <w:tcW w:type="dxa" w:w="47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Slowest Visual ms; amber above 500, red above 2000</w:t>
            </w:r>
          </w:p>
        </w:tc>
      </w:tr>
      <w:tr>
        <w:trPr>
          <w:cantSplit/>
        </w:trPr>
        <w:tc>
          <w:tcPr>
            <w:tcW w:type="dxa" w:w="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1.5</w:t>
            </w:r>
          </w:p>
        </w:tc>
        <w:tc>
          <w:tcPr>
            <w:tcW w:type="dxa" w:w="19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Findings over time</w:t>
            </w:r>
          </w:p>
        </w:tc>
        <w:tc>
          <w:tcPr>
            <w:tcW w:type="dxa" w:w="1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Line chart</w:t>
            </w:r>
          </w:p>
        </w:tc>
        <w:tc>
          <w:tcPr>
            <w:tcW w:type="dxa" w:w="47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X: run_timestamp · Y: BPA Findings, Assertions Failing</w:t>
            </w:r>
          </w:p>
        </w:tc>
      </w:tr>
      <w:tr>
        <w:trPr>
          <w:cantSplit/>
        </w:trPr>
        <w:tc>
          <w:tcPr>
            <w:tcW w:type="dxa" w:w="5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1.6</w:t>
            </w:r>
          </w:p>
        </w:tc>
        <w:tc>
          <w:tcPr>
            <w:tcW w:type="dxa" w:w="19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Findings by severity</w:t>
            </w:r>
          </w:p>
        </w:tc>
        <w:tc>
          <w:tcPr>
            <w:tcW w:type="dxa" w:w="15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Stacked column</w:t>
            </w:r>
          </w:p>
        </w:tc>
        <w:tc>
          <w:tcPr>
            <w:tcW w:type="dxa" w:w="47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X: run_timestamp · Legend: Severity</w:t>
            </w:r>
          </w:p>
        </w:tc>
      </w:tr>
      <w:tr>
        <w:trPr>
          <w:cantSplit/>
        </w:trPr>
        <w:tc>
          <w:tcPr>
            <w:tcW w:type="dxa" w:w="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1.7</w:t>
            </w:r>
          </w:p>
        </w:tc>
        <w:tc>
          <w:tcPr>
            <w:tcW w:type="dxa" w:w="19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Findings by category</w:t>
            </w:r>
          </w:p>
        </w:tc>
        <w:tc>
          <w:tcPr>
            <w:tcW w:type="dxa" w:w="1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Bar chart</w:t>
            </w:r>
          </w:p>
        </w:tc>
        <w:tc>
          <w:tcPr>
            <w:tcW w:type="dxa" w:w="47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Y: Category · X: BPA Findings</w:t>
            </w:r>
          </w:p>
        </w:tc>
      </w:tr>
      <w:tr>
        <w:trPr>
          <w:cantSplit/>
        </w:trPr>
        <w:tc>
          <w:tcPr>
            <w:tcW w:type="dxa" w:w="5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1.8</w:t>
            </w:r>
          </w:p>
        </w:tc>
        <w:tc>
          <w:tcPr>
            <w:tcW w:type="dxa" w:w="19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Conformance by category</w:t>
            </w:r>
          </w:p>
        </w:tc>
        <w:tc>
          <w:tcPr>
            <w:tcW w:type="dxa" w:w="15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Matrix</w:t>
            </w:r>
          </w:p>
        </w:tc>
        <w:tc>
          <w:tcPr>
            <w:tcW w:type="dxa" w:w="47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Rows: category · Columns: result · Values: count</w:t>
            </w:r>
          </w:p>
        </w:tc>
      </w:tr>
    </w:tbl>
    <w:p>
      <w:pPr>
        <w:spacing w:after="160"/>
      </w:pPr>
    </w:p>
    <w:p>
      <w:pPr>
        <w:spacing w:after="120"/>
      </w:pPr>
      <w:r>
        <w:rPr>
          <w:rFonts w:ascii="Times New Roman" w:cs="Times New Roman" w:eastAsia="Times New Roman" w:hAnsi="Times New Roman"/>
          <w:b/>
          <w:bCs/>
          <w:sz w:val="22"/>
          <w:szCs w:val="22"/>
        </w:rPr>
        <w:t xml:space="preserve">1.5 is the hero visual. </w:t>
      </w:r>
      <w:r>
        <w:rPr>
          <w:rFonts w:ascii="Times New Roman" w:cs="Times New Roman" w:eastAsia="Times New Roman" w:hAnsi="Times New Roman"/>
          <w:sz w:val="22"/>
          <w:szCs w:val="22"/>
        </w:rPr>
        <w:t xml:space="preserve">A descending line across successive runs is the story the whole dashboard exists to tell. Give it the width and put it directly under the KPI row.</w:t>
      </w:r>
    </w:p>
    <w:p>
      <w:pPr>
        <w:pStyle w:val="Heading2"/>
        <w:spacing w:after="120" w:before="240"/>
      </w:pPr>
      <w:r>
        <w:rPr>
          <w:rFonts w:ascii="Times New Roman" w:cs="Times New Roman" w:eastAsia="Times New Roman" w:hAnsi="Times New Roman"/>
          <w:b/>
          <w:bCs/>
          <w:color w:val="1F3864"/>
          <w:sz w:val="25"/>
          <w:szCs w:val="25"/>
        </w:rPr>
        <w:t xml:space="preserve">8.2 Page 2 — Findings Detail</w:t>
      </w:r>
    </w:p>
    <w:p>
      <w:pPr>
        <w:spacing w:after="120"/>
      </w:pPr>
      <w:r>
        <w:rPr>
          <w:rFonts w:ascii="Times New Roman" w:cs="Times New Roman" w:eastAsia="Times New Roman" w:hAnsi="Times New Roman"/>
          <w:sz w:val="22"/>
          <w:szCs w:val="22"/>
        </w:rPr>
        <w:t xml:space="preserve">Purpose: what exactly is wrong, and is it worth fixing?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4700"/>
      </w:tblGrid>
      <w:tr>
        <w:trPr>
          <w:tblHeader/>
        </w:trPr>
        <w:tc>
          <w:tcPr>
            <w:tcW w:type="dxa" w:w="5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w:t>
            </w:r>
          </w:p>
        </w:tc>
        <w:tc>
          <w:tcPr>
            <w:tcW w:type="dxa" w:w="20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Visual</w:t>
            </w:r>
          </w:p>
        </w:tc>
        <w:tc>
          <w:tcPr>
            <w:tcW w:type="dxa" w:w="14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Type</w:t>
            </w:r>
          </w:p>
        </w:tc>
        <w:tc>
          <w:tcPr>
            <w:tcW w:type="dxa" w:w="47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Fields / behaviour</w:t>
            </w:r>
          </w:p>
        </w:tc>
      </w:tr>
      <w:tr>
        <w:trPr>
          <w:cantSplit/>
        </w:trPr>
        <w:tc>
          <w:tcPr>
            <w:tcW w:type="dxa" w:w="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2.1</w:t>
            </w:r>
          </w:p>
        </w:tc>
        <w:tc>
          <w:tcPr>
            <w:tcW w:type="dxa" w:w="20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Findings table</w:t>
            </w:r>
          </w:p>
        </w:tc>
        <w:tc>
          <w:tcPr>
            <w:tcW w:type="dxa" w:w="14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Table</w:t>
            </w:r>
          </w:p>
        </w:tc>
        <w:tc>
          <w:tcPr>
            <w:tcW w:type="dxa" w:w="47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Category, Rule Name, Object Type, Object Name, Severity, Description</w:t>
            </w:r>
          </w:p>
        </w:tc>
      </w:tr>
      <w:tr>
        <w:trPr>
          <w:cantSplit/>
        </w:trPr>
        <w:tc>
          <w:tcPr>
            <w:tcW w:type="dxa" w:w="5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2.2</w:t>
            </w:r>
          </w:p>
        </w:tc>
        <w:tc>
          <w:tcPr>
            <w:tcW w:type="dxa" w:w="20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Run selector</w:t>
            </w:r>
          </w:p>
        </w:tc>
        <w:tc>
          <w:tcPr>
            <w:tcW w:type="dxa" w:w="14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Slicer</w:t>
            </w:r>
          </w:p>
        </w:tc>
        <w:tc>
          <w:tcPr>
            <w:tcW w:type="dxa" w:w="47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evaluation_runs[run_timestamp], single-select, defaults to latest</w:t>
            </w:r>
          </w:p>
        </w:tc>
      </w:tr>
      <w:tr>
        <w:trPr>
          <w:cantSplit/>
        </w:trPr>
        <w:tc>
          <w:tcPr>
            <w:tcW w:type="dxa" w:w="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2.3</w:t>
            </w:r>
          </w:p>
        </w:tc>
        <w:tc>
          <w:tcPr>
            <w:tcW w:type="dxa" w:w="20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Severity / category filters</w:t>
            </w:r>
          </w:p>
        </w:tc>
        <w:tc>
          <w:tcPr>
            <w:tcW w:type="dxa" w:w="14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Slicers</w:t>
            </w:r>
          </w:p>
        </w:tc>
        <w:tc>
          <w:tcPr>
            <w:tcW w:type="dxa" w:w="47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Severity and Category, multi-select</w:t>
            </w:r>
          </w:p>
        </w:tc>
      </w:tr>
      <w:tr>
        <w:trPr>
          <w:cantSplit/>
        </w:trPr>
        <w:tc>
          <w:tcPr>
            <w:tcW w:type="dxa" w:w="5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2.4</w:t>
            </w:r>
          </w:p>
        </w:tc>
        <w:tc>
          <w:tcPr>
            <w:tcW w:type="dxa" w:w="20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Findings by rule</w:t>
            </w:r>
          </w:p>
        </w:tc>
        <w:tc>
          <w:tcPr>
            <w:tcW w:type="dxa" w:w="14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Bar chart</w:t>
            </w:r>
          </w:p>
        </w:tc>
        <w:tc>
          <w:tcPr>
            <w:tcW w:type="dxa" w:w="47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Y: Rule Name · X: count · Top N 15</w:t>
            </w:r>
          </w:p>
        </w:tc>
      </w:tr>
      <w:tr>
        <w:trPr>
          <w:cantSplit/>
        </w:trPr>
        <w:tc>
          <w:tcPr>
            <w:tcW w:type="dxa" w:w="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2.5</w:t>
            </w:r>
          </w:p>
        </w:tc>
        <w:tc>
          <w:tcPr>
            <w:tcW w:type="dxa" w:w="20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Triage note</w:t>
            </w:r>
          </w:p>
        </w:tc>
        <w:tc>
          <w:tcPr>
            <w:tcW w:type="dxa" w:w="14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Text box</w:t>
            </w:r>
          </w:p>
        </w:tc>
        <w:tc>
          <w:tcPr>
            <w:tcW w:type="dxa" w:w="47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Space to record accepted exceptions and the reasoning</w:t>
            </w:r>
          </w:p>
        </w:tc>
      </w:tr>
    </w:tbl>
    <w:p>
      <w:pPr>
        <w:spacing w:after="160"/>
      </w:pPr>
    </w:p>
    <w:p>
      <w:pPr>
        <w:spacing w:after="120"/>
      </w:pPr>
      <w:r>
        <w:rPr>
          <w:rFonts w:ascii="Times New Roman" w:cs="Times New Roman" w:eastAsia="Times New Roman" w:hAnsi="Times New Roman"/>
          <w:i/>
          <w:iCs/>
          <w:sz w:val="22"/>
          <w:szCs w:val="22"/>
        </w:rPr>
        <w:t xml:space="preserve">2.5 is not decoration. A findings list with no commentary says you ran a tool; a findings list annotated with which rules you rejected and why says you exercised judgement. That distinction is the entire portfolio argument.</w:t>
      </w:r>
    </w:p>
    <w:p>
      <w:pPr>
        <w:pStyle w:val="Heading2"/>
        <w:spacing w:after="120" w:before="240"/>
      </w:pPr>
      <w:r>
        <w:rPr>
          <w:rFonts w:ascii="Times New Roman" w:cs="Times New Roman" w:eastAsia="Times New Roman" w:hAnsi="Times New Roman"/>
          <w:b/>
          <w:bCs/>
          <w:color w:val="1F3864"/>
          <w:sz w:val="25"/>
          <w:szCs w:val="25"/>
        </w:rPr>
        <w:t xml:space="preserve">8.3 Page 3 — Conformance &amp; Performance</w:t>
      </w:r>
    </w:p>
    <w:p>
      <w:pPr>
        <w:spacing w:after="120"/>
      </w:pPr>
      <w:r>
        <w:rPr>
          <w:rFonts w:ascii="Times New Roman" w:cs="Times New Roman" w:eastAsia="Times New Roman" w:hAnsi="Times New Roman"/>
          <w:sz w:val="22"/>
          <w:szCs w:val="22"/>
        </w:rPr>
        <w:t xml:space="preserve">Purpose: does the report match the written specification, and is it fast enough?</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4700"/>
      </w:tblGrid>
      <w:tr>
        <w:trPr>
          <w:tblHeader/>
        </w:trPr>
        <w:tc>
          <w:tcPr>
            <w:tcW w:type="dxa" w:w="5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w:t>
            </w:r>
          </w:p>
        </w:tc>
        <w:tc>
          <w:tcPr>
            <w:tcW w:type="dxa" w:w="20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Visual</w:t>
            </w:r>
          </w:p>
        </w:tc>
        <w:tc>
          <w:tcPr>
            <w:tcW w:type="dxa" w:w="14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Type</w:t>
            </w:r>
          </w:p>
        </w:tc>
        <w:tc>
          <w:tcPr>
            <w:tcW w:type="dxa" w:w="47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Fields / behaviour</w:t>
            </w:r>
          </w:p>
        </w:tc>
      </w:tr>
      <w:tr>
        <w:trPr>
          <w:cantSplit/>
        </w:trPr>
        <w:tc>
          <w:tcPr>
            <w:tcW w:type="dxa" w:w="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3.1</w:t>
            </w:r>
          </w:p>
        </w:tc>
        <w:tc>
          <w:tcPr>
            <w:tcW w:type="dxa" w:w="20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Specification scorecard</w:t>
            </w:r>
          </w:p>
        </w:tc>
        <w:tc>
          <w:tcPr>
            <w:tcW w:type="dxa" w:w="14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Table</w:t>
            </w:r>
          </w:p>
        </w:tc>
        <w:tc>
          <w:tcPr>
            <w:tcW w:type="dxa" w:w="47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assertion_id, assertion, page, expected, actual, result; result conditionally formatted green/red</w:t>
            </w:r>
          </w:p>
        </w:tc>
      </w:tr>
      <w:tr>
        <w:trPr>
          <w:cantSplit/>
        </w:trPr>
        <w:tc>
          <w:tcPr>
            <w:tcW w:type="dxa" w:w="5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3.2</w:t>
            </w:r>
          </w:p>
        </w:tc>
        <w:tc>
          <w:tcPr>
            <w:tcW w:type="dxa" w:w="20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Render time by visual</w:t>
            </w:r>
          </w:p>
        </w:tc>
        <w:tc>
          <w:tcPr>
            <w:tcW w:type="dxa" w:w="14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Bar chart</w:t>
            </w:r>
          </w:p>
        </w:tc>
        <w:tc>
          <w:tcPr>
            <w:tcW w:type="dxa" w:w="47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Y: visual_name · X: total_ms; constant lines at 500 and 2000</w:t>
            </w:r>
          </w:p>
        </w:tc>
      </w:tr>
      <w:tr>
        <w:trPr>
          <w:cantSplit/>
        </w:trPr>
        <w:tc>
          <w:tcPr>
            <w:tcW w:type="dxa" w:w="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3.3</w:t>
            </w:r>
          </w:p>
        </w:tc>
        <w:tc>
          <w:tcPr>
            <w:tcW w:type="dxa" w:w="20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DAX vs render split</w:t>
            </w:r>
          </w:p>
        </w:tc>
        <w:tc>
          <w:tcPr>
            <w:tcW w:type="dxa" w:w="14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Stacked bar</w:t>
            </w:r>
          </w:p>
        </w:tc>
        <w:tc>
          <w:tcPr>
            <w:tcW w:type="dxa" w:w="47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Y: visual_name · X: dax_ms, render_ms</w:t>
            </w:r>
          </w:p>
        </w:tc>
      </w:tr>
      <w:tr>
        <w:trPr>
          <w:cantSplit/>
        </w:trPr>
        <w:tc>
          <w:tcPr>
            <w:tcW w:type="dxa" w:w="5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3.4</w:t>
            </w:r>
          </w:p>
        </w:tc>
        <w:tc>
          <w:tcPr>
            <w:tcW w:type="dxa" w:w="20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Measure validation</w:t>
            </w:r>
          </w:p>
        </w:tc>
        <w:tc>
          <w:tcPr>
            <w:tcW w:type="dxa" w:w="14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Table</w:t>
            </w:r>
          </w:p>
        </w:tc>
        <w:tc>
          <w:tcPr>
            <w:tcW w:type="dxa" w:w="47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measure_name, expected_value, actual_value, variance, result</w:t>
            </w:r>
          </w:p>
        </w:tc>
      </w:tr>
      <w:tr>
        <w:trPr>
          <w:cantSplit/>
        </w:trPr>
        <w:tc>
          <w:tcPr>
            <w:tcW w:type="dxa" w:w="5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3.5</w:t>
            </w:r>
          </w:p>
        </w:tc>
        <w:tc>
          <w:tcPr>
            <w:tcW w:type="dxa" w:w="20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Run header</w:t>
            </w:r>
          </w:p>
        </w:tc>
        <w:tc>
          <w:tcPr>
            <w:tcW w:type="dxa" w:w="14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Card row</w:t>
            </w:r>
          </w:p>
        </w:tc>
        <w:tc>
          <w:tcPr>
            <w:tcW w:type="dxa" w:w="47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Latest Run, labs_version, notes</w:t>
            </w:r>
          </w:p>
        </w:tc>
      </w:tr>
    </w:tbl>
    <w:p>
      <w:pPr>
        <w:spacing w:after="160"/>
      </w:pPr>
    </w:p>
    <w:p>
      <w:pPr>
        <w:pStyle w:val="Heading1"/>
        <w:spacing w:after="140" w:before="300"/>
      </w:pPr>
      <w:r>
        <w:rPr>
          <w:rFonts w:ascii="Times New Roman" w:cs="Times New Roman" w:eastAsia="Times New Roman" w:hAnsi="Times New Roman"/>
          <w:b/>
          <w:bCs/>
          <w:color w:val="1F3864"/>
          <w:sz w:val="30"/>
          <w:szCs w:val="30"/>
        </w:rPr>
        <w:t xml:space="preserve">9. Cross-page conventions</w:t>
      </w:r>
    </w:p>
    <w:p>
      <w:pPr>
        <w:pStyle w:val="ListParagraph"/>
        <w:numPr>
          <w:ilvl w:val="0"/>
          <w:numId w:val="7"/>
        </w:numPr>
        <w:spacing w:after="70"/>
      </w:pPr>
      <w:r>
        <w:rPr>
          <w:rFonts w:ascii="Times New Roman" w:cs="Times New Roman" w:eastAsia="Times New Roman" w:hAnsi="Times New Roman"/>
          <w:sz w:val="22"/>
          <w:szCs w:val="22"/>
        </w:rPr>
        <w:t xml:space="preserve">Sync the run slicer across all three pages so the whole dashboard reflects one evaluation run.</w:t>
      </w:r>
    </w:p>
    <w:p>
      <w:pPr>
        <w:pStyle w:val="ListParagraph"/>
        <w:numPr>
          <w:ilvl w:val="0"/>
          <w:numId w:val="7"/>
        </w:numPr>
        <w:spacing w:after="70"/>
      </w:pPr>
      <w:r>
        <w:rPr>
          <w:rFonts w:ascii="Times New Roman" w:cs="Times New Roman" w:eastAsia="Times New Roman" w:hAnsi="Times New Roman"/>
          <w:sz w:val="22"/>
          <w:szCs w:val="22"/>
        </w:rPr>
        <w:t xml:space="preserve">Add a reset-filters bookmark button in the header band, matching the main report's pattern.</w:t>
      </w:r>
    </w:p>
    <w:p>
      <w:pPr>
        <w:pStyle w:val="ListParagraph"/>
        <w:numPr>
          <w:ilvl w:val="0"/>
          <w:numId w:val="7"/>
        </w:numPr>
        <w:spacing w:after="70"/>
      </w:pPr>
      <w:r>
        <w:rPr>
          <w:rFonts w:ascii="Times New Roman" w:cs="Times New Roman" w:eastAsia="Times New Roman" w:hAnsi="Times New Roman"/>
          <w:sz w:val="22"/>
          <w:szCs w:val="22"/>
        </w:rPr>
        <w:t xml:space="preserve">Default every page to the latest run. A dashboard that opens on stale data trains people not to trust it.</w:t>
      </w:r>
    </w:p>
    <w:p>
      <w:pPr>
        <w:pStyle w:val="ListParagraph"/>
        <w:numPr>
          <w:ilvl w:val="0"/>
          <w:numId w:val="7"/>
        </w:numPr>
        <w:spacing w:after="70"/>
      </w:pPr>
      <w:r>
        <w:rPr>
          <w:rFonts w:ascii="Times New Roman" w:cs="Times New Roman" w:eastAsia="Times New Roman" w:hAnsi="Times New Roman"/>
          <w:sz w:val="22"/>
          <w:szCs w:val="22"/>
        </w:rPr>
        <w:t xml:space="preserve">Use the same green / amber / red hex values as the main report — #1E7B34, #C8860A, #C0392B — so a reader moving between the two reports reads colour the same way.</w:t>
      </w:r>
    </w:p>
    <w:p>
      <w:pPr>
        <w:pStyle w:val="Heading1"/>
        <w:spacing w:after="140" w:before="300"/>
      </w:pPr>
      <w:r>
        <w:rPr>
          <w:rFonts w:ascii="Times New Roman" w:cs="Times New Roman" w:eastAsia="Times New Roman" w:hAnsi="Times New Roman"/>
          <w:b/>
          <w:bCs/>
          <w:color w:val="1F3864"/>
          <w:sz w:val="30"/>
          <w:szCs w:val="30"/>
        </w:rPr>
        <w:t xml:space="preserve">10. Where this lives and how it is presented</w:t>
      </w:r>
    </w:p>
    <w:p>
      <w:pPr>
        <w:pStyle w:val="ListParagraph"/>
        <w:numPr>
          <w:ilvl w:val="0"/>
          <w:numId w:val="7"/>
        </w:numPr>
        <w:spacing w:after="70"/>
      </w:pPr>
      <w:r>
        <w:rPr>
          <w:rFonts w:ascii="Times New Roman" w:cs="Times New Roman" w:eastAsia="Times New Roman" w:hAnsi="Times New Roman"/>
          <w:sz w:val="22"/>
          <w:szCs w:val="22"/>
        </w:rPr>
        <w:t xml:space="preserve">Build it in the Fabric workspace against the Direct Lake model, not in Desktop against an import copy. Direct Lake means new runs appear without a refresh, which is the whole point.</w:t>
      </w:r>
    </w:p>
    <w:p>
      <w:pPr>
        <w:pStyle w:val="ListParagraph"/>
        <w:numPr>
          <w:ilvl w:val="0"/>
          <w:numId w:val="7"/>
        </w:numPr>
        <w:spacing w:after="70"/>
      </w:pPr>
      <w:r>
        <w:rPr>
          <w:rFonts w:ascii="Times New Roman" w:cs="Times New Roman" w:eastAsia="Times New Roman" w:hAnsi="Times New Roman"/>
          <w:sz w:val="22"/>
          <w:szCs w:val="22"/>
        </w:rPr>
        <w:t xml:space="preserve">Commit the notebook that writes the three tables to the repo under evaluation/. The report itself is a workspace item; reference it from the README rather than trying to version the .pbix.</w:t>
      </w:r>
    </w:p>
    <w:p>
      <w:pPr>
        <w:pStyle w:val="ListParagraph"/>
        <w:numPr>
          <w:ilvl w:val="0"/>
          <w:numId w:val="7"/>
        </w:numPr>
        <w:spacing w:after="70"/>
      </w:pPr>
      <w:r>
        <w:rPr>
          <w:rFonts w:ascii="Times New Roman" w:cs="Times New Roman" w:eastAsia="Times New Roman" w:hAnsi="Times New Roman"/>
          <w:sz w:val="22"/>
          <w:szCs w:val="22"/>
        </w:rPr>
        <w:t xml:space="preserve">In the README, describe it in one sentence and link a screenshot: an evaluation dashboard that audits this project's own semantic model and report against its written specification, refreshed on every run.</w:t>
      </w:r>
    </w:p>
    <w:p>
      <w:pPr>
        <w:spacing w:after="120"/>
      </w:pPr>
      <w:r>
        <w:rPr>
          <w:rFonts w:ascii="Times New Roman" w:cs="Times New Roman" w:eastAsia="Times New Roman" w:hAnsi="Times New Roman"/>
          <w:b/>
          <w:bCs/>
          <w:sz w:val="22"/>
          <w:szCs w:val="22"/>
        </w:rPr>
        <w:t xml:space="preserve">Do not present the generated ModelBPA report as this deliverable. </w:t>
      </w:r>
      <w:r>
        <w:rPr>
          <w:rFonts w:ascii="Times New Roman" w:cs="Times New Roman" w:eastAsia="Times New Roman" w:hAnsi="Times New Roman"/>
          <w:sz w:val="22"/>
          <w:szCs w:val="22"/>
        </w:rPr>
        <w:t xml:space="preserve">Keep it — it is a useful cross-check — but the thing you show is the three custom pages built on tables you wrote.</w:t>
      </w:r>
    </w:p>
    <w:p>
      <w:pPr>
        <w:pStyle w:val="Heading1"/>
        <w:spacing w:after="140" w:before="300"/>
      </w:pPr>
      <w:r>
        <w:rPr>
          <w:rFonts w:ascii="Times New Roman" w:cs="Times New Roman" w:eastAsia="Times New Roman" w:hAnsi="Times New Roman"/>
          <w:b/>
          <w:bCs/>
          <w:color w:val="1F3864"/>
          <w:sz w:val="30"/>
          <w:szCs w:val="30"/>
        </w:rPr>
        <w:t xml:space="preserve">11. When something does not work</w:t>
      </w:r>
    </w:p>
    <w:p>
      <w:pPr>
        <w:spacing w:after="100"/>
      </w:pPr>
      <w:r>
        <w:rPr>
          <w:rFonts w:ascii="Times New Roman" w:cs="Times New Roman" w:eastAsia="Times New Roman" w:hAnsi="Times New Roman"/>
          <w:sz w:val="22"/>
          <w:szCs w:val="22"/>
        </w:rPr>
        <w:t xml:space="preserve">The failures a first-time Fabric user actually hits, in rough order of likelihood.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200"/>
      </w:tblGrid>
      <w:tr>
        <w:trPr>
          <w:tblHeader/>
        </w:trPr>
        <w:tc>
          <w:tcPr>
            <w:tcW w:type="dxa" w:w="28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Symptom</w:t>
            </w:r>
          </w:p>
        </w:tc>
        <w:tc>
          <w:tcPr>
            <w:tcW w:type="dxa" w:w="29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Cause</w:t>
            </w:r>
          </w:p>
        </w:tc>
        <w:tc>
          <w:tcPr>
            <w:tcW w:type="dxa" w:w="32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Fix</w:t>
            </w:r>
          </w:p>
        </w:tc>
      </w:tr>
      <w:tr>
        <w:trPr>
          <w:cantSplit/>
        </w:trPr>
        <w:tc>
          <w:tcPr>
            <w:tcW w:type="dxa" w:w="28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Lakehouse is missing from the New menu</w:t>
            </w:r>
          </w:p>
        </w:tc>
        <w:tc>
          <w:tcPr>
            <w:tcW w:type="dxa" w:w="29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Workspace is on a Pro licence, not Fabric capacity</w:t>
            </w:r>
          </w:p>
        </w:tc>
        <w:tc>
          <w:tcPr>
            <w:tcW w:type="dxa" w:w="32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Workspace settings → License mode → Fabric capacity</w:t>
            </w:r>
          </w:p>
        </w:tc>
      </w:tr>
      <w:tr>
        <w:trPr>
          <w:cantSplit/>
        </w:trPr>
        <w:tc>
          <w:tcPr>
            <w:tcW w:type="dxa" w:w="28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Export runs cleanly but no table appears</w:t>
            </w:r>
          </w:p>
        </w:tc>
        <w:tc>
          <w:tcPr>
            <w:tcW w:type="dxa" w:w="29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No default lakehouse attached, or the explorer is showing a cached list</w:t>
            </w:r>
          </w:p>
        </w:tc>
        <w:tc>
          <w:tcPr>
            <w:tcW w:type="dxa" w:w="32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Attach the lakehouse; then click the … beside Tables → Refresh</w:t>
            </w:r>
          </w:p>
        </w:tc>
      </w:tr>
      <w:tr>
        <w:trPr>
          <w:cantSplit/>
        </w:trPr>
        <w:tc>
          <w:tcPr>
            <w:tcW w:type="dxa" w:w="28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The first cell takes minutes</w:t>
            </w:r>
          </w:p>
        </w:tc>
        <w:tc>
          <w:tcPr>
            <w:tcW w:type="dxa" w:w="29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Spark session cold start</w:t>
            </w:r>
          </w:p>
        </w:tc>
        <w:tc>
          <w:tcPr>
            <w:tcW w:type="dxa" w:w="32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Normal. Leave the session running while you work rather than closing between cells</w:t>
            </w:r>
          </w:p>
        </w:tc>
      </w:tr>
      <w:tr>
        <w:trPr>
          <w:cantSplit/>
        </w:trPr>
        <w:tc>
          <w:tcPr>
            <w:tcW w:type="dxa" w:w="28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ModuleNotFoundError: sempy_labs</w:t>
            </w:r>
          </w:p>
        </w:tc>
        <w:tc>
          <w:tcPr>
            <w:tcW w:type="dxa" w:w="29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%pip ran after the imports, or the session restarted since</w:t>
            </w:r>
          </w:p>
        </w:tc>
        <w:tc>
          <w:tcPr>
            <w:tcW w:type="dxa" w:w="32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Keep %pip in the first cell and re-run it after any restart</w:t>
            </w:r>
          </w:p>
        </w:tc>
      </w:tr>
      <w:tr>
        <w:trPr>
          <w:cantSplit/>
        </w:trPr>
        <w:tc>
          <w:tcPr>
            <w:tcW w:type="dxa" w:w="28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Table not found in Spark SQL</w:t>
            </w:r>
          </w:p>
        </w:tc>
        <w:tc>
          <w:tcPr>
            <w:tcW w:type="dxa" w:w="29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Spark table names are lower-case</w:t>
            </w:r>
          </w:p>
        </w:tc>
        <w:tc>
          <w:tcPr>
            <w:tcW w:type="dxa" w:w="32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Use lower-case names throughout — evaluation_runs, not Evaluation_Runs</w:t>
            </w:r>
          </w:p>
        </w:tc>
      </w:tr>
      <w:tr>
        <w:trPr>
          <w:cantSplit/>
        </w:trPr>
        <w:tc>
          <w:tcPr>
            <w:tcW w:type="dxa" w:w="28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createDataFrame fails on a timestamp</w:t>
            </w:r>
          </w:p>
        </w:tc>
        <w:tc>
          <w:tcPr>
            <w:tcW w:type="dxa" w:w="29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Spark cannot infer the type from a pandas datetime</w:t>
            </w:r>
          </w:p>
        </w:tc>
        <w:tc>
          <w:tcPr>
            <w:tcW w:type="dxa" w:w="32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Cast explicitly, or define the schema when creating the DataFrame</w:t>
            </w:r>
          </w:p>
        </w:tc>
      </w:tr>
      <w:tr>
        <w:trPr>
          <w:cantSplit/>
        </w:trPr>
        <w:tc>
          <w:tcPr>
            <w:tcW w:type="dxa" w:w="28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A report-layer function errors</w:t>
            </w:r>
          </w:p>
        </w:tc>
        <w:tc>
          <w:tcPr>
            <w:tcW w:type="dxa" w:w="29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The report is not in PBIR format, or the property is not exposed in preview</w:t>
            </w:r>
          </w:p>
        </w:tc>
        <w:tc>
          <w:tcPr>
            <w:tcW w:type="dxa" w:w="32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Confirm the .pbip uses PBIR folders; otherwise read the page JSON directly</w:t>
            </w:r>
          </w:p>
        </w:tc>
      </w:tr>
      <w:tr>
        <w:trPr>
          <w:cantSplit/>
        </w:trPr>
        <w:tc>
          <w:tcPr>
            <w:tcW w:type="dxa" w:w="28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Dashboard shows no new rows</w:t>
            </w:r>
          </w:p>
        </w:tc>
        <w:tc>
          <w:tcPr>
            <w:tcW w:type="dxa" w:w="29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Direct Lake framing has not picked up the new files</w:t>
            </w:r>
          </w:p>
        </w:tc>
        <w:tc>
          <w:tcPr>
            <w:tcW w:type="dxa" w:w="32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Open the semantic model and refresh once; it should then self-maintain</w:t>
            </w:r>
          </w:p>
        </w:tc>
      </w:tr>
      <w:tr>
        <w:trPr>
          <w:cantSplit/>
        </w:trPr>
        <w:tc>
          <w:tcPr>
            <w:tcW w:type="dxa" w:w="28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Everything disappeared</w:t>
            </w:r>
          </w:p>
        </w:tc>
        <w:tc>
          <w:tcPr>
            <w:tcW w:type="dxa" w:w="29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Trial capacity expired and the grace period passed</w:t>
            </w:r>
          </w:p>
        </w:tc>
        <w:tc>
          <w:tcPr>
            <w:tcW w:type="dxa" w:w="32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Non-Power BI items are removed. Reassign to an F capacity within seven days of expiry to avoid this</w:t>
            </w:r>
          </w:p>
        </w:tc>
      </w:tr>
    </w:tbl>
    <w:p>
      <w:pPr>
        <w:spacing w:after="160"/>
      </w:pPr>
    </w:p>
    <w:p>
      <w:pPr>
        <w:spacing w:after="120"/>
      </w:pPr>
      <w:r>
        <w:rPr>
          <w:rFonts w:ascii="Times New Roman" w:cs="Times New Roman" w:eastAsia="Times New Roman" w:hAnsi="Times New Roman"/>
          <w:b/>
          <w:bCs/>
          <w:sz w:val="22"/>
          <w:szCs w:val="22"/>
        </w:rPr>
        <w:t xml:space="preserve">General rule: </w:t>
      </w:r>
      <w:r>
        <w:rPr>
          <w:rFonts w:ascii="Times New Roman" w:cs="Times New Roman" w:eastAsia="Times New Roman" w:hAnsi="Times New Roman"/>
          <w:sz w:val="22"/>
          <w:szCs w:val="22"/>
        </w:rPr>
        <w:t xml:space="preserve">before writing code against any DataFrame the library returns, display it once and look at the actual column names. They vary between versions, and every example in this document is illustrative rather than guaranteed.</w:t>
      </w:r>
    </w:p>
    <w:p>
      <w:pPr>
        <w:pStyle w:val="Heading1"/>
        <w:spacing w:after="140" w:before="300"/>
      </w:pPr>
      <w:r>
        <w:rPr>
          <w:rFonts w:ascii="Times New Roman" w:cs="Times New Roman" w:eastAsia="Times New Roman" w:hAnsi="Times New Roman"/>
          <w:b/>
          <w:bCs/>
          <w:color w:val="1F3864"/>
          <w:sz w:val="30"/>
          <w:szCs w:val="30"/>
        </w:rPr>
        <w:t xml:space="preserve">12. Build timeline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1400"/>
      </w:tblGrid>
      <w:tr>
        <w:trPr>
          <w:tblHeader/>
        </w:trPr>
        <w:tc>
          <w:tcPr>
            <w:tcW w:type="dxa" w:w="8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Step</w:t>
            </w:r>
          </w:p>
        </w:tc>
        <w:tc>
          <w:tcPr>
            <w:tcW w:type="dxa" w:w="60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Activity</w:t>
            </w:r>
          </w:p>
        </w:tc>
        <w:tc>
          <w:tcPr>
            <w:tcW w:type="dxa" w:w="1400"/>
            <w:shd w:fill="1F3864" w:color="auto" w:val="clear"/>
            <w:tcMar>
              <w:top w:type="dxa" w:w="65"/>
              <w:left w:type="dxa" w:w="95"/>
              <w:bottom w:type="dxa" w:w="65"/>
              <w:right w:type="dxa" w:w="95"/>
            </w:tcMar>
          </w:tcPr>
          <w:p>
            <w:pPr>
              <w:spacing w:after="0"/>
            </w:pPr>
            <w:r>
              <w:rPr>
                <w:rFonts w:ascii="Times New Roman" w:cs="Times New Roman" w:eastAsia="Times New Roman" w:hAnsi="Times New Roman"/>
                <w:b/>
                <w:bCs/>
                <w:color w:val="FFFFFF"/>
                <w:sz w:val="18"/>
                <w:szCs w:val="18"/>
              </w:rPr>
              <w:t xml:space="preserve">Time</w:t>
            </w:r>
          </w:p>
        </w:tc>
      </w:tr>
      <w:tr>
        <w:trPr>
          <w:cantSplit/>
        </w:trPr>
        <w:tc>
          <w:tcPr>
            <w:tcW w:type="dxa" w:w="8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w:t>
            </w:r>
          </w:p>
        </w:tc>
        <w:tc>
          <w:tcPr>
            <w:tcW w:type="dxa" w:w="60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First-time Fabric setup (section 3, once only)</w:t>
            </w:r>
          </w:p>
        </w:tc>
        <w:tc>
          <w:tcPr>
            <w:tcW w:type="dxa" w:w="14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0:25</w:t>
            </w:r>
          </w:p>
        </w:tc>
      </w:tr>
      <w:tr>
        <w:trPr>
          <w:cantSplit/>
        </w:trPr>
        <w:tc>
          <w:tcPr>
            <w:tcW w:type="dxa" w:w="8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A</w:t>
            </w:r>
          </w:p>
        </w:tc>
        <w:tc>
          <w:tcPr>
            <w:tcW w:type="dxa" w:w="60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Generate the stock BPA model and report (3 calls)</w:t>
            </w:r>
          </w:p>
        </w:tc>
        <w:tc>
          <w:tcPr>
            <w:tcW w:type="dxa" w:w="14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0:05</w:t>
            </w:r>
          </w:p>
        </w:tc>
      </w:tr>
      <w:tr>
        <w:trPr>
          <w:cantSplit/>
        </w:trPr>
        <w:tc>
          <w:tcPr>
            <w:tcW w:type="dxa" w:w="8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B</w:t>
            </w:r>
          </w:p>
        </w:tc>
        <w:tc>
          <w:tcPr>
            <w:tcW w:type="dxa" w:w="60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Write the three supporting tables in the notebook</w:t>
            </w:r>
          </w:p>
        </w:tc>
        <w:tc>
          <w:tcPr>
            <w:tcW w:type="dxa" w:w="14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0:30</w:t>
            </w:r>
          </w:p>
        </w:tc>
      </w:tr>
      <w:tr>
        <w:trPr>
          <w:cantSplit/>
        </w:trPr>
        <w:tc>
          <w:tcPr>
            <w:tcW w:type="dxa" w:w="8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C</w:t>
            </w:r>
          </w:p>
        </w:tc>
        <w:tc>
          <w:tcPr>
            <w:tcW w:type="dxa" w:w="60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Build the data model and measures</w:t>
            </w:r>
          </w:p>
        </w:tc>
        <w:tc>
          <w:tcPr>
            <w:tcW w:type="dxa" w:w="14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0:15</w:t>
            </w:r>
          </w:p>
        </w:tc>
      </w:tr>
      <w:tr>
        <w:trPr>
          <w:cantSplit/>
        </w:trPr>
        <w:tc>
          <w:tcPr>
            <w:tcW w:type="dxa" w:w="8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D</w:t>
            </w:r>
          </w:p>
        </w:tc>
        <w:tc>
          <w:tcPr>
            <w:tcW w:type="dxa" w:w="60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Page 1 — Evaluation Scorecard</w:t>
            </w:r>
          </w:p>
        </w:tc>
        <w:tc>
          <w:tcPr>
            <w:tcW w:type="dxa" w:w="14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0:20</w:t>
            </w:r>
          </w:p>
        </w:tc>
      </w:tr>
      <w:tr>
        <w:trPr>
          <w:cantSplit/>
        </w:trPr>
        <w:tc>
          <w:tcPr>
            <w:tcW w:type="dxa" w:w="8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E</w:t>
            </w:r>
          </w:p>
        </w:tc>
        <w:tc>
          <w:tcPr>
            <w:tcW w:type="dxa" w:w="60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Pages 2 and 3</w:t>
            </w:r>
          </w:p>
        </w:tc>
        <w:tc>
          <w:tcPr>
            <w:tcW w:type="dxa" w:w="14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0:25</w:t>
            </w:r>
          </w:p>
        </w:tc>
      </w:tr>
      <w:tr>
        <w:trPr>
          <w:cantSplit/>
        </w:trPr>
        <w:tc>
          <w:tcPr>
            <w:tcW w:type="dxa" w:w="8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F</w:t>
            </w:r>
          </w:p>
        </w:tc>
        <w:tc>
          <w:tcPr>
            <w:tcW w:type="dxa" w:w="60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Theme, sync slicers, bookmark, defaults</w:t>
            </w:r>
          </w:p>
        </w:tc>
        <w:tc>
          <w:tcPr>
            <w:tcW w:type="dxa" w:w="1400"/>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0:10</w:t>
            </w:r>
          </w:p>
        </w:tc>
      </w:tr>
      <w:tr>
        <w:trPr>
          <w:cantSplit/>
        </w:trPr>
        <w:tc>
          <w:tcPr>
            <w:tcW w:type="dxa" w:w="8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
            </w:r>
          </w:p>
        </w:tc>
        <w:tc>
          <w:tcPr>
            <w:tcW w:type="dxa" w:w="60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Total</w:t>
            </w:r>
          </w:p>
        </w:tc>
        <w:tc>
          <w:tcPr>
            <w:tcW w:type="dxa" w:w="1400"/>
            <w:shd w:fill="F2F4F8" w:color="auto" w:val="clear"/>
            <w:tcMar>
              <w:top w:type="dxa" w:w="65"/>
              <w:left w:type="dxa" w:w="95"/>
              <w:bottom w:type="dxa" w:w="65"/>
              <w:right w:type="dxa" w:w="95"/>
            </w:tcMar>
          </w:tcPr>
          <w:p>
            <w:pPr>
              <w:spacing w:after="0"/>
            </w:pPr>
            <w:r>
              <w:rPr>
                <w:rFonts w:ascii="Times New Roman" w:cs="Times New Roman" w:eastAsia="Times New Roman" w:hAnsi="Times New Roman"/>
                <w:b w:val="false"/>
                <w:bCs w:val="false"/>
                <w:sz w:val="18"/>
                <w:szCs w:val="18"/>
              </w:rPr>
              <w:t xml:space="preserve">1:45</w:t>
            </w:r>
          </w:p>
        </w:tc>
      </w:tr>
    </w:tbl>
    <w:p>
      <w:pPr>
        <w:spacing w:after="160"/>
      </w:pPr>
    </w:p>
    <w:p>
      <w:pPr>
        <w:spacing w:after="120"/>
      </w:pPr>
      <w:r>
        <w:rPr>
          <w:rFonts w:ascii="Times New Roman" w:cs="Times New Roman" w:eastAsia="Times New Roman" w:hAnsi="Times New Roman"/>
          <w:b/>
          <w:bCs/>
          <w:sz w:val="22"/>
          <w:szCs w:val="22"/>
        </w:rPr>
        <w:t xml:space="preserve">If time is short, </w:t>
      </w:r>
      <w:r>
        <w:rPr>
          <w:rFonts w:ascii="Times New Roman" w:cs="Times New Roman" w:eastAsia="Times New Roman" w:hAnsi="Times New Roman"/>
          <w:sz w:val="22"/>
          <w:szCs w:val="22"/>
        </w:rPr>
        <w:t xml:space="preserve">build Page 1 only. The KPI row and the findings-over-time line carry almost all of the argument; Pages 2 and 3 are supporting evidence and can follow later.</w:t>
      </w:r>
    </w:p>
    <w:p>
      <w:pPr>
        <w:pStyle w:val="Heading1"/>
        <w:spacing w:after="140" w:before="300"/>
      </w:pPr>
      <w:r>
        <w:rPr>
          <w:rFonts w:ascii="Times New Roman" w:cs="Times New Roman" w:eastAsia="Times New Roman" w:hAnsi="Times New Roman"/>
          <w:b/>
          <w:bCs/>
          <w:color w:val="1F3864"/>
          <w:sz w:val="30"/>
          <w:szCs w:val="30"/>
        </w:rPr>
        <w:t xml:space="preserve">13. Sources</w:t>
      </w:r>
    </w:p>
    <w:p>
      <w:pPr>
        <w:pStyle w:val="ListParagraph"/>
        <w:numPr>
          <w:ilvl w:val="0"/>
          <w:numId w:val="7"/>
        </w:numPr>
        <w:spacing w:after="70"/>
      </w:pPr>
      <w:r>
        <w:rPr>
          <w:rFonts w:ascii="Times New Roman" w:cs="Times New Roman" w:eastAsia="Times New Roman" w:hAnsi="Times New Roman"/>
          <w:sz w:val="22"/>
          <w:szCs w:val="22"/>
        </w:rPr>
        <w:t xml:space="preserve">semantic-link-labs — Best Practice Analyzer Report notebook (github.com/microsoft/semantic-link-labs/blob/main/notebooks)</w:t>
      </w:r>
    </w:p>
    <w:p>
      <w:pPr>
        <w:pStyle w:val="ListParagraph"/>
        <w:numPr>
          <w:ilvl w:val="0"/>
          <w:numId w:val="7"/>
        </w:numPr>
        <w:spacing w:after="70"/>
      </w:pPr>
      <w:r>
        <w:rPr>
          <w:rFonts w:ascii="Times New Roman" w:cs="Times New Roman" w:eastAsia="Times New Roman" w:hAnsi="Times New Roman"/>
          <w:sz w:val="22"/>
          <w:szCs w:val="22"/>
        </w:rPr>
        <w:t xml:space="preserve">sempy_labs function reference — create_model_bpa_semantic_model, run_model_bpa_bulk (semantic-link-labs.readthedocs.io)</w:t>
      </w:r>
    </w:p>
    <w:p>
      <w:pPr>
        <w:pStyle w:val="ListParagraph"/>
        <w:numPr>
          <w:ilvl w:val="0"/>
          <w:numId w:val="7"/>
        </w:numPr>
        <w:spacing w:after="70"/>
      </w:pPr>
      <w:r>
        <w:rPr>
          <w:rFonts w:ascii="Times New Roman" w:cs="Times New Roman" w:eastAsia="Times New Roman" w:hAnsi="Times New Roman"/>
          <w:sz w:val="22"/>
          <w:szCs w:val="22"/>
        </w:rPr>
        <w:t xml:space="preserve">Fabric trial capacity — duration, extension and expiry behaviour (learn.microsoft.com/fabric/fundamentals/fabric-trial)</w:t>
      </w:r>
    </w:p>
    <w:p>
      <w:pPr>
        <w:pStyle w:val="ListParagraph"/>
        <w:numPr>
          <w:ilvl w:val="0"/>
          <w:numId w:val="7"/>
        </w:numPr>
        <w:spacing w:after="70"/>
      </w:pPr>
      <w:r>
        <w:rPr>
          <w:rFonts w:ascii="Times New Roman" w:cs="Times New Roman" w:eastAsia="Times New Roman" w:hAnsi="Times New Roman"/>
          <w:sz w:val="22"/>
          <w:szCs w:val="22"/>
        </w:rPr>
        <w:t xml:space="preserve">Document 22 §6 Phase 7 and §7 conformance scorecard; document 21 validation figures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4"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5"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6"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7"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8"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9"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0"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1"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2"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3"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4"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5"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6"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7"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abstractNum w:abstractNumId="18" w15:restartNumberingAfterBreak="0">
    <w:multiLevelType w:val="hybridMultilevel"/>
    <w:lvl w:ilvl="0" w15:tentative="1">
      <w:start w:val="1"/>
      <w:numFmt w:val="decimal"/>
      <w:lvlText w:val="%1."/>
      <w:lvlJc w:val="left"/>
      <w:pPr>
        <w:ind w:left="400" w:hanging="24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Dashboard — Build Specification</dc:title>
  <dc:creator>Evelyn Livant</dc:creator>
  <cp:lastModifiedBy>Un-named</cp:lastModifiedBy>
  <cp:revision>1</cp:revision>
  <dcterms:created xsi:type="dcterms:W3CDTF">2026-07-31T06:02:50.732Z</dcterms:created>
  <dcterms:modified xsi:type="dcterms:W3CDTF">2026-07-31T06:02:50.732Z</dcterms:modified>
</cp:coreProperties>
</file>

<file path=docProps/custom.xml><?xml version="1.0" encoding="utf-8"?>
<Properties xmlns="http://schemas.openxmlformats.org/officeDocument/2006/custom-properties" xmlns:vt="http://schemas.openxmlformats.org/officeDocument/2006/docPropsVTypes"/>
</file>