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6"/>
        </w:pBdr>
        <w:spacing w:after="60"/>
      </w:pPr>
      <w:r>
        <w:rPr>
          <w:rFonts w:ascii="Times New Roman" w:cs="Times New Roman" w:eastAsia="Times New Roman" w:hAnsi="Times New Roman"/>
          <w:b/>
          <w:bCs/>
          <w:color w:val="1F3864"/>
          <w:sz w:val="34"/>
          <w:szCs w:val="34"/>
        </w:rPr>
        <w:t xml:space="preserve">Model Evaluation &amp; Remediation Report</w:t>
      </w:r>
    </w:p>
    <w:p>
      <w:pPr>
        <w:spacing w:after="120"/>
      </w:pPr>
      <w:r>
        <w:rPr>
          <w:rFonts w:ascii="Times New Roman" w:cs="Times New Roman" w:eastAsia="Times New Roman" w:hAnsi="Times New Roman"/>
          <w:color w:val="555555"/>
          <w:sz w:val="22"/>
          <w:szCs w:val="22"/>
        </w:rPr>
        <w:t xml:space="preserve">Retail Sales Analysis &amp; Forecasting Dashboard  ·  Superstore Portfolio Project</w:t>
      </w:r>
    </w:p>
    <w:p>
      <w:pPr>
        <w:spacing w:after="240"/>
      </w:pPr>
      <w:r>
        <w:rPr>
          <w:rFonts w:ascii="Times New Roman" w:cs="Times New Roman" w:eastAsia="Times New Roman" w:hAnsi="Times New Roman"/>
          <w:color w:val="555555"/>
          <w:sz w:val="20"/>
          <w:szCs w:val="20"/>
        </w:rPr>
        <w:t xml:space="preserve">Project ID: PBI-RETAIL-001  ·  Model: Retail_Sales_Forecasting  ·  Evaluated 30 July 2026  ·  Prepared for Evy</w:t>
      </w:r>
    </w:p>
    <w:p>
      <w:pPr>
        <w:pStyle w:val="Heading1"/>
        <w:spacing w:after="140" w:before="280"/>
      </w:pPr>
      <w:r>
        <w:rPr>
          <w:rFonts w:ascii="Times New Roman" w:cs="Times New Roman" w:eastAsia="Times New Roman" w:hAnsi="Times New Roman"/>
          <w:b/>
          <w:bCs/>
          <w:color w:val="1F3864"/>
          <w:sz w:val="30"/>
          <w:szCs w:val="30"/>
        </w:rPr>
        <w:t xml:space="preserve">1. Summary</w:t>
      </w:r>
    </w:p>
    <w:p>
      <w:pPr>
        <w:spacing w:after="120"/>
      </w:pPr>
      <w:r>
        <w:rPr>
          <w:rFonts w:ascii="Times New Roman" w:cs="Times New Roman" w:eastAsia="Times New Roman" w:hAnsi="Times New Roman"/>
          <w:sz w:val="22"/>
          <w:szCs w:val="22"/>
        </w:rPr>
        <w:t xml:space="preserve">The semantic model was inspected live over a Power BI Desktop connection and evaluated against documents 01 (Project Plan), 15 (Development Guide) and 20 (Data Dictionary). The structural build passes in full: the star schema, relationship set, measure catalogue and every data-validation total match specification exactly.</w:t>
      </w:r>
    </w:p>
    <w:p>
      <w:pPr>
        <w:spacing w:after="120"/>
      </w:pPr>
      <w:r>
        <w:rPr>
          <w:rFonts w:ascii="Times New Roman" w:cs="Times New Roman" w:eastAsia="Times New Roman" w:hAnsi="Times New Roman"/>
          <w:sz w:val="22"/>
          <w:szCs w:val="22"/>
        </w:rPr>
        <w:t xml:space="preserve">Nine defects were found — none structural. Eight sat in the presentation layer (format strings never applied, two fact date columns left visible) plus one broken measure. All nine have been corrected in the live model and verified by query. A further four discrepancies turned out to be errors in the documentation rather than the model; those documents have been corrected.</w:t>
      </w:r>
    </w:p>
    <w:p>
      <w:pPr>
        <w:spacing w:after="120"/>
      </w:pPr>
      <w:r>
        <w:rPr>
          <w:rFonts w:ascii="Times New Roman" w:cs="Times New Roman" w:eastAsia="Times New Roman" w:hAnsi="Times New Roman"/>
          <w:b/>
          <w:bCs/>
          <w:sz w:val="22"/>
          <w:szCs w:val="22"/>
        </w:rPr>
        <w:t xml:space="preserve">Verdict: the model now meets the criteria as laid out.</w:t>
      </w:r>
    </w:p>
    <w:p>
      <w:pPr>
        <w:pStyle w:val="Heading1"/>
        <w:spacing w:after="140" w:before="280"/>
      </w:pPr>
      <w:r>
        <w:rPr>
          <w:rFonts w:ascii="Times New Roman" w:cs="Times New Roman" w:eastAsia="Times New Roman" w:hAnsi="Times New Roman"/>
          <w:b/>
          <w:bCs/>
          <w:color w:val="1F3864"/>
          <w:sz w:val="30"/>
          <w:szCs w:val="30"/>
        </w:rPr>
        <w:t xml:space="preserve">2. What passed on first inspection</w:t>
      </w:r>
    </w:p>
    <w:p>
      <w:pPr>
        <w:pStyle w:val="ListParagraph"/>
        <w:numPr>
          <w:ilvl w:val="0"/>
          <w:numId w:val="2"/>
        </w:numPr>
        <w:spacing w:after="80"/>
      </w:pPr>
      <w:r>
        <w:rPr>
          <w:rFonts w:ascii="Times New Roman" w:cs="Times New Roman" w:eastAsia="Times New Roman" w:hAnsi="Times New Roman"/>
          <w:sz w:val="22"/>
          <w:szCs w:val="22"/>
        </w:rPr>
        <w:t xml:space="preserve">All eight tables present and correctly named; _Measures is a proper measure group.</w:t>
      </w:r>
    </w:p>
    <w:p>
      <w:pPr>
        <w:pStyle w:val="ListParagraph"/>
        <w:numPr>
          <w:ilvl w:val="0"/>
          <w:numId w:val="2"/>
        </w:numPr>
        <w:spacing w:after="80"/>
      </w:pPr>
      <w:r>
        <w:rPr>
          <w:rFonts w:ascii="Times New Roman" w:cs="Times New Roman" w:eastAsia="Times New Roman" w:hAnsi="Times New Roman"/>
          <w:sz w:val="22"/>
          <w:szCs w:val="22"/>
        </w:rPr>
        <w:t xml:space="preserve">Exactly five physical relationships, every one many-to-one and single-direction, matching the specification. SalesQuota[Region] correctly carries no physical join — it is bridged virtually by TREATAS inside [Quota Amount].</w:t>
      </w:r>
    </w:p>
    <w:p>
      <w:pPr>
        <w:pStyle w:val="ListParagraph"/>
        <w:numPr>
          <w:ilvl w:val="0"/>
          <w:numId w:val="2"/>
        </w:numPr>
        <w:spacing w:after="80"/>
      </w:pPr>
      <w:r>
        <w:rPr>
          <w:rFonts w:ascii="Times New Roman" w:cs="Times New Roman" w:eastAsia="Times New Roman" w:hAnsi="Times New Roman"/>
          <w:sz w:val="22"/>
          <w:szCs w:val="22"/>
        </w:rPr>
        <w:t xml:space="preserve">All primary and foreign key columns hidden from report view; SalesQuota[Region] and [MonthStart] hidden.</w:t>
      </w:r>
    </w:p>
    <w:p>
      <w:pPr>
        <w:pStyle w:val="ListParagraph"/>
        <w:numPr>
          <w:ilvl w:val="0"/>
          <w:numId w:val="2"/>
        </w:numPr>
        <w:spacing w:after="80"/>
      </w:pPr>
      <w:r>
        <w:rPr>
          <w:rFonts w:ascii="Times New Roman" w:cs="Times New Roman" w:eastAsia="Times New Roman" w:hAnsi="Times New Roman"/>
          <w:sz w:val="22"/>
          <w:szCs w:val="22"/>
        </w:rPr>
        <w:t xml:space="preserve">DimDate marked as a date table; sort-by columns set on Month Name → Month Number and Year-Month Label → YearMonth.</w:t>
      </w:r>
    </w:p>
    <w:p>
      <w:pPr>
        <w:pStyle w:val="ListParagraph"/>
        <w:numPr>
          <w:ilvl w:val="0"/>
          <w:numId w:val="2"/>
        </w:numPr>
        <w:spacing w:after="80"/>
      </w:pPr>
      <w:r>
        <w:rPr>
          <w:rFonts w:ascii="Times New Roman" w:cs="Times New Roman" w:eastAsia="Times New Roman" w:hAnsi="Times New Roman"/>
          <w:sz w:val="22"/>
          <w:szCs w:val="22"/>
        </w:rPr>
        <w:t xml:space="preserve">All catalogued measures present in the six specified display folders, with DAX matching the catalogue verbatim — 35 at the time of this audit, 34 following the removal recorded in section 8.</w:t>
      </w:r>
    </w:p>
    <w:p>
      <w:pPr>
        <w:pStyle w:val="ListParagraph"/>
        <w:numPr>
          <w:ilvl w:val="0"/>
          <w:numId w:val="2"/>
        </w:numPr>
        <w:spacing w:after="80"/>
      </w:pPr>
      <w:r>
        <w:rPr>
          <w:rFonts w:ascii="Times New Roman" w:cs="Times New Roman" w:eastAsia="Times New Roman" w:hAnsi="Times New Roman"/>
          <w:sz w:val="22"/>
          <w:szCs w:val="22"/>
        </w:rPr>
        <w:t xml:space="preserve">Quota generation logic verified against source: 2015 South quota of $114,230 equals 2014 actual sales of $103,845.84 × 1.10.</w:t>
      </w:r>
    </w:p>
    <w:p>
      <w:pPr>
        <w:spacing w:after="100"/>
      </w:pPr>
      <w:r>
        <w:rPr>
          <w:rFonts w:ascii="Times New Roman" w:cs="Times New Roman" w:eastAsia="Times New Roman" w:hAnsi="Times New Roman"/>
          <w:sz w:val="22"/>
          <w:szCs w:val="22"/>
        </w:rPr>
        <w:t xml:space="preserve">Data validation against the expected dataset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100"/>
        <w:gridCol w:w="1660"/>
      </w:tblGrid>
      <w:tr>
        <w:trPr>
          <w:tblHeader/>
        </w:trPr>
        <w:tc>
          <w:tcPr>
            <w:tcW w:type="dxa" w:w="1500"/>
            <w:shd w:fill="1F3864" w:color="auto" w:val="clear"/>
            <w:tcMar>
              <w:top w:type="dxa" w:w="80"/>
              <w:left w:type="dxa" w:w="110"/>
              <w:bottom w:type="dxa" w:w="80"/>
              <w:right w:type="dxa" w:w="110"/>
            </w:tcMar>
          </w:tcPr>
          <w:p>
            <w:pPr>
              <w:spacing w:after="0"/>
            </w:pPr>
            <w:r>
              <w:rPr>
                <w:rFonts w:ascii="Times New Roman" w:cs="Times New Roman" w:eastAsia="Times New Roman" w:hAnsi="Times New Roman"/>
                <w:b/>
                <w:bCs/>
                <w:color w:val="FFFFFF"/>
                <w:sz w:val="20"/>
                <w:szCs w:val="20"/>
              </w:rPr>
              <w:t xml:space="preserve">Check</w:t>
            </w:r>
          </w:p>
        </w:tc>
        <w:tc>
          <w:tcPr>
            <w:tcW w:type="dxa" w:w="3100"/>
            <w:shd w:fill="1F3864" w:color="auto" w:val="clear"/>
            <w:tcMar>
              <w:top w:type="dxa" w:w="80"/>
              <w:left w:type="dxa" w:w="110"/>
              <w:bottom w:type="dxa" w:w="80"/>
              <w:right w:type="dxa" w:w="110"/>
            </w:tcMar>
          </w:tcPr>
          <w:p>
            <w:pPr>
              <w:spacing w:after="0"/>
            </w:pPr>
            <w:r>
              <w:rPr>
                <w:rFonts w:ascii="Times New Roman" w:cs="Times New Roman" w:eastAsia="Times New Roman" w:hAnsi="Times New Roman"/>
                <w:b/>
                <w:bCs/>
                <w:color w:val="FFFFFF"/>
                <w:sz w:val="20"/>
                <w:szCs w:val="20"/>
              </w:rPr>
              <w:t xml:space="preserve">Expected</w:t>
            </w:r>
          </w:p>
        </w:tc>
        <w:tc>
          <w:tcPr>
            <w:tcW w:type="dxa" w:w="3100"/>
            <w:shd w:fill="1F3864" w:color="auto" w:val="clear"/>
            <w:tcMar>
              <w:top w:type="dxa" w:w="80"/>
              <w:left w:type="dxa" w:w="110"/>
              <w:bottom w:type="dxa" w:w="80"/>
              <w:right w:type="dxa" w:w="110"/>
            </w:tcMar>
          </w:tcPr>
          <w:p>
            <w:pPr>
              <w:spacing w:after="0"/>
            </w:pPr>
            <w:r>
              <w:rPr>
                <w:rFonts w:ascii="Times New Roman" w:cs="Times New Roman" w:eastAsia="Times New Roman" w:hAnsi="Times New Roman"/>
                <w:b/>
                <w:bCs/>
                <w:color w:val="FFFFFF"/>
                <w:sz w:val="20"/>
                <w:szCs w:val="20"/>
              </w:rPr>
              <w:t xml:space="preserve">Actual</w:t>
            </w:r>
          </w:p>
        </w:tc>
        <w:tc>
          <w:tcPr>
            <w:tcW w:type="dxa" w:w="1660"/>
            <w:shd w:fill="1F3864" w:color="auto" w:val="clear"/>
            <w:tcMar>
              <w:top w:type="dxa" w:w="80"/>
              <w:left w:type="dxa" w:w="110"/>
              <w:bottom w:type="dxa" w:w="80"/>
              <w:right w:type="dxa" w:w="110"/>
            </w:tcMar>
          </w:tcPr>
          <w:p>
            <w:pPr>
              <w:spacing w:after="0"/>
            </w:pPr>
            <w:r>
              <w:rPr>
                <w:rFonts w:ascii="Times New Roman" w:cs="Times New Roman" w:eastAsia="Times New Roman" w:hAnsi="Times New Roman"/>
                <w:b/>
                <w:bCs/>
                <w:color w:val="FFFFFF"/>
                <w:sz w:val="20"/>
                <w:szCs w:val="20"/>
              </w:rPr>
              <w:t xml:space="preserve">Result</w:t>
            </w:r>
          </w:p>
        </w:tc>
      </w:tr>
      <w:tr>
        <w:tc>
          <w:tcPr>
            <w:tcW w:type="dxa" w:w="15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Fact rows</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9,994</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9,994</w:t>
            </w:r>
          </w:p>
        </w:tc>
        <w:tc>
          <w:tcPr>
            <w:tcW w:type="dxa" w:w="166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Pass</w:t>
            </w:r>
          </w:p>
        </w:tc>
      </w:tr>
      <w:tr>
        <w:tc>
          <w:tcPr>
            <w:tcW w:type="dxa" w:w="15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Total Sales</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 $2,297,201</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$2,297,200.86</w:t>
            </w:r>
          </w:p>
        </w:tc>
        <w:tc>
          <w:tcPr>
            <w:tcW w:type="dxa" w:w="166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Pass</w:t>
            </w:r>
          </w:p>
        </w:tc>
      </w:tr>
      <w:tr>
        <w:tc>
          <w:tcPr>
            <w:tcW w:type="dxa" w:w="15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Total Profit</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 $286,397</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$286,397.02</w:t>
            </w:r>
          </w:p>
        </w:tc>
        <w:tc>
          <w:tcPr>
            <w:tcW w:type="dxa" w:w="166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Pass</w:t>
            </w:r>
          </w:p>
        </w:tc>
      </w:tr>
      <w:tr>
        <w:tc>
          <w:tcPr>
            <w:tcW w:type="dxa" w:w="15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Order Count</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5,009</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5,009</w:t>
            </w:r>
          </w:p>
        </w:tc>
        <w:tc>
          <w:tcPr>
            <w:tcW w:type="dxa" w:w="166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Pass</w:t>
            </w:r>
          </w:p>
        </w:tc>
      </w:tr>
      <w:tr>
        <w:tc>
          <w:tcPr>
            <w:tcW w:type="dxa" w:w="15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Active Customers</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793</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793</w:t>
            </w:r>
          </w:p>
        </w:tc>
        <w:tc>
          <w:tcPr>
            <w:tcW w:type="dxa" w:w="166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Pass</w:t>
            </w:r>
          </w:p>
        </w:tc>
      </w:tr>
      <w:tr>
        <w:tc>
          <w:tcPr>
            <w:tcW w:type="dxa" w:w="15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Avg Order Value</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 $459</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$458.61</w:t>
            </w:r>
          </w:p>
        </w:tc>
        <w:tc>
          <w:tcPr>
            <w:tcW w:type="dxa" w:w="166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Pass</w:t>
            </w:r>
          </w:p>
        </w:tc>
      </w:tr>
      <w:tr>
        <w:tc>
          <w:tcPr>
            <w:tcW w:type="dxa" w:w="15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Profit Margin %</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 12.5%</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12.47%</w:t>
            </w:r>
          </w:p>
        </w:tc>
        <w:tc>
          <w:tcPr>
            <w:tcW w:type="dxa" w:w="166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Pass</w:t>
            </w:r>
          </w:p>
        </w:tc>
      </w:tr>
      <w:tr>
        <w:tc>
          <w:tcPr>
            <w:tcW w:type="dxa" w:w="15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Sub-categories / Regions</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17 / 4</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17 / 4</w:t>
            </w:r>
          </w:p>
        </w:tc>
        <w:tc>
          <w:tcPr>
            <w:tcW w:type="dxa" w:w="166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Pass</w:t>
            </w:r>
          </w:p>
        </w:tc>
      </w:tr>
      <w:tr>
        <w:tc>
          <w:tcPr>
            <w:tcW w:type="dxa" w:w="15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DimDate rows</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1,461</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1,461</w:t>
            </w:r>
          </w:p>
        </w:tc>
        <w:tc>
          <w:tcPr>
            <w:tcW w:type="dxa" w:w="166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Pass</w:t>
            </w:r>
          </w:p>
        </w:tc>
      </w:tr>
    </w:tbl>
    <w:p>
      <w:pPr>
        <w:spacing w:after="120"/>
      </w:pPr>
      <w:r>
        <w:rPr>
          <w:rFonts w:ascii="Times New Roman" w:cs="Times New Roman" w:eastAsia="Times New Roman" w:hAnsi="Times New Roman"/>
          <w:sz w:val="22"/>
          <w:szCs w:val="22"/>
        </w:rPr>
        <w:t xml:space="preserve"/>
      </w:r>
    </w:p>
    <w:p>
      <w:pPr>
        <w:pStyle w:val="Heading1"/>
        <w:spacing w:after="140" w:before="280"/>
      </w:pPr>
      <w:r>
        <w:rPr>
          <w:rFonts w:ascii="Times New Roman" w:cs="Times New Roman" w:eastAsia="Times New Roman" w:hAnsi="Times New Roman"/>
          <w:b/>
          <w:bCs/>
          <w:color w:val="1F3864"/>
          <w:sz w:val="30"/>
          <w:szCs w:val="30"/>
        </w:rPr>
        <w:t xml:space="preserve">3. Defects found and fixed</w:t>
      </w:r>
    </w:p>
    <w:p>
      <w:pPr>
        <w:pStyle w:val="Heading2"/>
        <w:spacing w:after="140" w:before="280"/>
      </w:pPr>
      <w:r>
        <w:rPr>
          <w:rFonts w:ascii="Times New Roman" w:cs="Times New Roman" w:eastAsia="Times New Roman" w:hAnsi="Times New Roman"/>
          <w:b/>
          <w:bCs/>
          <w:color w:val="1F3864"/>
          <w:sz w:val="26"/>
          <w:szCs w:val="26"/>
        </w:rPr>
        <w:t xml:space="preserve">3.1  Broken measure (critical)</w:t>
      </w:r>
    </w:p>
    <w:p>
      <w:pPr>
        <w:spacing w:after="120"/>
      </w:pPr>
      <w:r>
        <w:rPr>
          <w:rFonts w:ascii="Times New Roman" w:cs="Times New Roman" w:eastAsia="Times New Roman" w:hAnsi="Times New Roman"/>
          <w:sz w:val="22"/>
          <w:szCs w:val="22"/>
        </w:rPr>
        <w:t xml:space="preserve">_Measures[Growth Rate] contained GENERATESERIES ( 0.00, 0.30, 0.01 ). The comment line in the measure catalogue — then document 01 §5.5, now document 15 §4.2 — describing the auto-generated what-if table had been pasted in as a measure. It threw “A table of multiple values was supplied where a single value was expected” on every evaluation.</w:t>
      </w:r>
    </w:p>
    <w:p>
      <w:pPr>
        <w:pStyle w:val="ListParagraph"/>
        <w:numPr>
          <w:ilvl w:val="0"/>
          <w:numId w:val="2"/>
        </w:numPr>
        <w:spacing w:after="80"/>
      </w:pPr>
      <w:r>
        <w:rPr>
          <w:rFonts w:ascii="Times New Roman" w:cs="Times New Roman" w:eastAsia="Times New Roman" w:hAnsi="Times New Roman"/>
          <w:b/>
          <w:bCs/>
          <w:sz w:val="22"/>
          <w:szCs w:val="22"/>
        </w:rPr>
        <w:t xml:space="preserve">Fix: </w:t>
      </w:r>
      <w:r>
        <w:rPr>
          <w:rFonts w:ascii="Times New Roman" w:cs="Times New Roman" w:eastAsia="Times New Roman" w:hAnsi="Times New Roman"/>
          <w:sz w:val="22"/>
          <w:szCs w:val="22"/>
        </w:rPr>
        <w:t xml:space="preserve">measure deleted. The 'Growth Rate' what-if table already existed separately and is unaffected.</w:t>
      </w:r>
    </w:p>
    <w:p>
      <w:pPr>
        <w:pStyle w:val="Heading2"/>
        <w:spacing w:after="140" w:before="280"/>
      </w:pPr>
      <w:r>
        <w:rPr>
          <w:rFonts w:ascii="Times New Roman" w:cs="Times New Roman" w:eastAsia="Times New Roman" w:hAnsi="Times New Roman"/>
          <w:b/>
          <w:bCs/>
          <w:color w:val="1F3864"/>
          <w:sz w:val="26"/>
          <w:szCs w:val="26"/>
        </w:rPr>
        <w:t xml:space="preserve">3.2  Format strings not applied (27 measures)</w:t>
      </w:r>
    </w:p>
    <w:p>
      <w:pPr>
        <w:spacing w:after="120"/>
      </w:pPr>
      <w:r>
        <w:rPr>
          <w:rFonts w:ascii="Times New Roman" w:cs="Times New Roman" w:eastAsia="Times New Roman" w:hAnsi="Times New Roman"/>
          <w:sz w:val="22"/>
          <w:szCs w:val="22"/>
        </w:rPr>
        <w:t xml:space="preserve">Six measures carried no format string at all and would have rendered as raw decimals on the KPI cards — Sales YoY %, Profit YoY %, Profit Margin YoY pts, Quota Attainment %, Avg Discount % and Seasonality Index. Every currency measure sat on Power BI's unbounded-decimal default rather than $#,##0; Total Sales displayed two decimal places and Profit Margin % displayed two rather than one.</w:t>
      </w:r>
    </w:p>
    <w:p>
      <w:pPr>
        <w:pStyle w:val="ListParagraph"/>
        <w:numPr>
          <w:ilvl w:val="0"/>
          <w:numId w:val="2"/>
        </w:numPr>
        <w:spacing w:after="80"/>
      </w:pPr>
      <w:r>
        <w:rPr>
          <w:rFonts w:ascii="Times New Roman" w:cs="Times New Roman" w:eastAsia="Times New Roman" w:hAnsi="Times New Roman"/>
          <w:b/>
          <w:bCs/>
          <w:sz w:val="22"/>
          <w:szCs w:val="22"/>
        </w:rPr>
        <w:t xml:space="preserve">Fix: </w:t>
      </w:r>
      <w:r>
        <w:rPr>
          <w:rFonts w:ascii="Times New Roman" w:cs="Times New Roman" w:eastAsia="Times New Roman" w:hAnsi="Times New Roman"/>
          <w:sz w:val="22"/>
          <w:szCs w:val="22"/>
        </w:rPr>
        <w:t xml:space="preserve">all 27 numeric measures set to the format strings in the document 20 catalogue. Stale PBI_FormatHint annotations reading “isGeneralNumber” were also cleared so the Desktop format dropdown cannot revert them.</w:t>
      </w:r>
    </w:p>
    <w:p>
      <w:pPr>
        <w:pStyle w:val="Heading2"/>
        <w:spacing w:after="140" w:before="280"/>
      </w:pPr>
      <w:r>
        <w:rPr>
          <w:rFonts w:ascii="Times New Roman" w:cs="Times New Roman" w:eastAsia="Times New Roman" w:hAnsi="Times New Roman"/>
          <w:b/>
          <w:bCs/>
          <w:color w:val="1F3864"/>
          <w:sz w:val="26"/>
          <w:szCs w:val="26"/>
        </w:rPr>
        <w:t xml:space="preserve">3.3  Fact date columns visible</w:t>
      </w:r>
    </w:p>
    <w:p>
      <w:pPr>
        <w:spacing w:after="120"/>
      </w:pPr>
      <w:r>
        <w:rPr>
          <w:rFonts w:ascii="Times New Roman" w:cs="Times New Roman" w:eastAsia="Times New Roman" w:hAnsi="Times New Roman"/>
          <w:sz w:val="22"/>
          <w:szCs w:val="22"/>
        </w:rPr>
        <w:t xml:space="preserve">FactSales[Order Date] and FactSales[Ship Date] were not hidden, contrary to document 15 §3.7 and the document 20 column dictionary. Report authors are meant to use DimDate.</w:t>
      </w:r>
    </w:p>
    <w:p>
      <w:pPr>
        <w:pStyle w:val="ListParagraph"/>
        <w:numPr>
          <w:ilvl w:val="0"/>
          <w:numId w:val="2"/>
        </w:numPr>
        <w:spacing w:after="80"/>
      </w:pPr>
      <w:r>
        <w:rPr>
          <w:rFonts w:ascii="Times New Roman" w:cs="Times New Roman" w:eastAsia="Times New Roman" w:hAnsi="Times New Roman"/>
          <w:b/>
          <w:bCs/>
          <w:sz w:val="22"/>
          <w:szCs w:val="22"/>
        </w:rPr>
        <w:t xml:space="preserve">Fix: </w:t>
      </w:r>
      <w:r>
        <w:rPr>
          <w:rFonts w:ascii="Times New Roman" w:cs="Times New Roman" w:eastAsia="Times New Roman" w:hAnsi="Times New Roman"/>
          <w:sz w:val="22"/>
          <w:szCs w:val="22"/>
        </w:rPr>
        <w:t xml:space="preserve">both hidden and formatted dd-MMM-yyyy.</w:t>
      </w:r>
    </w:p>
    <w:p>
      <w:pPr>
        <w:pStyle w:val="Heading2"/>
        <w:spacing w:after="140" w:before="280"/>
      </w:pPr>
      <w:r>
        <w:rPr>
          <w:rFonts w:ascii="Times New Roman" w:cs="Times New Roman" w:eastAsia="Times New Roman" w:hAnsi="Times New Roman"/>
          <w:b/>
          <w:bCs/>
          <w:color w:val="1F3864"/>
          <w:sz w:val="26"/>
          <w:szCs w:val="26"/>
        </w:rPr>
        <w:t xml:space="preserve">3.4  Column formats off specification</w:t>
      </w:r>
    </w:p>
    <w:p>
      <w:pPr>
        <w:spacing w:after="120"/>
      </w:pPr>
      <w:r>
        <w:rPr>
          <w:rFonts w:ascii="Times New Roman" w:cs="Times New Roman" w:eastAsia="Times New Roman" w:hAnsi="Times New Roman"/>
          <w:sz w:val="22"/>
          <w:szCs w:val="22"/>
        </w:rPr>
        <w:t xml:space="preserve">FactSales[Sales], FactSales[Profit] and SalesQuota[QuotaAmount] used unbounded decimals instead of $#,##0; DimDate[Date] and DimDate[MonthStart] were Short Date instead of dd-MMM-yyyy; FactSales[Quantity] lacked a thousands separator; the Growth Rate parameter column had no 0% format.</w:t>
      </w:r>
    </w:p>
    <w:p>
      <w:pPr>
        <w:pStyle w:val="ListParagraph"/>
        <w:numPr>
          <w:ilvl w:val="0"/>
          <w:numId w:val="2"/>
        </w:numPr>
        <w:spacing w:after="80"/>
      </w:pPr>
      <w:r>
        <w:rPr>
          <w:rFonts w:ascii="Times New Roman" w:cs="Times New Roman" w:eastAsia="Times New Roman" w:hAnsi="Times New Roman"/>
          <w:b/>
          <w:bCs/>
          <w:sz w:val="22"/>
          <w:szCs w:val="22"/>
        </w:rPr>
        <w:t xml:space="preserve">Fix: </w:t>
      </w:r>
      <w:r>
        <w:rPr>
          <w:rFonts w:ascii="Times New Roman" w:cs="Times New Roman" w:eastAsia="Times New Roman" w:hAnsi="Times New Roman"/>
          <w:sz w:val="22"/>
          <w:szCs w:val="22"/>
        </w:rPr>
        <w:t xml:space="preserve">all seven columns set to the catalogue formats.</w:t>
      </w:r>
    </w:p>
    <w:p>
      <w:pPr>
        <w:pStyle w:val="Heading2"/>
        <w:spacing w:after="140" w:before="280"/>
      </w:pPr>
      <w:r>
        <w:rPr>
          <w:rFonts w:ascii="Times New Roman" w:cs="Times New Roman" w:eastAsia="Times New Roman" w:hAnsi="Times New Roman"/>
          <w:b/>
          <w:bCs/>
          <w:color w:val="1F3864"/>
          <w:sz w:val="26"/>
          <w:szCs w:val="26"/>
        </w:rPr>
        <w:t xml:space="preserve">3.5  What-if parameter short one step</w:t>
      </w:r>
    </w:p>
    <w:p>
      <w:pPr>
        <w:spacing w:after="120"/>
      </w:pPr>
      <w:r>
        <w:rPr>
          <w:rFonts w:ascii="Times New Roman" w:cs="Times New Roman" w:eastAsia="Times New Roman" w:hAnsi="Times New Roman"/>
          <w:sz w:val="22"/>
          <w:szCs w:val="22"/>
        </w:rPr>
        <w:t xml:space="preserve">The Growth Rate table held 30 rows spanning 0.00–0.29 rather than the specified 31 rows through 0.30. Cause: floating-point accumulation — 0.29 + 0.01 evaluates to 0.30000000000000004, which exceeds the stated upper bound, so GENERATESERIES stops early.</w:t>
      </w:r>
    </w:p>
    <w:p>
      <w:pPr>
        <w:pStyle w:val="ListParagraph"/>
        <w:numPr>
          <w:ilvl w:val="0"/>
          <w:numId w:val="2"/>
        </w:numPr>
        <w:spacing w:after="80"/>
      </w:pPr>
      <w:r>
        <w:rPr>
          <w:rFonts w:ascii="Times New Roman" w:cs="Times New Roman" w:eastAsia="Times New Roman" w:hAnsi="Times New Roman"/>
          <w:b/>
          <w:bCs/>
          <w:sz w:val="22"/>
          <w:szCs w:val="22"/>
        </w:rPr>
        <w:t xml:space="preserve">Fix: </w:t>
      </w:r>
      <w:r>
        <w:rPr>
          <w:rFonts w:ascii="Times New Roman" w:cs="Times New Roman" w:eastAsia="Times New Roman" w:hAnsi="Times New Roman"/>
          <w:sz w:val="22"/>
          <w:szCs w:val="22"/>
        </w:rPr>
        <w:t xml:space="preserve">upper bound padded to GENERATESERIES ( 0, 0.305, 0.01 ), giving 31 rows through 0.30. The table was recalculated and verified.</w:t>
      </w:r>
    </w:p>
    <w:p>
      <w:pPr>
        <w:pStyle w:val="Heading1"/>
        <w:spacing w:after="140" w:before="280"/>
      </w:pPr>
      <w:r>
        <w:rPr>
          <w:rFonts w:ascii="Times New Roman" w:cs="Times New Roman" w:eastAsia="Times New Roman" w:hAnsi="Times New Roman"/>
          <w:b/>
          <w:bCs/>
          <w:color w:val="1F3864"/>
          <w:sz w:val="30"/>
          <w:szCs w:val="30"/>
        </w:rPr>
        <w:t xml:space="preserve">4. Documentation errors corrected</w:t>
      </w:r>
    </w:p>
    <w:p>
      <w:pPr>
        <w:spacing w:after="120"/>
      </w:pPr>
      <w:r>
        <w:rPr>
          <w:rFonts w:ascii="Times New Roman" w:cs="Times New Roman" w:eastAsia="Times New Roman" w:hAnsi="Times New Roman"/>
          <w:sz w:val="22"/>
          <w:szCs w:val="22"/>
        </w:rPr>
        <w:t xml:space="preserve">In each case below the model was correct and the document was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100"/>
        <w:gridCol w:w="1660"/>
      </w:tblGrid>
      <w:tr>
        <w:trPr>
          <w:tblHeader/>
        </w:trPr>
        <w:tc>
          <w:tcPr>
            <w:tcW w:type="dxa" w:w="1500"/>
            <w:shd w:fill="1F3864" w:color="auto" w:val="clear"/>
            <w:tcMar>
              <w:top w:type="dxa" w:w="80"/>
              <w:left w:type="dxa" w:w="110"/>
              <w:bottom w:type="dxa" w:w="80"/>
              <w:right w:type="dxa" w:w="110"/>
            </w:tcMar>
          </w:tcPr>
          <w:p>
            <w:pPr>
              <w:spacing w:after="0"/>
            </w:pPr>
            <w:r>
              <w:rPr>
                <w:rFonts w:ascii="Times New Roman" w:cs="Times New Roman" w:eastAsia="Times New Roman" w:hAnsi="Times New Roman"/>
                <w:b/>
                <w:bCs/>
                <w:color w:val="FFFFFF"/>
                <w:sz w:val="20"/>
                <w:szCs w:val="20"/>
              </w:rPr>
              <w:t xml:space="preserve">Document</w:t>
            </w:r>
          </w:p>
        </w:tc>
        <w:tc>
          <w:tcPr>
            <w:tcW w:type="dxa" w:w="3100"/>
            <w:shd w:fill="1F3864" w:color="auto" w:val="clear"/>
            <w:tcMar>
              <w:top w:type="dxa" w:w="80"/>
              <w:left w:type="dxa" w:w="110"/>
              <w:bottom w:type="dxa" w:w="80"/>
              <w:right w:type="dxa" w:w="110"/>
            </w:tcMar>
          </w:tcPr>
          <w:p>
            <w:pPr>
              <w:spacing w:after="0"/>
            </w:pPr>
            <w:r>
              <w:rPr>
                <w:rFonts w:ascii="Times New Roman" w:cs="Times New Roman" w:eastAsia="Times New Roman" w:hAnsi="Times New Roman"/>
                <w:b/>
                <w:bCs/>
                <w:color w:val="FFFFFF"/>
                <w:sz w:val="20"/>
                <w:szCs w:val="20"/>
              </w:rPr>
              <w:t xml:space="preserve">Stated</w:t>
            </w:r>
          </w:p>
        </w:tc>
        <w:tc>
          <w:tcPr>
            <w:tcW w:type="dxa" w:w="3100"/>
            <w:shd w:fill="1F3864" w:color="auto" w:val="clear"/>
            <w:tcMar>
              <w:top w:type="dxa" w:w="80"/>
              <w:left w:type="dxa" w:w="110"/>
              <w:bottom w:type="dxa" w:w="80"/>
              <w:right w:type="dxa" w:w="110"/>
            </w:tcMar>
          </w:tcPr>
          <w:p>
            <w:pPr>
              <w:spacing w:after="0"/>
            </w:pPr>
            <w:r>
              <w:rPr>
                <w:rFonts w:ascii="Times New Roman" w:cs="Times New Roman" w:eastAsia="Times New Roman" w:hAnsi="Times New Roman"/>
                <w:b/>
                <w:bCs/>
                <w:color w:val="FFFFFF"/>
                <w:sz w:val="20"/>
                <w:szCs w:val="20"/>
              </w:rPr>
              <w:t xml:space="preserve">Correct</w:t>
            </w:r>
          </w:p>
        </w:tc>
        <w:tc>
          <w:tcPr>
            <w:tcW w:type="dxa" w:w="1660"/>
            <w:shd w:fill="1F3864" w:color="auto" w:val="clear"/>
            <w:tcMar>
              <w:top w:type="dxa" w:w="80"/>
              <w:left w:type="dxa" w:w="110"/>
              <w:bottom w:type="dxa" w:w="80"/>
              <w:right w:type="dxa" w:w="110"/>
            </w:tcMar>
          </w:tcPr>
          <w:p>
            <w:pPr>
              <w:spacing w:after="0"/>
            </w:pPr>
            <w:r>
              <w:rPr>
                <w:rFonts w:ascii="Times New Roman" w:cs="Times New Roman" w:eastAsia="Times New Roman" w:hAnsi="Times New Roman"/>
                <w:b/>
                <w:bCs/>
                <w:color w:val="FFFFFF"/>
                <w:sz w:val="20"/>
                <w:szCs w:val="20"/>
              </w:rPr>
              <w:t xml:space="preserve">Action</w:t>
            </w:r>
          </w:p>
        </w:tc>
      </w:tr>
      <w:tr>
        <w:tc>
          <w:tcPr>
            <w:tcW w:type="dxa" w:w="15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01 §4.1</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SalesQuota = 192 rows (48 months × 4 regions)</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144 rows (36 months × 4 regions)</w:t>
            </w:r>
          </w:p>
        </w:tc>
        <w:tc>
          <w:tcPr>
            <w:tcW w:type="dxa" w:w="166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Corrected</w:t>
            </w:r>
          </w:p>
        </w:tc>
      </w:tr>
      <w:tr>
        <w:tc>
          <w:tcPr>
            <w:tcW w:type="dxa" w:w="15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01 §3.1</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DimDate includes IsCurrentYearFlag</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No such column in any script or the model</w:t>
            </w:r>
          </w:p>
        </w:tc>
        <w:tc>
          <w:tcPr>
            <w:tcW w:type="dxa" w:w="166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Removed</w:t>
            </w:r>
          </w:p>
        </w:tc>
      </w:tr>
      <w:tr>
        <w:tc>
          <w:tcPr>
            <w:tcW w:type="dxa" w:w="15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15 §4.2</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GENERATESERIES line shown as pasteable</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Auto-generated by the parameter dialog</w:t>
            </w:r>
          </w:p>
        </w:tc>
        <w:tc>
          <w:tcPr>
            <w:tcW w:type="dxa" w:w="166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Warning added</w:t>
            </w:r>
          </w:p>
        </w:tc>
      </w:tr>
      <w:tr>
        <w:tc>
          <w:tcPr>
            <w:tcW w:type="dxa" w:w="15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13 §1</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SalesQuota (192 rows)</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144 rows</w:t>
            </w:r>
          </w:p>
        </w:tc>
        <w:tc>
          <w:tcPr>
            <w:tcW w:type="dxa" w:w="166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Corrected</w:t>
            </w:r>
          </w:p>
        </w:tc>
      </w:tr>
      <w:tr>
        <w:tc>
          <w:tcPr>
            <w:tcW w:type="dxa" w:w="15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15 §3.5</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Verify: 192 rows</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144 rows</w:t>
            </w:r>
          </w:p>
        </w:tc>
        <w:tc>
          <w:tcPr>
            <w:tcW w:type="dxa" w:w="166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Corrected</w:t>
            </w:r>
          </w:p>
        </w:tc>
      </w:tr>
      <w:tr>
        <w:tc>
          <w:tcPr>
            <w:tcW w:type="dxa" w:w="15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15 §4.2</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05 Forecast &amp; Scenario (3 measures)</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4 measures</w:t>
            </w:r>
          </w:p>
        </w:tc>
        <w:tc>
          <w:tcPr>
            <w:tcW w:type="dxa" w:w="166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Corrected</w:t>
            </w:r>
          </w:p>
        </w:tc>
      </w:tr>
      <w:tr>
        <w:tc>
          <w:tcPr>
            <w:tcW w:type="dxa" w:w="15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20 Model Tables</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DimDate to 2018-06-30, 1,642 rows</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2017-12-31, 1,461 rows</w:t>
            </w:r>
          </w:p>
        </w:tc>
        <w:tc>
          <w:tcPr>
            <w:tcW w:type="dxa" w:w="166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Corrected</w:t>
            </w:r>
          </w:p>
        </w:tc>
      </w:tr>
      <w:tr>
        <w:tc>
          <w:tcPr>
            <w:tcW w:type="dxa" w:w="15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20 Model Tables</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_Measures: 28 measures, five folders</w:t>
            </w:r>
          </w:p>
        </w:tc>
        <w:tc>
          <w:tcPr>
            <w:tcW w:type="dxa" w:w="310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35 measures, six folders (34 after section 8)</w:t>
            </w:r>
          </w:p>
        </w:tc>
        <w:tc>
          <w:tcPr>
            <w:tcW w:type="dxa" w:w="1660"/>
            <w:shd w:fill="F2F4F8" w:color="auto" w:val="clear"/>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Corrected</w:t>
            </w:r>
          </w:p>
        </w:tc>
      </w:tr>
      <w:tr>
        <w:tc>
          <w:tcPr>
            <w:tcW w:type="dxa" w:w="15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20 Column Dict.</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CALENDAR(2014-01-01, 2018-06-30)</w:t>
            </w:r>
          </w:p>
        </w:tc>
        <w:tc>
          <w:tcPr>
            <w:tcW w:type="dxa" w:w="310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CALENDAR(2014-01-01, 2017-12-31)</w:t>
            </w:r>
          </w:p>
        </w:tc>
        <w:tc>
          <w:tcPr>
            <w:tcW w:type="dxa" w:w="1660"/>
            <w:tcMar>
              <w:top w:type="dxa" w:w="80"/>
              <w:left w:type="dxa" w:w="110"/>
              <w:bottom w:type="dxa" w:w="80"/>
              <w:right w:type="dxa" w:w="110"/>
            </w:tcMar>
          </w:tcPr>
          <w:p>
            <w:pPr>
              <w:spacing w:after="0"/>
            </w:pPr>
            <w:r>
              <w:rPr>
                <w:rFonts w:ascii="Times New Roman" w:cs="Times New Roman" w:eastAsia="Times New Roman" w:hAnsi="Times New Roman"/>
                <w:b w:val="false"/>
                <w:bCs w:val="false"/>
                <w:sz w:val="20"/>
                <w:szCs w:val="20"/>
              </w:rPr>
              <w:t xml:space="preserve">Corrected</w:t>
            </w:r>
          </w:p>
        </w:tc>
      </w:tr>
    </w:tbl>
    <w:p>
      <w:pPr>
        <w:spacing w:after="200"/>
      </w:pPr>
      <w:r>
        <w:rPr>
          <w:rFonts w:ascii="Times New Roman" w:cs="Times New Roman" w:eastAsia="Times New Roman" w:hAnsi="Times New Roman"/>
          <w:i/>
          <w:iCs/>
          <w:sz w:val="22"/>
          <w:szCs w:val="22"/>
        </w:rPr>
        <w:t xml:space="preserve">Note on the 192-row figure: 2015–2017 is 36 months, not 48. Forty-eight months would span 2014–2017, but 2014 has no prior year from which to derive a target, so it is excluded by design. The Power Query script has always produced 144 rows.</w:t>
      </w:r>
    </w:p>
    <w:p>
      <w:pPr>
        <w:spacing w:after="120"/>
      </w:pPr>
      <w:r>
        <w:rPr>
          <w:rFonts w:ascii="Times New Roman" w:cs="Times New Roman" w:eastAsia="Times New Roman" w:hAnsi="Times New Roman"/>
          <w:i/>
          <w:iCs/>
          <w:sz w:val="22"/>
          <w:szCs w:val="22"/>
        </w:rPr>
        <w:t xml:space="preserve">Note on the DimDate range: documents 01 and 15 both specify a calendar ending 2017-12-31 and the model follows them. Document 20's 2018-06-30 entry was stale — trailing empty months would drag the history line to zero, and the native forecast projects past the last date without them.</w:t>
      </w:r>
    </w:p>
    <w:p>
      <w:pPr>
        <w:pStyle w:val="Heading1"/>
        <w:spacing w:after="140" w:before="280"/>
      </w:pPr>
      <w:r>
        <w:rPr>
          <w:rFonts w:ascii="Times New Roman" w:cs="Times New Roman" w:eastAsia="Times New Roman" w:hAnsi="Times New Roman"/>
          <w:b/>
          <w:bCs/>
          <w:color w:val="1F3864"/>
          <w:sz w:val="30"/>
          <w:szCs w:val="30"/>
        </w:rPr>
        <w:t xml:space="preserve">5. Post-fix verification</w:t>
      </w:r>
    </w:p>
    <w:p>
      <w:pPr>
        <w:pStyle w:val="ListParagraph"/>
        <w:numPr>
          <w:ilvl w:val="0"/>
          <w:numId w:val="2"/>
        </w:numPr>
        <w:spacing w:after="80"/>
      </w:pPr>
      <w:r>
        <w:rPr>
          <w:rFonts w:ascii="Times New Roman" w:cs="Times New Roman" w:eastAsia="Times New Roman" w:hAnsi="Times New Roman"/>
          <w:sz w:val="22"/>
          <w:szCs w:val="22"/>
        </w:rPr>
        <w:t xml:space="preserve">All 27 measure format strings confirmed applied by querying INFO.MEASURES().</w:t>
      </w:r>
    </w:p>
    <w:p>
      <w:pPr>
        <w:pStyle w:val="ListParagraph"/>
        <w:numPr>
          <w:ilvl w:val="0"/>
          <w:numId w:val="2"/>
        </w:numPr>
        <w:spacing w:after="80"/>
      </w:pPr>
      <w:r>
        <w:rPr>
          <w:rFonts w:ascii="Times New Roman" w:cs="Times New Roman" w:eastAsia="Times New Roman" w:hAnsi="Times New Roman"/>
          <w:sz w:val="22"/>
          <w:szCs w:val="22"/>
        </w:rPr>
        <w:t xml:space="preserve">Column visibility and formats confirmed by querying INFO.COLUMNS().</w:t>
      </w:r>
    </w:p>
    <w:p>
      <w:pPr>
        <w:pStyle w:val="ListParagraph"/>
        <w:numPr>
          <w:ilvl w:val="0"/>
          <w:numId w:val="2"/>
        </w:numPr>
        <w:spacing w:after="80"/>
      </w:pPr>
      <w:r>
        <w:rPr>
          <w:rFonts w:ascii="Times New Roman" w:cs="Times New Roman" w:eastAsia="Times New Roman" w:hAnsi="Times New Roman"/>
          <w:sz w:val="22"/>
          <w:szCs w:val="22"/>
        </w:rPr>
        <w:t xml:space="preserve">Growth Rate table recalculated: 31 rows, maximum 0.30.</w:t>
      </w:r>
    </w:p>
    <w:p>
      <w:pPr>
        <w:pStyle w:val="ListParagraph"/>
        <w:numPr>
          <w:ilvl w:val="0"/>
          <w:numId w:val="2"/>
        </w:numPr>
        <w:spacing w:after="80"/>
      </w:pPr>
      <w:r>
        <w:rPr>
          <w:rFonts w:ascii="Times New Roman" w:cs="Times New Roman" w:eastAsia="Times New Roman" w:hAnsi="Times New Roman"/>
          <w:sz w:val="22"/>
          <w:szCs w:val="22"/>
        </w:rPr>
        <w:t xml:space="preserve">Full measure sweep re-run across Region × Year — every measure returns correct values with no errors, including the TREATAS quota bridge and the ▲/▼ card labels.</w:t>
      </w:r>
    </w:p>
    <w:p>
      <w:pPr>
        <w:pStyle w:val="ListParagraph"/>
        <w:numPr>
          <w:ilvl w:val="0"/>
          <w:numId w:val="2"/>
        </w:numPr>
        <w:spacing w:after="80"/>
      </w:pPr>
      <w:r>
        <w:rPr>
          <w:rFonts w:ascii="Times New Roman" w:cs="Times New Roman" w:eastAsia="Times New Roman" w:hAnsi="Times New Roman"/>
          <w:sz w:val="22"/>
          <w:szCs w:val="22"/>
        </w:rPr>
        <w:t xml:space="preserve">Row counts and totals unchanged after all edits: 9,994 fact rows, 144 quota rows, 1,461 date rows, $2,297,200.86 sales.</w:t>
      </w:r>
    </w:p>
    <w:p>
      <w:pPr>
        <w:pStyle w:val="Heading1"/>
        <w:spacing w:after="140" w:before="280"/>
      </w:pPr>
      <w:r>
        <w:rPr>
          <w:rFonts w:ascii="Times New Roman" w:cs="Times New Roman" w:eastAsia="Times New Roman" w:hAnsi="Times New Roman"/>
          <w:b/>
          <w:bCs/>
          <w:color w:val="1F3864"/>
          <w:sz w:val="30"/>
          <w:szCs w:val="30"/>
        </w:rPr>
        <w:t xml:space="preserve">6. Out of scope</w:t>
      </w:r>
    </w:p>
    <w:p>
      <w:pPr>
        <w:pStyle w:val="ListParagraph"/>
        <w:numPr>
          <w:ilvl w:val="0"/>
          <w:numId w:val="2"/>
        </w:numPr>
        <w:spacing w:after="80"/>
      </w:pPr>
      <w:r>
        <w:rPr>
          <w:rFonts w:ascii="Times New Roman" w:cs="Times New Roman" w:eastAsia="Times New Roman" w:hAnsi="Times New Roman"/>
          <w:sz w:val="22"/>
          <w:szCs w:val="22"/>
        </w:rPr>
        <w:t xml:space="preserve">No calendars are defined on DimDate. Document 18 (Enhanced DAX Time Intelligence) is a reference for an optional preview feature, not a build requirement, so this is recorded as not-implemented rather than a failure.</w:t>
      </w:r>
    </w:p>
    <w:p>
      <w:pPr>
        <w:pStyle w:val="ListParagraph"/>
        <w:numPr>
          <w:ilvl w:val="0"/>
          <w:numId w:val="2"/>
        </w:numPr>
        <w:spacing w:after="80"/>
      </w:pPr>
      <w:r>
        <w:rPr>
          <w:rFonts w:ascii="Times New Roman" w:cs="Times New Roman" w:eastAsia="Times New Roman" w:hAnsi="Times New Roman"/>
          <w:sz w:val="22"/>
          <w:szCs w:val="22"/>
        </w:rPr>
        <w:t xml:space="preserve">The report layer — pages, visuals, forecast settings, theme, bookmarks and drillthrough per documents 12 and 13 — is not visible over a modeling connection and has not been evaluated. Recommend a separate visual review against document 13 before packaging.</w:t>
      </w:r>
    </w:p>
    <w:p>
      <w:pPr>
        <w:pStyle w:val="Heading1"/>
        <w:spacing w:after="140" w:before="280"/>
      </w:pPr>
      <w:r>
        <w:rPr>
          <w:rFonts w:ascii="Times New Roman" w:cs="Times New Roman" w:eastAsia="Times New Roman" w:hAnsi="Times New Roman"/>
          <w:b/>
          <w:bCs/>
          <w:color w:val="1F3864"/>
          <w:sz w:val="30"/>
          <w:szCs w:val="30"/>
        </w:rPr>
        <w:t xml:space="preserve">7. Recommended next steps</w:t>
      </w:r>
    </w:p>
    <w:p>
      <w:pPr>
        <w:pStyle w:val="ListParagraph"/>
        <w:numPr>
          <w:ilvl w:val="0"/>
          <w:numId w:val="2"/>
        </w:numPr>
        <w:spacing w:after="80"/>
      </w:pPr>
      <w:r>
        <w:rPr>
          <w:rFonts w:ascii="Times New Roman" w:cs="Times New Roman" w:eastAsia="Times New Roman" w:hAnsi="Times New Roman"/>
          <w:sz w:val="22"/>
          <w:szCs w:val="22"/>
        </w:rPr>
        <w:t xml:space="preserve">Save the .pbix in Power BI Desktop to persist the model changes to disk.</w:t>
      </w:r>
    </w:p>
    <w:p>
      <w:pPr>
        <w:pStyle w:val="ListParagraph"/>
        <w:numPr>
          <w:ilvl w:val="0"/>
          <w:numId w:val="2"/>
        </w:numPr>
        <w:spacing w:after="80"/>
      </w:pPr>
      <w:r>
        <w:rPr>
          <w:rFonts w:ascii="Times New Roman" w:cs="Times New Roman" w:eastAsia="Times New Roman" w:hAnsi="Times New Roman"/>
          <w:sz w:val="22"/>
          <w:szCs w:val="22"/>
        </w:rPr>
        <w:t xml:space="preserve">Open Page 1 and confirm the KPI cards now render signed percentages and whole-dollar currency.</w:t>
      </w:r>
    </w:p>
    <w:p>
      <w:pPr>
        <w:pStyle w:val="ListParagraph"/>
        <w:numPr>
          <w:ilvl w:val="0"/>
          <w:numId w:val="2"/>
        </w:numPr>
        <w:spacing w:after="80"/>
      </w:pPr>
      <w:r>
        <w:rPr>
          <w:rFonts w:ascii="Times New Roman" w:cs="Times New Roman" w:eastAsia="Times New Roman" w:hAnsi="Times New Roman"/>
          <w:sz w:val="22"/>
          <w:szCs w:val="22"/>
        </w:rPr>
        <w:t xml:space="preserve">Confirm the Page 2 growth slider reaches 30%.</w:t>
      </w:r>
    </w:p>
    <w:p>
      <w:pPr>
        <w:pStyle w:val="ListParagraph"/>
        <w:numPr>
          <w:ilvl w:val="0"/>
          <w:numId w:val="2"/>
        </w:numPr>
        <w:spacing w:after="80"/>
      </w:pPr>
      <w:r>
        <w:rPr>
          <w:rFonts w:ascii="Times New Roman" w:cs="Times New Roman" w:eastAsia="Times New Roman" w:hAnsi="Times New Roman"/>
          <w:sz w:val="22"/>
          <w:szCs w:val="22"/>
        </w:rPr>
        <w:t xml:space="preserve">Run the visual-layer review against document 13, then proceed to the packaging checklist in document 01 §8.</w:t>
      </w:r>
    </w:p>
    <w:p>
      <w:pPr>
        <w:pStyle w:val="Heading1"/>
        <w:spacing w:after="140" w:before="280"/>
      </w:pPr>
      <w:r>
        <w:rPr>
          <w:rFonts w:ascii="Times New Roman" w:cs="Times New Roman" w:eastAsia="Times New Roman" w:hAnsi="Times New Roman"/>
          <w:b/>
          <w:bCs/>
          <w:color w:val="1F3864"/>
          <w:sz w:val="30"/>
          <w:szCs w:val="30"/>
        </w:rPr>
        <w:t xml:space="preserve">8. Addendum — 31 July 2026</w:t>
      </w:r>
    </w:p>
    <w:p>
      <w:pPr>
        <w:spacing w:after="120"/>
      </w:pPr>
      <w:r>
        <w:rPr>
          <w:rFonts w:ascii="Times New Roman" w:cs="Times New Roman" w:eastAsia="Times New Roman" w:hAnsi="Times New Roman"/>
          <w:sz w:val="22"/>
          <w:szCs w:val="22"/>
        </w:rPr>
        <w:t xml:space="preserve">After this report was issued, an unused-object audit was run with Measure Killer and its findings triaged. Two changes followed.</w:t>
      </w:r>
    </w:p>
    <w:p>
      <w:pPr>
        <w:pStyle w:val="ListParagraph"/>
        <w:numPr>
          <w:ilvl w:val="0"/>
          <w:numId w:val="2"/>
        </w:numPr>
        <w:spacing w:after="80"/>
      </w:pPr>
      <w:r>
        <w:rPr>
          <w:rFonts w:ascii="Times New Roman" w:cs="Times New Roman" w:eastAsia="Times New Roman" w:hAnsi="Times New Roman"/>
          <w:b/>
          <w:bCs/>
          <w:sz w:val="22"/>
          <w:szCs w:val="22"/>
        </w:rPr>
        <w:t xml:space="preserve">Quota Status removed. </w:t>
      </w:r>
      <w:r>
        <w:rPr>
          <w:rFonts w:ascii="Times New Roman" w:cs="Times New Roman" w:eastAsia="Times New Roman" w:hAnsi="Times New Roman"/>
          <w:sz w:val="22"/>
          <w:szCs w:val="22"/>
        </w:rPr>
        <w:t xml:space="preserve">The measure was consumed by no visual, filter or conditional-formatting rule. Document 13 §4.5 builds visual 1.8 with data bars on Quota Attainment % and rule-based icons on Sales YoY %, so the Met / At Risk / Missed banding this measure provided was never wired up. No other measure referenced it, so removal was clean. The model now holds 34 measures and folder 03 Quota holds three.</w:t>
      </w:r>
    </w:p>
    <w:p>
      <w:pPr>
        <w:pStyle w:val="ListParagraph"/>
        <w:numPr>
          <w:ilvl w:val="0"/>
          <w:numId w:val="2"/>
        </w:numPr>
        <w:spacing w:after="80"/>
      </w:pPr>
      <w:r>
        <w:rPr>
          <w:rFonts w:ascii="Times New Roman" w:cs="Times New Roman" w:eastAsia="Times New Roman" w:hAnsi="Times New Roman"/>
          <w:b/>
          <w:bCs/>
          <w:sz w:val="22"/>
          <w:szCs w:val="22"/>
        </w:rPr>
        <w:t xml:space="preserve">Documentation corrected. </w:t>
      </w:r>
      <w:r>
        <w:rPr>
          <w:rFonts w:ascii="Times New Roman" w:cs="Times New Roman" w:eastAsia="Times New Roman" w:hAnsi="Times New Roman"/>
          <w:sz w:val="22"/>
          <w:szCs w:val="22"/>
        </w:rPr>
        <w:t xml:space="preserve">Document 20 described the measure in the present tense as driving conditional formatting, which overstated what was built. Documents 15 and 20 and dax/measures.md were updated to 34 measures, and document 20 carries a dated change-log entry.</w:t>
      </w:r>
    </w:p>
    <w:p>
      <w:pPr>
        <w:spacing w:after="100"/>
      </w:pPr>
      <w:r>
        <w:rPr>
          <w:rFonts w:ascii="Times New Roman" w:cs="Times New Roman" w:eastAsia="Times New Roman" w:hAnsi="Times New Roman"/>
          <w:sz w:val="22"/>
          <w:szCs w:val="22"/>
        </w:rPr>
        <w:t xml:space="preserve">Two further removals were identified in the same audit and are recommended but not yet applied: FactSales[Row ID], a source line number with 9,994 distinct values over 9,994 rows, and DimCustomer[Customer ID], verified byte-identical to CustomerKey across all 793 rows. Together they account for roughly 106 kB.</w:t>
      </w:r>
    </w:p>
    <w:p>
      <w:pPr>
        <w:spacing w:after="120"/>
      </w:pPr>
      <w:r>
        <w:rPr>
          <w:rFonts w:ascii="Times New Roman" w:cs="Times New Roman" w:eastAsia="Times New Roman" w:hAnsi="Times New Roman"/>
          <w:i/>
          <w:iCs/>
          <w:sz w:val="22"/>
          <w:szCs w:val="22"/>
        </w:rPr>
        <w:t xml:space="preserve">Every other unused object was retained deliberately. The reasoning is recorded per object in UnusedColumnsMeasures_Evaluated.xlsx — the composite-key components in particular must stay, or ProductKey and GeographyKey become uninterpretable.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Evaluation &amp; Remediation Report</dc:title>
  <dc:creator>Evelyn Livant</dc:creator>
  <cp:lastModifiedBy>Un-named</cp:lastModifiedBy>
  <cp:revision>1</cp:revision>
  <dcterms:created xsi:type="dcterms:W3CDTF">2026-07-31T17:42:02.174Z</dcterms:created>
  <dcterms:modified xsi:type="dcterms:W3CDTF">2026-07-31T17:42:02.174Z</dcterms:modified>
</cp:coreProperties>
</file>

<file path=docProps/custom.xml><?xml version="1.0" encoding="utf-8"?>
<Properties xmlns="http://schemas.openxmlformats.org/officeDocument/2006/custom-properties" xmlns:vt="http://schemas.openxmlformats.org/officeDocument/2006/docPropsVTypes"/>
</file>