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sz w:val="10"/>
          <w:szCs w:val="10"/>
        </w:rPr>
        <w:t xml:space="preserve"/>
      </w:r>
    </w:p>
    <w:p>
      <w:pPr>
        <w:spacing w:after="60"/>
      </w:pPr>
      <w:r>
        <w:rPr>
          <w:rFonts w:ascii="Times New Roman" w:cs="Times New Roman" w:eastAsia="Times New Roman" w:hAnsi="Times New Roman"/>
          <w:b/>
          <w:bCs/>
          <w:color w:val="8C8C8C"/>
          <w:sz w:val="20"/>
          <w:szCs w:val="20"/>
        </w:rPr>
        <w:t xml:space="preserve">DOCUMENT 22</w:t>
      </w:r>
    </w:p>
    <w:p>
      <w:pPr>
        <w:spacing w:after="120"/>
      </w:pPr>
      <w:r>
        <w:rPr>
          <w:rFonts w:ascii="Times New Roman" w:cs="Times New Roman" w:eastAsia="Times New Roman" w:hAnsi="Times New Roman"/>
          <w:b/>
          <w:bCs/>
          <w:color w:val="1F3864"/>
          <w:sz w:val="48"/>
          <w:szCs w:val="48"/>
        </w:rPr>
        <w:t xml:space="preserve">Evaluation Framework — Runbook and Dashboard</w:t>
      </w:r>
    </w:p>
    <w:p>
      <w:pPr>
        <w:spacing w:after="400"/>
      </w:pPr>
      <w:r>
        <w:rPr>
          <w:rFonts w:ascii="Times New Roman" w:cs="Times New Roman" w:eastAsia="Times New Roman" w:hAnsi="Times New Roman"/>
          <w:i/>
          <w:iCs/>
          <w:color w:val="404040"/>
          <w:sz w:val="26"/>
          <w:szCs w:val="26"/>
        </w:rPr>
        <w:t xml:space="preserve">Running the specification as executable tests, and publishing the results as data</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600"/>
        <w:gridCol w:w="6760"/>
      </w:tblGrid>
      <w:tr>
        <w:trPr>
          <w:tblHeader/>
        </w:trPr>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Field</w:t>
            </w:r>
          </w:p>
        </w:tc>
        <w:tc>
          <w:tcPr>
            <w:tcW w:type="dxa" w:w="67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Value</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Project</w:t>
            </w:r>
          </w:p>
        </w:tc>
        <w:tc>
          <w:tcPr>
            <w:tcW w:type="dxa" w:w="67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 Sales Analysis &amp; Forecasting Dashboard · Superstore Portfolio Project</w:t>
            </w:r>
          </w:p>
        </w:tc>
      </w:tr>
      <w:tr>
        <w:trPr>
          <w:tblHeader w:val="false"/>
        </w:trPr>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Project ID</w:t>
            </w:r>
          </w:p>
        </w:tc>
        <w:tc>
          <w:tcPr>
            <w:tcW w:type="dxa" w:w="67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PBI-RETAIL-001 · Model: Retail_Sales_Forecasting</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Revision</w:t>
            </w:r>
          </w:p>
        </w:tc>
        <w:tc>
          <w:tcPr>
            <w:tcW w:type="dxa" w:w="67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Revision 3 — consolidated. Merges document 22 revision 2 (Fabric-first strategy and runbook) with document 23 (evaluation dashboard build specification). Document 23 is retired and should not be circulated.</w:t>
            </w:r>
          </w:p>
        </w:tc>
      </w:tr>
      <w:tr>
        <w:trPr>
          <w:tblHeader w:val="false"/>
        </w:trPr>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Date</w:t>
            </w:r>
          </w:p>
        </w:tc>
        <w:tc>
          <w:tcPr>
            <w:tcW w:type="dxa" w:w="67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 July 2026</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Companions</w:t>
            </w:r>
          </w:p>
        </w:tc>
        <w:tc>
          <w:tcPr>
            <w:tcW w:type="dxa" w:w="67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Document 21 (model evaluation and remediation record) · Document 13 (visual build specification) · Document 30 (Fabric Lakehouse migration guide)</w:t>
            </w:r>
          </w:p>
        </w:tc>
      </w:tr>
      <w:tr>
        <w:trPr>
          <w:tblHeader w:val="false"/>
        </w:trPr>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Prerequisite</w:t>
            </w:r>
          </w:p>
        </w:tc>
        <w:tc>
          <w:tcPr>
            <w:tcW w:type="dxa" w:w="67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Report saved as .pbip in PBIR folder format. Every report-layer function used here depends on it; legacy .pbix is not supported by any of them.</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Prepared for</w:t>
            </w:r>
          </w:p>
        </w:tc>
        <w:tc>
          <w:tcPr>
            <w:tcW w:type="dxa" w:w="67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Evy</w:t>
            </w:r>
          </w:p>
        </w:tc>
      </w:tr>
    </w:tbl>
    <w:p>
      <w:r>
        <w:br w:type="page"/>
      </w:r>
    </w:p>
    <w:p>
      <w:pPr>
        <w:pStyle w:val="Heading1"/>
        <w:spacing w:after="160" w:before="360"/>
      </w:pPr>
      <w:r>
        <w:rPr>
          <w:rFonts w:ascii="Times New Roman" w:cs="Times New Roman" w:eastAsia="Times New Roman" w:hAnsi="Times New Roman"/>
          <w:b/>
          <w:bCs/>
          <w:color w:val="1F3864"/>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after="120" w:line="276"/>
      </w:pPr>
      <w:r>
        <w:rPr>
          <w:rFonts w:ascii="Times New Roman" w:cs="Times New Roman" w:eastAsia="Times New Roman" w:hAnsi="Times New Roman"/>
          <w:i/>
          <w:iCs/>
          <w:sz w:val="18"/>
          <w:szCs w:val="18"/>
        </w:rPr>
        <w:t xml:space="preserve">(In Word: right-click the field above and choose Update Field to populate page numbers.)</w:t>
      </w:r>
    </w:p>
    <w:p>
      <w:r>
        <w:br w:type="page"/>
      </w:r>
    </w:p>
    <w:p>
      <w:pPr>
        <w:pStyle w:val="Heading1"/>
        <w:spacing w:after="160" w:before="360"/>
      </w:pPr>
      <w:r>
        <w:rPr>
          <w:rFonts w:ascii="Times New Roman" w:cs="Times New Roman" w:eastAsia="Times New Roman" w:hAnsi="Times New Roman"/>
          <w:b/>
          <w:bCs/>
          <w:color w:val="1F3864"/>
          <w:sz w:val="32"/>
          <w:szCs w:val="32"/>
        </w:rPr>
        <w:t xml:space="preserve">1. What This Document Is</w:t>
      </w:r>
    </w:p>
    <w:p>
      <w:pPr>
        <w:pStyle w:val="Heading2"/>
        <w:spacing w:after="120" w:before="280"/>
      </w:pPr>
      <w:r>
        <w:rPr>
          <w:rFonts w:ascii="Times New Roman" w:cs="Times New Roman" w:eastAsia="Times New Roman" w:hAnsi="Times New Roman"/>
          <w:b/>
          <w:bCs/>
          <w:color w:val="1F3864"/>
          <w:sz w:val="26"/>
          <w:szCs w:val="26"/>
        </w:rPr>
        <w:t xml:space="preserve">1.1 Purpose</w:t>
      </w:r>
    </w:p>
    <w:p>
      <w:pPr>
        <w:spacing w:after="120" w:line="276"/>
      </w:pPr>
      <w:r>
        <w:rPr>
          <w:rFonts w:ascii="Times New Roman" w:cs="Times New Roman" w:eastAsia="Times New Roman" w:hAnsi="Times New Roman"/>
          <w:sz w:val="22"/>
          <w:szCs w:val="22"/>
        </w:rPr>
        <w:t xml:space="preserve">This document does two things that used to sit in two documents. It specifies how the evaluation of this project runs — model audit, report audit, numeric verification, performance and hygiene — and it specifies the dashboard that publishes the results. They were separated because they were written in sequence. They belong together because you cannot build the dashboard without the tables the runbook writes, and the runbook is pointless if its output goes nowhere.</w:t>
      </w:r>
    </w:p>
    <w:p>
      <w:pPr>
        <w:spacing w:after="120" w:line="276"/>
      </w:pPr>
      <w:r>
        <w:rPr>
          <w:rFonts w:ascii="Times New Roman" w:cs="Times New Roman" w:eastAsia="Times New Roman" w:hAnsi="Times New Roman"/>
          <w:sz w:val="22"/>
          <w:szCs w:val="22"/>
        </w:rPr>
        <w:t xml:space="preserve">The material claim is simple. With a Fabric subscription, the evaluation stops being an afternoon of clicking through external tools and becomes an artefact: it runs on demand, exports to a delta table so results accumulate as a time series, publishes to a dashboard that needs no refresh, and lives in the repository next to the .pbip. For a portfolio project whose entire thesis is engineering discipline, that distinction is the point.</w:t>
      </w:r>
    </w:p>
    <w:p>
      <w:pPr>
        <w:pStyle w:val="Heading2"/>
        <w:spacing w:after="120" w:before="280"/>
      </w:pPr>
      <w:r>
        <w:rPr>
          <w:rFonts w:ascii="Times New Roman" w:cs="Times New Roman" w:eastAsia="Times New Roman" w:hAnsi="Times New Roman"/>
          <w:b/>
          <w:bCs/>
          <w:color w:val="1F3864"/>
          <w:sz w:val="26"/>
          <w:szCs w:val="26"/>
        </w:rPr>
        <w:t xml:space="preserve">1.2 Revision history</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1500"/>
        <w:gridCol w:w="1900"/>
        <w:gridCol w:w="5960"/>
      </w:tblGrid>
      <w:tr>
        <w:trPr>
          <w:tblHeader/>
        </w:trPr>
        <w:tc>
          <w:tcPr>
            <w:tcW w:type="dxa" w:w="15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Revision</w:t>
            </w:r>
          </w:p>
        </w:tc>
        <w:tc>
          <w:tcPr>
            <w:tcW w:type="dxa" w:w="1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Date</w:t>
            </w:r>
          </w:p>
        </w:tc>
        <w:tc>
          <w:tcPr>
            <w:tcW w:type="dxa" w:w="59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Change</w:t>
            </w:r>
          </w:p>
        </w:tc>
      </w:tr>
      <w:tr>
        <w:trPr>
          <w:tblHeader w:val="false"/>
        </w:trPr>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1</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Earlier July 2026</w:t>
            </w:r>
          </w:p>
        </w:tc>
        <w:tc>
          <w:tcPr>
            <w:tcW w:type="dxa" w:w="59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Desktop external-tools plan. Nine tools, manual runs. Superseded.</w:t>
            </w:r>
          </w:p>
        </w:tc>
      </w:tr>
      <w:tr>
        <w:trPr>
          <w:tblHeader w:val="false"/>
        </w:trPr>
        <w:tc>
          <w:tcPr>
            <w:tcW w:type="dxa" w:w="15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2</w:t>
            </w:r>
          </w:p>
        </w:tc>
        <w:tc>
          <w:tcPr>
            <w:tcW w:type="dxa" w:w="1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30 July 2026</w:t>
            </w:r>
          </w:p>
        </w:tc>
        <w:tc>
          <w:tcPr>
            <w:tcW w:type="dxa" w:w="59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Fabric-first rewrite. One Python library replaces five of the nine tools. Issued as document 22; the dashboard specification was issued separately as document 23.</w:t>
            </w:r>
          </w:p>
        </w:tc>
      </w:tr>
      <w:tr>
        <w:trPr>
          <w:tblHeader w:val="false"/>
        </w:trPr>
        <w:tc>
          <w:tcPr>
            <w:tcW w:type="dxa" w:w="15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3</w:t>
            </w:r>
          </w:p>
        </w:tc>
        <w:tc>
          <w:tcPr>
            <w:tcW w:type="dxa" w:w="19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31 July 2026</w:t>
            </w:r>
          </w:p>
        </w:tc>
        <w:tc>
          <w:tcPr>
            <w:tcW w:type="dxa" w:w="59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Consolidated. Documents 22 and 23 merged into this single framework. Fabric environment setup delegated to document 30 rather than repeated. The twenty conformance assertions now appear once, as both a specification table and the code that tests them. Validation figures cited from document 21 rather than restated in three places. Three internal contradictions corrected — see 1.3.</w:t>
            </w:r>
          </w:p>
        </w:tc>
      </w:tr>
    </w:tbl>
    <w:p>
      <w:pPr>
        <w:pStyle w:val="Heading2"/>
        <w:spacing w:after="120" w:before="280"/>
      </w:pPr>
      <w:r>
        <w:rPr>
          <w:rFonts w:ascii="Times New Roman" w:cs="Times New Roman" w:eastAsia="Times New Roman" w:hAnsi="Times New Roman"/>
          <w:b/>
          <w:bCs/>
          <w:color w:val="1F3864"/>
          <w:sz w:val="26"/>
          <w:szCs w:val="26"/>
        </w:rPr>
        <w:t xml:space="preserve">1.3 Corrections carried into this revision</w:t>
      </w:r>
    </w:p>
    <w:p>
      <w:pPr>
        <w:spacing w:after="120" w:line="276"/>
      </w:pPr>
      <w:r>
        <w:rPr>
          <w:rFonts w:ascii="Times New Roman" w:cs="Times New Roman" w:eastAsia="Times New Roman" w:hAnsi="Times New Roman"/>
          <w:sz w:val="22"/>
          <w:szCs w:val="22"/>
        </w:rPr>
        <w:t xml:space="preserve">The merge surfaced three statements that were wrong at the time revision 2 was issued or had gone stale since. They are listed here rather than silently fixed, because a reader working from a printed revision 2 needs to know.</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600"/>
        <w:gridCol w:w="3200"/>
        <w:gridCol w:w="3560"/>
      </w:tblGrid>
      <w:tr>
        <w:trPr>
          <w:tblHeader/>
        </w:trPr>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Where</w:t>
            </w:r>
          </w:p>
        </w:tc>
        <w:tc>
          <w:tcPr>
            <w:tcW w:type="dxa" w:w="3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Said</w:t>
            </w:r>
          </w:p>
        </w:tc>
        <w:tc>
          <w:tcPr>
            <w:tcW w:type="dxa" w:w="35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Corrected to</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Rev 2 §6, Phase 4, step 3</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Assert that 2014 returns "No Quota" for Quota Status</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Quota Status was removed from the model on 31 July 2026 (document 21 §8). The assertion would now fail. It is replaced by: 2014 must return blank — not zero — for Sales PY and for every quota measure.</w:t>
            </w:r>
          </w:p>
        </w:tc>
      </w:tr>
      <w:tr>
        <w:trPr>
          <w:tblHeader w:val="false"/>
        </w:trPr>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Rev 2 §6, Phase 6, step 2</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35-measure catalog is itself a deliverable"</w:t>
            </w:r>
          </w:p>
        </w:tc>
        <w:tc>
          <w:tcPr>
            <w:tcW w:type="dxa" w:w="35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model holds 34 measures. Folder 03 Quota holds three, not four.</w:t>
            </w:r>
          </w:p>
        </w:tc>
      </w:tr>
      <w:tr>
        <w:trPr>
          <w:tblHeader w:val="false"/>
        </w:trPr>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Rev 2 §5 and doc 23 §2–3</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Fabric capacity, workspace and lakehouse setup, explained from scratch in two places</w:t>
            </w:r>
          </w:p>
        </w:tc>
        <w:tc>
          <w:tcPr>
            <w:tcW w:type="dxa" w:w="35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Delegated to document 30 §5, which explains the same ground once. Only the evaluation-specific setup is retained here — Section 4.</w:t>
            </w:r>
          </w:p>
        </w:tc>
      </w:tr>
    </w:tbl>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One further staleness, outside this document.  </w:t>
            </w:r>
            <w:r>
              <w:rPr>
                <w:rFonts w:ascii="Times New Roman" w:cs="Times New Roman" w:eastAsia="Times New Roman" w:hAnsi="Times New Roman"/>
                <w:sz w:val="20"/>
                <w:szCs w:val="20"/>
              </w:rPr>
              <w:t xml:space="preserve">Document 21 §8 records the removal of FactSales[Row ID] and DimCustomer[Customer ID] as "recommended but not yet applied". Both have since been applied, and DimGeography[Country] was removed as well — a third removal that §8 does not mention. Document 21 is a dated evidence record and is deliberately left standalone, so it has not been edited here. Read its §8 as a snapshot, and read document 30 §1.5 for the current object inventory.</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1.4 What you need before you start</w:t>
      </w:r>
    </w:p>
    <w:p>
      <w:pPr>
        <w:pStyle w:val="ListParagraph"/>
        <w:numPr>
          <w:ilvl w:val="0"/>
          <w:numId w:val="2"/>
        </w:numPr>
        <w:spacing w:after="80" w:line="276"/>
      </w:pPr>
      <w:r>
        <w:rPr>
          <w:rFonts w:ascii="Times New Roman" w:cs="Times New Roman" w:eastAsia="Times New Roman" w:hAnsi="Times New Roman"/>
          <w:sz w:val="22"/>
          <w:szCs w:val="22"/>
        </w:rPr>
        <w:t xml:space="preserve">A Fabric capacity, and the ability to create a workspace on it. Document 30 §5.1 covers confirming this; §3.1 of the same document covers the trial route if you have none.</w:t>
      </w:r>
    </w:p>
    <w:p>
      <w:pPr>
        <w:pStyle w:val="ListParagraph"/>
        <w:numPr>
          <w:ilvl w:val="0"/>
          <w:numId w:val="2"/>
        </w:numPr>
        <w:spacing w:after="80" w:line="276"/>
      </w:pPr>
      <w:r>
        <w:rPr>
          <w:rFonts w:ascii="Times New Roman" w:cs="Times New Roman" w:eastAsia="Times New Roman" w:hAnsi="Times New Roman"/>
          <w:sz w:val="22"/>
          <w:szCs w:val="22"/>
        </w:rPr>
        <w:t xml:space="preserve">The report saved as .pbip in PBIR folder format. Non-negotiable — every report-layer function in semantic-link-labs depends on it.</w:t>
      </w:r>
    </w:p>
    <w:p>
      <w:pPr>
        <w:pStyle w:val="ListParagraph"/>
        <w:numPr>
          <w:ilvl w:val="0"/>
          <w:numId w:val="2"/>
        </w:numPr>
        <w:spacing w:after="80" w:line="276"/>
      </w:pPr>
      <w:r>
        <w:rPr>
          <w:rFonts w:ascii="Times New Roman" w:cs="Times New Roman" w:eastAsia="Times New Roman" w:hAnsi="Times New Roman"/>
          <w:sz w:val="22"/>
          <w:szCs w:val="22"/>
        </w:rPr>
        <w:t xml:space="preserve">Power BI Desktop, for the one measurement Fabric cannot make. See Section 2.4.</w:t>
      </w:r>
    </w:p>
    <w:p>
      <w:pPr>
        <w:pStyle w:val="ListParagraph"/>
        <w:numPr>
          <w:ilvl w:val="0"/>
          <w:numId w:val="2"/>
        </w:numPr>
        <w:spacing w:after="80" w:line="276"/>
      </w:pPr>
      <w:r>
        <w:rPr>
          <w:rFonts w:ascii="Times New Roman" w:cs="Times New Roman" w:eastAsia="Times New Roman" w:hAnsi="Times New Roman"/>
          <w:sz w:val="22"/>
          <w:szCs w:val="22"/>
        </w:rPr>
        <w:t xml:space="preserve">Document 13 to hand, because Section 6 is that document restated as assertions and you will want to check the restatement.</w:t>
      </w:r>
    </w:p>
    <w:p>
      <w:pPr>
        <w:pStyle w:val="ListParagraph"/>
        <w:numPr>
          <w:ilvl w:val="0"/>
          <w:numId w:val="2"/>
        </w:numPr>
        <w:spacing w:after="80" w:line="276"/>
      </w:pPr>
      <w:r>
        <w:rPr>
          <w:rFonts w:ascii="Times New Roman" w:cs="Times New Roman" w:eastAsia="Times New Roman" w:hAnsi="Times New Roman"/>
          <w:sz w:val="22"/>
          <w:szCs w:val="22"/>
        </w:rPr>
        <w:t xml:space="preserve">Document 21 to hand, because Section 7.3 asserts its figures.</w:t>
      </w:r>
    </w:p>
    <w:p>
      <w:pPr>
        <w:pStyle w:val="Heading2"/>
        <w:spacing w:after="120" w:before="280"/>
      </w:pPr>
      <w:r>
        <w:rPr>
          <w:rFonts w:ascii="Times New Roman" w:cs="Times New Roman" w:eastAsia="Times New Roman" w:hAnsi="Times New Roman"/>
          <w:b/>
          <w:bCs/>
          <w:color w:val="1F3864"/>
          <w:sz w:val="26"/>
          <w:szCs w:val="26"/>
        </w:rPr>
        <w:t xml:space="preserve">1.5 Reading map</w:t>
      </w:r>
    </w:p>
    <w:p>
      <w:pPr>
        <w:spacing w:after="120" w:line="276"/>
      </w:pPr>
      <w:r>
        <w:rPr>
          <w:rFonts w:ascii="Times New Roman" w:cs="Times New Roman" w:eastAsia="Times New Roman" w:hAnsi="Times New Roman"/>
          <w:sz w:val="22"/>
          <w:szCs w:val="22"/>
        </w:rPr>
        <w:t xml:space="preserve">Sections 1 to 3 are read once — why Fabric, and what to install. Section 4 is setup, twenty-five minutes the first time and five thereafter. Section 5 is the runbook you follow on every run, and Section 6 is the specification it tests against. Sections 7 and 8 build the dashboard, which you do once. Sections 9 to 11 are reference.</w:t>
      </w:r>
    </w:p>
    <w:p>
      <w:r>
        <w:br w:type="page"/>
      </w:r>
    </w:p>
    <w:p>
      <w:pPr>
        <w:pStyle w:val="Heading1"/>
        <w:spacing w:after="160" w:before="360"/>
      </w:pPr>
      <w:r>
        <w:rPr>
          <w:rFonts w:ascii="Times New Roman" w:cs="Times New Roman" w:eastAsia="Times New Roman" w:hAnsi="Times New Roman"/>
          <w:b/>
          <w:bCs/>
          <w:color w:val="1F3864"/>
          <w:sz w:val="32"/>
          <w:szCs w:val="32"/>
        </w:rPr>
        <w:t xml:space="preserve">2. Why Fabric, Not Desktop External Tools</w:t>
      </w:r>
    </w:p>
    <w:p>
      <w:pPr>
        <w:pStyle w:val="Heading2"/>
        <w:spacing w:after="120" w:before="280"/>
      </w:pPr>
      <w:r>
        <w:rPr>
          <w:rFonts w:ascii="Times New Roman" w:cs="Times New Roman" w:eastAsia="Times New Roman" w:hAnsi="Times New Roman"/>
          <w:b/>
          <w:bCs/>
          <w:color w:val="1F3864"/>
          <w:sz w:val="26"/>
          <w:szCs w:val="26"/>
        </w:rPr>
        <w:t xml:space="preserve">2.1 The verdict</w:t>
      </w:r>
    </w:p>
    <w:p>
      <w:pPr>
        <w:spacing w:after="120" w:line="276"/>
      </w:pPr>
      <w:r>
        <w:rPr>
          <w:rFonts w:ascii="Times New Roman" w:cs="Times New Roman" w:eastAsia="Times New Roman" w:hAnsi="Times New Roman"/>
          <w:sz w:val="22"/>
          <w:szCs w:val="22"/>
        </w:rPr>
        <w:t xml:space="preserve">Run the evaluation in a Fabric notebook. This is not a preference for the newer thing. One Python library — semantic-link-labs — replaces five of the nine tools the desktop plan called for, and it does so against the same model and the same PBIR report files, using the same Best Practice Analyzer rule engine underneath.</w:t>
      </w:r>
    </w:p>
    <w:p>
      <w:pPr>
        <w:spacing w:after="120" w:line="276"/>
      </w:pPr>
      <w:r>
        <w:rPr>
          <w:rFonts w:ascii="Times New Roman" w:cs="Times New Roman" w:eastAsia="Times New Roman" w:hAnsi="Times New Roman"/>
          <w:sz w:val="22"/>
          <w:szCs w:val="22"/>
        </w:rPr>
        <w:t xml:space="preserve">Three things still need Power BI Desktop. They are listed in 2.4. Everything else runs in the browser.</w:t>
      </w:r>
    </w:p>
    <w:p>
      <w:pPr>
        <w:pStyle w:val="Heading2"/>
        <w:spacing w:after="120" w:before="280"/>
      </w:pPr>
      <w:r>
        <w:rPr>
          <w:rFonts w:ascii="Times New Roman" w:cs="Times New Roman" w:eastAsia="Times New Roman" w:hAnsi="Times New Roman"/>
          <w:b/>
          <w:bCs/>
          <w:color w:val="1F3864"/>
          <w:sz w:val="26"/>
          <w:szCs w:val="26"/>
        </w:rPr>
        <w:t xml:space="preserve">2.2 What Fabric replaces</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3000"/>
        <w:gridCol w:w="3400"/>
        <w:gridCol w:w="2960"/>
      </w:tblGrid>
      <w:tr>
        <w:trPr>
          <w:tblHeader/>
        </w:trPr>
        <w:tc>
          <w:tcPr>
            <w:tcW w:type="dxa" w:w="30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Desktop tool</w:t>
            </w:r>
          </w:p>
        </w:tc>
        <w:tc>
          <w:tcPr>
            <w:tcW w:type="dxa" w:w="34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Fabric equivalent</w:t>
            </w:r>
          </w:p>
        </w:tc>
        <w:tc>
          <w:tcPr>
            <w:tcW w:type="dxa" w:w="29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Gain</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Tabular Editor 2 — BPA</w:t>
            </w:r>
          </w:p>
        </w:tc>
        <w:tc>
          <w:tcPr>
            <w:tcW w:type="dxa" w:w="3400"/>
            <w:tcMar>
              <w:top w:type="dxa" w:w="60"/>
              <w:left w:type="dxa" w:w="100"/>
              <w:bottom w:type="dxa" w:w="60"/>
              <w:right w:type="dxa" w:w="100"/>
            </w:tcMar>
          </w:tcPr>
          <w:p>
            <w:pPr>
              <w:spacing w:after="0" w:line="240"/>
            </w:pPr>
            <w:r>
              <w:rPr>
                <w:rFonts w:ascii="Consolas" w:cs="Consolas" w:eastAsia="Consolas" w:hAnsi="Consolas"/>
                <w:sz w:val="16"/>
                <w:szCs w:val="16"/>
              </w:rPr>
              <w:t xml:space="preserve">sempy_labs.run_model_bpa()</w:t>
            </w:r>
          </w:p>
        </w:tc>
        <w:tc>
          <w:tcPr>
            <w:tcW w:type="dxa" w:w="29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Same rule engine, scriptable, exportable</w:t>
            </w:r>
          </w:p>
        </w:tc>
      </w:tr>
      <w:tr>
        <w:trPr>
          <w:tblHeader w:val="false"/>
        </w:trPr>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DAX Studio — VertiPaq Analyzer</w:t>
            </w:r>
          </w:p>
        </w:tc>
        <w:tc>
          <w:tcPr>
            <w:tcW w:type="dxa" w:w="34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run_model_bpa(extended=True)</w:t>
            </w:r>
          </w:p>
        </w:tc>
        <w:tc>
          <w:tcPr>
            <w:tcW w:type="dxa" w:w="2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VertiPaq stats folded into the same call</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PBI Inspector — report rules</w:t>
            </w:r>
          </w:p>
        </w:tc>
        <w:tc>
          <w:tcPr>
            <w:tcW w:type="dxa" w:w="3400"/>
            <w:tcMar>
              <w:top w:type="dxa" w:w="60"/>
              <w:left w:type="dxa" w:w="100"/>
              <w:bottom w:type="dxa" w:w="60"/>
              <w:right w:type="dxa" w:w="100"/>
            </w:tcMar>
          </w:tcPr>
          <w:p>
            <w:pPr>
              <w:spacing w:after="0" w:line="240"/>
            </w:pPr>
            <w:r>
              <w:rPr>
                <w:rFonts w:ascii="Consolas" w:cs="Consolas" w:eastAsia="Consolas" w:hAnsi="Consolas"/>
                <w:sz w:val="16"/>
                <w:szCs w:val="16"/>
              </w:rPr>
              <w:t xml:space="preserve">sempy_labs.report.run_report_bpa()</w:t>
            </w:r>
          </w:p>
        </w:tc>
        <w:tc>
          <w:tcPr>
            <w:tcW w:type="dxa" w:w="29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No separate CLI install; results in a DataFrame</w:t>
            </w:r>
          </w:p>
        </w:tc>
      </w:tr>
      <w:tr>
        <w:trPr>
          <w:tblHeader w:val="false"/>
        </w:trPr>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PBI Explorer — visual inventory</w:t>
            </w:r>
          </w:p>
        </w:tc>
        <w:tc>
          <w:tcPr>
            <w:tcW w:type="dxa" w:w="34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ReportWrapper.list_visuals() and the list_report_* family</w:t>
            </w:r>
          </w:p>
        </w:tc>
        <w:tc>
          <w:tcPr>
            <w:tcW w:type="dxa" w:w="2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Programmatic, diffable, no manual tree-walking</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Model Documenter</w:t>
            </w:r>
          </w:p>
        </w:tc>
        <w:tc>
          <w:tcPr>
            <w:tcW w:type="dxa" w:w="3400"/>
            <w:tcMar>
              <w:top w:type="dxa" w:w="60"/>
              <w:left w:type="dxa" w:w="100"/>
              <w:bottom w:type="dxa" w:w="60"/>
              <w:right w:type="dxa" w:w="100"/>
            </w:tcMar>
          </w:tcPr>
          <w:p>
            <w:pPr>
              <w:spacing w:after="0" w:line="240"/>
            </w:pPr>
            <w:r>
              <w:rPr>
                <w:rFonts w:ascii="Consolas" w:cs="Consolas" w:eastAsia="Consolas" w:hAnsi="Consolas"/>
                <w:sz w:val="16"/>
                <w:szCs w:val="16"/>
              </w:rPr>
              <w:t xml:space="preserve">sempy_labs model and report listing functions</w:t>
            </w:r>
          </w:p>
        </w:tc>
        <w:tc>
          <w:tcPr>
            <w:tcW w:type="dxa" w:w="29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Documentation generated from the live model</w:t>
            </w:r>
          </w:p>
        </w:tc>
      </w:tr>
      <w:tr>
        <w:trPr>
          <w:tblHeader w:val="false"/>
        </w:trPr>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Measure Killer — unused fields</w:t>
            </w:r>
          </w:p>
        </w:tc>
        <w:tc>
          <w:tcPr>
            <w:tcW w:type="dxa" w:w="34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list_report_semantic_model_objects() vs list_measures()</w:t>
            </w:r>
          </w:p>
        </w:tc>
        <w:tc>
          <w:tcPr>
            <w:tcW w:type="dxa" w:w="2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Set difference in three lines of Python</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Analyze in Excel — verification</w:t>
            </w:r>
          </w:p>
        </w:tc>
        <w:tc>
          <w:tcPr>
            <w:tcW w:type="dxa" w:w="3400"/>
            <w:tcMar>
              <w:top w:type="dxa" w:w="60"/>
              <w:left w:type="dxa" w:w="100"/>
              <w:bottom w:type="dxa" w:w="60"/>
              <w:right w:type="dxa" w:w="100"/>
            </w:tcMar>
          </w:tcPr>
          <w:p>
            <w:pPr>
              <w:spacing w:after="0" w:line="240"/>
            </w:pPr>
            <w:r>
              <w:rPr>
                <w:rFonts w:ascii="Consolas" w:cs="Consolas" w:eastAsia="Consolas" w:hAnsi="Consolas"/>
                <w:sz w:val="16"/>
                <w:szCs w:val="16"/>
              </w:rPr>
              <w:t xml:space="preserve">fabric.evaluate_measure() / evaluate_dax()</w:t>
            </w:r>
          </w:p>
        </w:tc>
        <w:tc>
          <w:tcPr>
            <w:tcW w:type="dxa" w:w="29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Assertions in code rather than eyeballing a PivotTable</w:t>
            </w:r>
          </w:p>
        </w:tc>
      </w:tr>
    </w:tbl>
    <w:p>
      <w:pPr>
        <w:spacing w:after="120" w:line="276"/>
      </w:pPr>
      <w:r>
        <w:rPr>
          <w:rFonts w:ascii="Times New Roman" w:cs="Times New Roman" w:eastAsia="Times New Roman" w:hAnsi="Times New Roman"/>
          <w:sz w:val="22"/>
          <w:szCs w:val="22"/>
        </w:rPr>
        <w:t xml:space="preserve">Two desktop tools have no Fabric equivalent and stay where they are: Power BI Performance Analyzer, and the Report Analyzer template that consumes its export. Fabric workspace monitoring captures engine-side query telemetry, not the visual rendering breakdown. Those are different measurements, and the visual one is not available server-side.</w:t>
      </w:r>
    </w:p>
    <w:p>
      <w:pPr>
        <w:pStyle w:val="Heading2"/>
        <w:spacing w:after="120" w:before="280"/>
      </w:pPr>
      <w:r>
        <w:rPr>
          <w:rFonts w:ascii="Times New Roman" w:cs="Times New Roman" w:eastAsia="Times New Roman" w:hAnsi="Times New Roman"/>
          <w:b/>
          <w:bCs/>
          <w:color w:val="1F3864"/>
          <w:sz w:val="26"/>
          <w:szCs w:val="26"/>
        </w:rPr>
        <w:t xml:space="preserve">2.3 What Fabric adds that the desktop cannot</w:t>
      </w:r>
    </w:p>
    <w:p>
      <w:pPr>
        <w:pStyle w:val="ListParagraph"/>
        <w:numPr>
          <w:ilvl w:val="0"/>
          <w:numId w:val="2"/>
        </w:numPr>
        <w:spacing w:after="80" w:line="276"/>
      </w:pPr>
      <w:r>
        <w:rPr>
          <w:rFonts w:ascii="Times New Roman" w:cs="Times New Roman" w:eastAsia="Times New Roman" w:hAnsi="Times New Roman"/>
          <w:b/>
          <w:bCs/>
          <w:sz w:val="22"/>
          <w:szCs w:val="22"/>
        </w:rPr>
        <w:t xml:space="preserve">Results as data.</w:t>
      </w:r>
      <w:r>
        <w:rPr>
          <w:rFonts w:ascii="Times New Roman" w:cs="Times New Roman" w:eastAsia="Times New Roman" w:hAnsi="Times New Roman"/>
          <w:sz w:val="22"/>
          <w:szCs w:val="22"/>
        </w:rPr>
        <w:t xml:space="preserve"> run_model_bpa(export=True) writes findings to a delta table in the attached lakehouse. Run it before and after remediation and the delta is the evidence that the fixes landed — far stronger than a screenshot of a clean BPA pane.</w:t>
      </w:r>
    </w:p>
    <w:p>
      <w:pPr>
        <w:pStyle w:val="ListParagraph"/>
        <w:numPr>
          <w:ilvl w:val="0"/>
          <w:numId w:val="2"/>
        </w:numPr>
        <w:spacing w:after="80" w:line="276"/>
      </w:pPr>
      <w:r>
        <w:rPr>
          <w:rFonts w:ascii="Times New Roman" w:cs="Times New Roman" w:eastAsia="Times New Roman" w:hAnsi="Times New Roman"/>
          <w:b/>
          <w:bCs/>
          <w:sz w:val="22"/>
          <w:szCs w:val="22"/>
        </w:rPr>
        <w:t xml:space="preserve">Workspace monitoring.</w:t>
      </w:r>
      <w:r>
        <w:rPr>
          <w:rFonts w:ascii="Times New Roman" w:cs="Times New Roman" w:eastAsia="Times New Roman" w:hAnsi="Times New Roman"/>
          <w:sz w:val="22"/>
          <w:szCs w:val="22"/>
        </w:rPr>
        <w:t xml:space="preserve"> Telemetry lands in an Eventhouse covering semantic model query performance and trends, refresh durations and processing steps, and operations sent over the XMLA endpoint. Microsoft ships a Real-Time Dashboard template for semantic model items, so this is configuration rather than construction.</w:t>
      </w:r>
    </w:p>
    <w:p>
      <w:pPr>
        <w:pStyle w:val="ListParagraph"/>
        <w:numPr>
          <w:ilvl w:val="0"/>
          <w:numId w:val="2"/>
        </w:numPr>
        <w:spacing w:after="80" w:line="276"/>
      </w:pPr>
      <w:r>
        <w:rPr>
          <w:rFonts w:ascii="Times New Roman" w:cs="Times New Roman" w:eastAsia="Times New Roman" w:hAnsi="Times New Roman"/>
          <w:b/>
          <w:bCs/>
          <w:sz w:val="22"/>
          <w:szCs w:val="22"/>
        </w:rPr>
        <w:t xml:space="preserve">Repeatability.</w:t>
      </w:r>
      <w:r>
        <w:rPr>
          <w:rFonts w:ascii="Times New Roman" w:cs="Times New Roman" w:eastAsia="Times New Roman" w:hAnsi="Times New Roman"/>
          <w:sz w:val="22"/>
          <w:szCs w:val="22"/>
        </w:rPr>
        <w:t xml:space="preserve"> The notebook can be scheduled or triggered from a pipeline, which turns the document 13 conformance checklist into a regression test rather than a one-time review.</w:t>
      </w:r>
    </w:p>
    <w:p>
      <w:pPr>
        <w:pStyle w:val="ListParagraph"/>
        <w:numPr>
          <w:ilvl w:val="0"/>
          <w:numId w:val="2"/>
        </w:numPr>
        <w:spacing w:after="80" w:line="276"/>
      </w:pPr>
      <w:r>
        <w:rPr>
          <w:rFonts w:ascii="Times New Roman" w:cs="Times New Roman" w:eastAsia="Times New Roman" w:hAnsi="Times New Roman"/>
          <w:b/>
          <w:bCs/>
          <w:sz w:val="22"/>
          <w:szCs w:val="22"/>
        </w:rPr>
        <w:t xml:space="preserve">Git integration.</w:t>
      </w:r>
      <w:r>
        <w:rPr>
          <w:rFonts w:ascii="Times New Roman" w:cs="Times New Roman" w:eastAsia="Times New Roman" w:hAnsi="Times New Roman"/>
          <w:sz w:val="22"/>
          <w:szCs w:val="22"/>
        </w:rPr>
        <w:t xml:space="preserve"> A Fabric workspace can sync directly to the repository holding the .pbip, so the evaluation runs against the same files that are under source control. This also delivers the source-control story document 08 promises, without pbi-tools. Document 08 §7 carries a note pointing here.</w:t>
      </w:r>
    </w:p>
    <w:p>
      <w:pPr>
        <w:pStyle w:val="Heading2"/>
        <w:spacing w:after="120" w:before="280"/>
      </w:pPr>
      <w:r>
        <w:rPr>
          <w:rFonts w:ascii="Times New Roman" w:cs="Times New Roman" w:eastAsia="Times New Roman" w:hAnsi="Times New Roman"/>
          <w:b/>
          <w:bCs/>
          <w:color w:val="1F3864"/>
          <w:sz w:val="26"/>
          <w:szCs w:val="26"/>
        </w:rPr>
        <w:t xml:space="preserve">2.4 What still requires Power BI Desktop</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3400"/>
        <w:gridCol w:w="4600"/>
        <w:gridCol w:w="1360"/>
      </w:tblGrid>
      <w:tr>
        <w:trPr>
          <w:tblHeader/>
        </w:trPr>
        <w:tc>
          <w:tcPr>
            <w:tcW w:type="dxa" w:w="34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Task</w:t>
            </w:r>
          </w:p>
        </w:tc>
        <w:tc>
          <w:tcPr>
            <w:tcW w:type="dxa" w:w="4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Why</w:t>
            </w:r>
          </w:p>
        </w:tc>
        <w:tc>
          <w:tcPr>
            <w:tcW w:type="dxa" w:w="13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Time</w:t>
            </w:r>
          </w:p>
        </w:tc>
      </w:tr>
      <w:tr>
        <w:trPr>
          <w:tblHeader w:val="false"/>
        </w:trP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Performance Analyzer capture</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Visual render timings are client-side; there is no server-side equivalent</w:t>
            </w:r>
          </w:p>
        </w:tc>
        <w:tc>
          <w:tcPr>
            <w:tcW w:type="dxa" w:w="136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0:15</w:t>
            </w:r>
          </w:p>
        </w:tc>
      </w:tr>
      <w:tr>
        <w:trPr>
          <w:tblHeader w:val="false"/>
        </w:trPr>
        <w:tc>
          <w:tcPr>
            <w:tcW w:type="dxa" w:w="34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Visual inspection of the three pages</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Whether the report looks right is a human judgement</w:t>
            </w:r>
          </w:p>
        </w:tc>
        <w:tc>
          <w:tcPr>
            <w:tcW w:type="dxa" w:w="13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0:15</w:t>
            </w:r>
          </w:p>
        </w:tc>
      </w:tr>
      <w:tr>
        <w:trPr>
          <w:tblHeader w:val="false"/>
        </w:trPr>
        <w:tc>
          <w:tcPr>
            <w:tcW w:type="dxa" w:w="34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Theme and canvas review</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Theme JSON application is verifiable in PBIR, but colour rendering is not</w:t>
            </w:r>
          </w:p>
        </w:tc>
        <w:tc>
          <w:tcPr>
            <w:tcW w:type="dxa" w:w="136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0:10</w:t>
            </w:r>
          </w:p>
        </w:tc>
      </w:tr>
    </w:tbl>
    <w:p>
      <w:pPr>
        <w:pStyle w:val="Heading2"/>
        <w:spacing w:after="120" w:before="280"/>
      </w:pPr>
      <w:r>
        <w:rPr>
          <w:rFonts w:ascii="Times New Roman" w:cs="Times New Roman" w:eastAsia="Times New Roman" w:hAnsi="Times New Roman"/>
          <w:b/>
          <w:bCs/>
          <w:color w:val="1F3864"/>
          <w:sz w:val="26"/>
          <w:szCs w:val="26"/>
        </w:rPr>
        <w:t xml:space="preserve">2.5 Honest limits</w:t>
      </w:r>
    </w:p>
    <w:p>
      <w:pPr>
        <w:pStyle w:val="ListParagraph"/>
        <w:numPr>
          <w:ilvl w:val="0"/>
          <w:numId w:val="2"/>
        </w:numPr>
        <w:spacing w:after="80" w:line="276"/>
      </w:pPr>
      <w:r>
        <w:rPr>
          <w:rFonts w:ascii="Times New Roman" w:cs="Times New Roman" w:eastAsia="Times New Roman" w:hAnsi="Times New Roman"/>
          <w:b/>
          <w:bCs/>
          <w:sz w:val="22"/>
          <w:szCs w:val="22"/>
        </w:rPr>
        <w:t xml:space="preserve">Preview surface.</w:t>
      </w:r>
      <w:r>
        <w:rPr>
          <w:rFonts w:ascii="Times New Roman" w:cs="Times New Roman" w:eastAsia="Times New Roman" w:hAnsi="Times New Roman"/>
          <w:sz w:val="22"/>
          <w:szCs w:val="22"/>
        </w:rPr>
        <w:t xml:space="preserve"> The PBIR-dependent report functions are in preview and documented as carrying limitations. Expect at least one property in the Section 6 assertion list to be unreachable through the wrapper and to need reading the page JSON directly. Budget for it rather than being surprised.</w:t>
      </w:r>
    </w:p>
    <w:p>
      <w:pPr>
        <w:pStyle w:val="ListParagraph"/>
        <w:numPr>
          <w:ilvl w:val="0"/>
          <w:numId w:val="2"/>
        </w:numPr>
        <w:spacing w:after="80" w:line="276"/>
      </w:pPr>
      <w:r>
        <w:rPr>
          <w:rFonts w:ascii="Times New Roman" w:cs="Times New Roman" w:eastAsia="Times New Roman" w:hAnsi="Times New Roman"/>
          <w:b/>
          <w:bCs/>
          <w:sz w:val="22"/>
          <w:szCs w:val="22"/>
        </w:rPr>
        <w:t xml:space="preserve">Capacity consumption.</w:t>
      </w:r>
      <w:r>
        <w:rPr>
          <w:rFonts w:ascii="Times New Roman" w:cs="Times New Roman" w:eastAsia="Times New Roman" w:hAnsi="Times New Roman"/>
          <w:sz w:val="22"/>
          <w:szCs w:val="22"/>
        </w:rPr>
        <w:t xml:space="preserve"> Notebook sessions and workspace monitoring both consume capacity units. For a single portfolio project on a small SKU this is not a concern, but leaving workspace monitoring on indefinitely for a project you have finished is waste — turn it off when done.</w:t>
      </w:r>
    </w:p>
    <w:p>
      <w:pPr>
        <w:pStyle w:val="ListParagraph"/>
        <w:numPr>
          <w:ilvl w:val="0"/>
          <w:numId w:val="2"/>
        </w:numPr>
        <w:spacing w:after="80" w:line="276"/>
      </w:pPr>
      <w:r>
        <w:rPr>
          <w:rFonts w:ascii="Times New Roman" w:cs="Times New Roman" w:eastAsia="Times New Roman" w:hAnsi="Times New Roman"/>
          <w:b/>
          <w:bCs/>
          <w:sz w:val="22"/>
          <w:szCs w:val="22"/>
        </w:rPr>
        <w:t xml:space="preserve">Publishing changes the surface.</w:t>
      </w:r>
      <w:r>
        <w:rPr>
          <w:rFonts w:ascii="Times New Roman" w:cs="Times New Roman" w:eastAsia="Times New Roman" w:hAnsi="Times New Roman"/>
          <w:sz w:val="22"/>
          <w:szCs w:val="22"/>
        </w:rPr>
        <w:t xml:space="preserve"> Evaluating the published model is not identical to evaluating the Desktop file: auto date/time behaviour, refresh semantics and query caching all differ. For this project the model is Import with no gateway, so the gap is negligible — but state that assumption rather than ignoring it.</w:t>
      </w:r>
    </w:p>
    <w:p>
      <w:pPr>
        <w:pStyle w:val="ListParagraph"/>
        <w:numPr>
          <w:ilvl w:val="0"/>
          <w:numId w:val="2"/>
        </w:numPr>
        <w:spacing w:after="80" w:line="276"/>
      </w:pPr>
      <w:r>
        <w:rPr>
          <w:rFonts w:ascii="Times New Roman" w:cs="Times New Roman" w:eastAsia="Times New Roman" w:hAnsi="Times New Roman"/>
          <w:b/>
          <w:bCs/>
          <w:sz w:val="22"/>
          <w:szCs w:val="22"/>
        </w:rPr>
        <w:t xml:space="preserve">Do not abandon the desktop entirely.</w:t>
      </w:r>
      <w:r>
        <w:rPr>
          <w:rFonts w:ascii="Times New Roman" w:cs="Times New Roman" w:eastAsia="Times New Roman" w:hAnsi="Times New Roman"/>
          <w:sz w:val="22"/>
          <w:szCs w:val="22"/>
        </w:rPr>
        <w:t xml:space="preserve"> Tabular Editor and DAX Studio remain the fastest way to interrogate something the notebook has flagged. Fabric is better for running the evaluation; the desktop tools are still better for the five minutes of digging afterwards.</w:t>
      </w:r>
    </w:p>
    <w:p>
      <w:r>
        <w:br w:type="page"/>
      </w:r>
    </w:p>
    <w:p>
      <w:pPr>
        <w:pStyle w:val="Heading1"/>
        <w:spacing w:after="160" w:before="360"/>
      </w:pPr>
      <w:r>
        <w:rPr>
          <w:rFonts w:ascii="Times New Roman" w:cs="Times New Roman" w:eastAsia="Times New Roman" w:hAnsi="Times New Roman"/>
          <w:b/>
          <w:bCs/>
          <w:color w:val="1F3864"/>
          <w:sz w:val="32"/>
          <w:szCs w:val="32"/>
        </w:rPr>
        <w:t xml:space="preserve">3. Tooling</w:t>
      </w:r>
    </w:p>
    <w:p>
      <w:pPr>
        <w:spacing w:after="120" w:line="276"/>
      </w:pPr>
      <w:r>
        <w:rPr>
          <w:rFonts w:ascii="Times New Roman" w:cs="Times New Roman" w:eastAsia="Times New Roman" w:hAnsi="Times New Roman"/>
          <w:sz w:val="22"/>
          <w:szCs w:val="22"/>
        </w:rPr>
        <w:t xml:space="preserve">This section assumes a clean machine with Power BI Desktop and nothing else.</w:t>
      </w:r>
    </w:p>
    <w:p>
      <w:pPr>
        <w:spacing w:after="120" w:line="276"/>
      </w:pPr>
      <w:r>
        <w:rPr>
          <w:rFonts w:ascii="Times New Roman" w:cs="Times New Roman" w:eastAsia="Times New Roman" w:hAnsi="Times New Roman"/>
          <w:sz w:val="22"/>
          <w:szCs w:val="22"/>
        </w:rPr>
        <w:t xml:space="preserve">The number of external tools strictly required by this plan is zero. Performance Analyzer — the one client-side measurement Fabric cannot make — is built into Power BI Desktop on the View ribbon, not an add-on. Everything else runs in the browser. Two tools are still worth installing, but for investigating what the evaluation flags rather than for running it.</w:t>
      </w:r>
    </w:p>
    <w:p>
      <w:pPr>
        <w:pStyle w:val="Heading2"/>
        <w:spacing w:after="120" w:before="280"/>
      </w:pPr>
      <w:r>
        <w:rPr>
          <w:rFonts w:ascii="Times New Roman" w:cs="Times New Roman" w:eastAsia="Times New Roman" w:hAnsi="Times New Roman"/>
          <w:b/>
          <w:bCs/>
          <w:color w:val="1F3864"/>
          <w:sz w:val="26"/>
          <w:szCs w:val="26"/>
        </w:rPr>
        <w:t xml:space="preserve">3.1 What you actually need</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800"/>
        <w:gridCol w:w="1700"/>
        <w:gridCol w:w="4860"/>
      </w:tblGrid>
      <w:tr>
        <w:trPr>
          <w:tblHeader/>
        </w:trPr>
        <w:tc>
          <w:tcPr>
            <w:tcW w:type="dxa" w:w="28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Component</w:t>
            </w:r>
          </w:p>
        </w:tc>
        <w:tc>
          <w:tcPr>
            <w:tcW w:type="dxa" w:w="17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Status</w:t>
            </w:r>
          </w:p>
        </w:tc>
        <w:tc>
          <w:tcPr>
            <w:tcW w:type="dxa" w:w="48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Why</w:t>
            </w:r>
          </w:p>
        </w:tc>
      </w:tr>
      <w:tr>
        <w:trPr>
          <w:tblHeader w:val="false"/>
        </w:trPr>
        <w:tc>
          <w:tcPr>
            <w:tcW w:type="dxa" w:w="28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Power BI Desktop</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Required</w:t>
            </w:r>
          </w:p>
        </w:tc>
        <w:tc>
          <w:tcPr>
            <w:tcW w:type="dxa" w:w="48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Already installed. Performance Analyzer is built in (View ribbon)</w:t>
            </w:r>
          </w:p>
        </w:tc>
      </w:tr>
      <w:tr>
        <w:trPr>
          <w:tblHeader w:val="false"/>
        </w:trPr>
        <w:tc>
          <w:tcPr>
            <w:tcW w:type="dxa" w:w="28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Fabric workspace + notebook</w:t>
            </w:r>
          </w:p>
        </w:tc>
        <w:tc>
          <w:tcPr>
            <w:tcW w:type="dxa" w:w="17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Required</w:t>
            </w:r>
          </w:p>
        </w:tc>
        <w:tc>
          <w:tcPr>
            <w:tcW w:type="dxa" w:w="48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Browser-based; nothing installs on your machine</w:t>
            </w:r>
          </w:p>
        </w:tc>
      </w:tr>
      <w:tr>
        <w:trPr>
          <w:tblHeader w:val="false"/>
        </w:trPr>
        <w:tc>
          <w:tcPr>
            <w:tcW w:type="dxa" w:w="28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semantic-link-labs</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Required</w:t>
            </w:r>
          </w:p>
        </w:tc>
        <w:tc>
          <w:tcPr>
            <w:tcW w:type="dxa" w:w="48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Installs inside the notebook, not on your machine</w:t>
            </w:r>
          </w:p>
        </w:tc>
      </w:tr>
      <w:tr>
        <w:trPr>
          <w:tblHeader w:val="false"/>
        </w:trPr>
        <w:tc>
          <w:tcPr>
            <w:tcW w:type="dxa" w:w="28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DAX Studio</w:t>
            </w:r>
          </w:p>
        </w:tc>
        <w:tc>
          <w:tcPr>
            <w:tcW w:type="dxa" w:w="17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Recommended</w:t>
            </w:r>
          </w:p>
        </w:tc>
        <w:tc>
          <w:tcPr>
            <w:tcW w:type="dxa" w:w="48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only way to see the storage-engine vs formula-engine split on a slow query</w:t>
            </w:r>
          </w:p>
        </w:tc>
      </w:tr>
      <w:tr>
        <w:trPr>
          <w:tblHeader w:val="false"/>
        </w:trPr>
        <w:tc>
          <w:tcPr>
            <w:tcW w:type="dxa" w:w="28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Tabular Editor 2</w:t>
            </w:r>
          </w:p>
        </w:tc>
        <w:tc>
          <w:tcPr>
            <w:tcW w:type="dxa" w:w="17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Recommended</w:t>
            </w:r>
          </w:p>
        </w:tc>
        <w:tc>
          <w:tcPr>
            <w:tcW w:type="dxa" w:w="48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Fastest way to apply a bulk fix the BPA flags</w:t>
            </w:r>
          </w:p>
        </w:tc>
      </w:tr>
      <w:tr>
        <w:trPr>
          <w:tblHeader w:val="false"/>
        </w:trPr>
        <w:tc>
          <w:tcPr>
            <w:tcW w:type="dxa" w:w="28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The other seven desktop-plan tools</w:t>
            </w:r>
          </w:p>
        </w:tc>
        <w:tc>
          <w:tcPr>
            <w:tcW w:type="dxa" w:w="17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Not needed</w:t>
            </w:r>
          </w:p>
        </w:tc>
        <w:tc>
          <w:tcPr>
            <w:tcW w:type="dxa" w:w="48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Superseded by notebook functions — see 3.6</w:t>
            </w:r>
          </w:p>
        </w:tc>
      </w:tr>
    </w:tbl>
    <w:p>
      <w:pPr>
        <w:pStyle w:val="Heading2"/>
        <w:spacing w:after="120" w:before="280"/>
      </w:pPr>
      <w:r>
        <w:rPr>
          <w:rFonts w:ascii="Times New Roman" w:cs="Times New Roman" w:eastAsia="Times New Roman" w:hAnsi="Times New Roman"/>
          <w:b/>
          <w:bCs/>
          <w:color w:val="1F3864"/>
          <w:sz w:val="26"/>
          <w:szCs w:val="26"/>
        </w:rPr>
        <w:t xml:space="preserve">3.2 semantic-link-labs — the only mandatory install</w:t>
      </w:r>
    </w:p>
    <w:p>
      <w:pPr>
        <w:spacing w:after="120" w:line="276"/>
      </w:pPr>
      <w:r>
        <w:rPr>
          <w:rFonts w:ascii="Times New Roman" w:cs="Times New Roman" w:eastAsia="Times New Roman" w:hAnsi="Times New Roman"/>
          <w:sz w:val="22"/>
          <w:szCs w:val="22"/>
        </w:rPr>
        <w:t xml:space="preserve">It is a Python library, so it installs into the notebook session rather than onto Windows. First cell:</w:t>
      </w:r>
    </w:p>
    <w:p>
      <w:pPr>
        <w:shd w:fill="F2F2F2" w:val="clear"/>
        <w:spacing w:after="0" w:before="100" w:line="240"/>
        <w:ind w:left="180" w:right="120"/>
      </w:pPr>
      <w:r>
        <w:rPr>
          <w:rFonts w:ascii="Consolas" w:cs="Consolas" w:eastAsia="Consolas" w:hAnsi="Consolas"/>
          <w:sz w:val="17"/>
          <w:szCs w:val="17"/>
        </w:rPr>
        <w:t xml:space="preserve">%pip install semantic-link-labs</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That is scoped to the session and re-runs every time the notebook starts, which costs a minute or two each run. To avoid that, create a Fabric Environment, add semantic-link-labs to its public libraries, and attach the notebook to it — then sessions start with the library already loaded.</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Pin the version.  </w:t>
            </w:r>
            <w:r>
              <w:rPr>
                <w:rFonts w:ascii="Times New Roman" w:cs="Times New Roman" w:eastAsia="Times New Roman" w:hAnsi="Times New Roman"/>
                <w:sz w:val="20"/>
                <w:szCs w:val="20"/>
              </w:rPr>
              <w:t xml:space="preserve">Record the installed version in a markdown cell so that a reader six months from now knows what the results were produced against. The PBIR-dependent functions are moving quickly, and Section 7.1 writes the version into the run header table for exactly this reason.</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3.3 DAX Studio (recommended, free)</w:t>
      </w:r>
    </w:p>
    <w:p>
      <w:pPr>
        <w:spacing w:after="120" w:line="276"/>
      </w:pPr>
      <w:r>
        <w:rPr>
          <w:rFonts w:ascii="Times New Roman" w:cs="Times New Roman" w:eastAsia="Times New Roman" w:hAnsi="Times New Roman"/>
          <w:sz w:val="22"/>
          <w:szCs w:val="22"/>
        </w:rPr>
        <w:t xml:space="preserve">Why: Performance Analyzer hands you the DAX query behind a slow visual and a total duration, but not where the time went. The storage-engine versus formula-engine split is what tells you whether a slow visual is a modelling problem or a DAX problem, and neither Performance Analyzer nor evaluate_dax in the notebook reports it.</w:t>
      </w:r>
    </w:p>
    <w:p>
      <w:pPr>
        <w:pStyle w:val="ListParagraph"/>
        <w:numPr>
          <w:ilvl w:val="0"/>
          <w:numId w:val="3"/>
        </w:numPr>
        <w:spacing w:after="80" w:line="276"/>
      </w:pPr>
      <w:r>
        <w:rPr>
          <w:rFonts w:ascii="Times New Roman" w:cs="Times New Roman" w:eastAsia="Times New Roman" w:hAnsi="Times New Roman"/>
          <w:sz w:val="22"/>
          <w:szCs w:val="22"/>
        </w:rPr>
        <w:t xml:space="preserve">Go to daxstudio.org/downloads and take the x64 installer.</w:t>
      </w:r>
    </w:p>
    <w:p>
      <w:pPr>
        <w:pStyle w:val="ListParagraph"/>
        <w:numPr>
          <w:ilvl w:val="0"/>
          <w:numId w:val="3"/>
        </w:numPr>
        <w:spacing w:after="80" w:line="276"/>
      </w:pPr>
      <w:r>
        <w:rPr>
          <w:rFonts w:ascii="Times New Roman" w:cs="Times New Roman" w:eastAsia="Times New Roman" w:hAnsi="Times New Roman"/>
          <w:sz w:val="22"/>
          <w:szCs w:val="22"/>
        </w:rPr>
        <w:t xml:space="preserve">Run it as administrator. If offered, choose install for all users — a per-user install will not register on the ribbon for other Windows profiles.</w:t>
      </w:r>
    </w:p>
    <w:p>
      <w:pPr>
        <w:pStyle w:val="ListParagraph"/>
        <w:numPr>
          <w:ilvl w:val="0"/>
          <w:numId w:val="3"/>
        </w:numPr>
        <w:spacing w:after="80" w:line="276"/>
      </w:pPr>
      <w:r>
        <w:rPr>
          <w:rFonts w:ascii="Times New Roman" w:cs="Times New Roman" w:eastAsia="Times New Roman" w:hAnsi="Times New Roman"/>
          <w:sz w:val="22"/>
          <w:szCs w:val="22"/>
        </w:rPr>
        <w:t xml:space="preserve">On the components screen leave Power BI / SSDT Integration ticked. That is the option that writes the registration file putting DAX Studio on the ribbon.</w:t>
      </w:r>
    </w:p>
    <w:p>
      <w:pPr>
        <w:pStyle w:val="ListParagraph"/>
        <w:numPr>
          <w:ilvl w:val="0"/>
          <w:numId w:val="3"/>
        </w:numPr>
        <w:spacing w:after="80" w:line="276"/>
      </w:pPr>
      <w:r>
        <w:rPr>
          <w:rFonts w:ascii="Times New Roman" w:cs="Times New Roman" w:eastAsia="Times New Roman" w:hAnsi="Times New Roman"/>
          <w:sz w:val="22"/>
          <w:szCs w:val="22"/>
        </w:rPr>
        <w:t xml:space="preserve">Restart Power BI Desktop — the External Tools ribbon is only read at startup.</w:t>
      </w:r>
    </w:p>
    <w:p>
      <w:pPr>
        <w:pStyle w:val="ListParagraph"/>
        <w:numPr>
          <w:ilvl w:val="0"/>
          <w:numId w:val="3"/>
        </w:numPr>
        <w:spacing w:after="80" w:line="276"/>
      </w:pPr>
      <w:r>
        <w:rPr>
          <w:rFonts w:ascii="Times New Roman" w:cs="Times New Roman" w:eastAsia="Times New Roman" w:hAnsi="Times New Roman"/>
          <w:sz w:val="22"/>
          <w:szCs w:val="22"/>
        </w:rPr>
        <w:t xml:space="preserve">Verify: open the .pbix, then External Tools → DAX Studio. It should connect to the open model without asking for a connection string.</w:t>
      </w:r>
    </w:p>
    <w:p>
      <w:pPr>
        <w:spacing w:after="120" w:line="276"/>
      </w:pPr>
      <w:r>
        <w:rPr>
          <w:rFonts w:ascii="Times New Roman" w:cs="Times New Roman" w:eastAsia="Times New Roman" w:hAnsi="Times New Roman"/>
          <w:sz w:val="22"/>
          <w:szCs w:val="22"/>
        </w:rPr>
        <w:t xml:space="preserve">Do not install VertiPaq Analyzer separately. It ships inside DAX Studio (Advanced → View Metrics) and is the same engine. The standalone Excel workbook is the same thing in a different wrapper.</w:t>
      </w:r>
    </w:p>
    <w:p>
      <w:pPr>
        <w:pStyle w:val="Heading2"/>
        <w:spacing w:after="120" w:before="280"/>
      </w:pPr>
      <w:r>
        <w:rPr>
          <w:rFonts w:ascii="Times New Roman" w:cs="Times New Roman" w:eastAsia="Times New Roman" w:hAnsi="Times New Roman"/>
          <w:b/>
          <w:bCs/>
          <w:color w:val="1F3864"/>
          <w:sz w:val="26"/>
          <w:szCs w:val="26"/>
        </w:rPr>
        <w:t xml:space="preserve">3.4 Tabular Editor 2 (recommended, free and open source)</w:t>
      </w:r>
    </w:p>
    <w:p>
      <w:pPr>
        <w:spacing w:after="120" w:line="276"/>
      </w:pPr>
      <w:r>
        <w:rPr>
          <w:rFonts w:ascii="Times New Roman" w:cs="Times New Roman" w:eastAsia="Times New Roman" w:hAnsi="Times New Roman"/>
          <w:sz w:val="22"/>
          <w:szCs w:val="22"/>
        </w:rPr>
        <w:t xml:space="preserve">Why: the notebook finds issues; this is how you fix a whole class of them at once. Selecting twenty measures and setting one property in a single action beats clicking each one in Desktop — the remediation recorded in document 21 §3.2 set twenty-seven format strings in one operation, and Tabular Editor is the GUI equivalent of that.</w:t>
      </w:r>
    </w:p>
    <w:p>
      <w:pPr>
        <w:pStyle w:val="ListParagraph"/>
        <w:numPr>
          <w:ilvl w:val="0"/>
          <w:numId w:val="4"/>
        </w:numPr>
        <w:spacing w:after="80" w:line="276"/>
      </w:pPr>
      <w:r>
        <w:rPr>
          <w:rFonts w:ascii="Times New Roman" w:cs="Times New Roman" w:eastAsia="Times New Roman" w:hAnsi="Times New Roman"/>
          <w:sz w:val="22"/>
          <w:szCs w:val="22"/>
        </w:rPr>
        <w:t xml:space="preserve">Go to github.com/TabularEditor/TabularEditor/releases/latest and download TabularEditor.Installer.msi.</w:t>
      </w:r>
    </w:p>
    <w:p>
      <w:pPr>
        <w:pStyle w:val="ListParagraph"/>
        <w:numPr>
          <w:ilvl w:val="0"/>
          <w:numId w:val="4"/>
        </w:numPr>
        <w:spacing w:after="80" w:line="276"/>
      </w:pPr>
      <w:r>
        <w:rPr>
          <w:rFonts w:ascii="Times New Roman" w:cs="Times New Roman" w:eastAsia="Times New Roman" w:hAnsi="Times New Roman"/>
          <w:sz w:val="22"/>
          <w:szCs w:val="22"/>
        </w:rPr>
        <w:t xml:space="preserve">Run the MSI, accept the terms, Install. Administrator rights may be requested.</w:t>
      </w:r>
    </w:p>
    <w:p>
      <w:pPr>
        <w:pStyle w:val="ListParagraph"/>
        <w:numPr>
          <w:ilvl w:val="0"/>
          <w:numId w:val="4"/>
        </w:numPr>
        <w:spacing w:after="80" w:line="276"/>
      </w:pPr>
      <w:r>
        <w:rPr>
          <w:rFonts w:ascii="Times New Roman" w:cs="Times New Roman" w:eastAsia="Times New Roman" w:hAnsi="Times New Roman"/>
          <w:sz w:val="22"/>
          <w:szCs w:val="22"/>
        </w:rPr>
        <w:t xml:space="preserve">The installer detects where Power BI Desktop lives and writes the ribbon registration itself — there is no manual step.</w:t>
      </w:r>
    </w:p>
    <w:p>
      <w:pPr>
        <w:pStyle w:val="ListParagraph"/>
        <w:numPr>
          <w:ilvl w:val="0"/>
          <w:numId w:val="4"/>
        </w:numPr>
        <w:spacing w:after="80" w:line="276"/>
      </w:pPr>
      <w:r>
        <w:rPr>
          <w:rFonts w:ascii="Times New Roman" w:cs="Times New Roman" w:eastAsia="Times New Roman" w:hAnsi="Times New Roman"/>
          <w:sz w:val="22"/>
          <w:szCs w:val="22"/>
        </w:rPr>
        <w:t xml:space="preserve">Restart Power BI Desktop.</w:t>
      </w:r>
    </w:p>
    <w:p>
      <w:pPr>
        <w:pStyle w:val="ListParagraph"/>
        <w:numPr>
          <w:ilvl w:val="0"/>
          <w:numId w:val="4"/>
        </w:numPr>
        <w:spacing w:after="80" w:line="276"/>
      </w:pPr>
      <w:r>
        <w:rPr>
          <w:rFonts w:ascii="Times New Roman" w:cs="Times New Roman" w:eastAsia="Times New Roman" w:hAnsi="Times New Roman"/>
          <w:sz w:val="22"/>
          <w:szCs w:val="22"/>
        </w:rPr>
        <w:t xml:space="preserve">Verify: External Tools → Tabular Editor. It should open with the model already loaded in the tree.</w:t>
      </w:r>
    </w:p>
    <w:p>
      <w:pPr>
        <w:spacing w:after="120" w:line="276"/>
      </w:pPr>
      <w:r>
        <w:rPr>
          <w:rFonts w:ascii="Times New Roman" w:cs="Times New Roman" w:eastAsia="Times New Roman" w:hAnsi="Times New Roman"/>
          <w:sz w:val="22"/>
          <w:szCs w:val="22"/>
        </w:rPr>
        <w:t xml:space="preserve">Take version 2, not version 3. Tabular Editor 3 is a paid commercial product. Nothing in this runbook needs it, and version 2 has the Best Practice Analyzer and the multi-select property editing that make the tool worth having.</w:t>
      </w:r>
    </w:p>
    <w:p>
      <w:pPr>
        <w:pStyle w:val="Heading2"/>
        <w:spacing w:after="120" w:before="280"/>
      </w:pPr>
      <w:r>
        <w:rPr>
          <w:rFonts w:ascii="Times New Roman" w:cs="Times New Roman" w:eastAsia="Times New Roman" w:hAnsi="Times New Roman"/>
          <w:b/>
          <w:bCs/>
          <w:color w:val="1F3864"/>
          <w:sz w:val="26"/>
          <w:szCs w:val="26"/>
        </w:rPr>
        <w:t xml:space="preserve">3.5 If a tool does not appear on the ribbon</w:t>
      </w:r>
    </w:p>
    <w:p>
      <w:pPr>
        <w:pStyle w:val="ListParagraph"/>
        <w:numPr>
          <w:ilvl w:val="0"/>
          <w:numId w:val="2"/>
        </w:numPr>
        <w:spacing w:after="80" w:line="276"/>
      </w:pPr>
      <w:r>
        <w:rPr>
          <w:rFonts w:ascii="Times New Roman" w:cs="Times New Roman" w:eastAsia="Times New Roman" w:hAnsi="Times New Roman"/>
          <w:sz w:val="22"/>
          <w:szCs w:val="22"/>
        </w:rPr>
        <w:t xml:space="preserve">Registration works by dropping a </w:t>
      </w:r>
      <w:r>
        <w:rPr>
          <w:rFonts w:ascii="Consolas" w:cs="Consolas" w:eastAsia="Consolas" w:hAnsi="Consolas"/>
          <w:sz w:val="19"/>
          <w:szCs w:val="19"/>
        </w:rPr>
        <w:t xml:space="preserve">*.pbitool.json</w:t>
      </w:r>
      <w:r>
        <w:rPr>
          <w:rFonts w:ascii="Times New Roman" w:cs="Times New Roman" w:eastAsia="Times New Roman" w:hAnsi="Times New Roman"/>
          <w:sz w:val="22"/>
          <w:szCs w:val="22"/>
        </w:rPr>
        <w:t xml:space="preserve"> file into the Power BI Desktop external tools folder. Check whether the file is there:</w:t>
      </w:r>
    </w:p>
    <w:p>
      <w:pPr>
        <w:shd w:fill="F2F2F2" w:val="clear"/>
        <w:spacing w:after="0" w:before="100" w:line="240"/>
        <w:ind w:left="180" w:right="120"/>
      </w:pPr>
      <w:r>
        <w:rPr>
          <w:rFonts w:ascii="Consolas" w:cs="Consolas" w:eastAsia="Consolas" w:hAnsi="Consolas"/>
          <w:sz w:val="17"/>
          <w:szCs w:val="17"/>
        </w:rPr>
        <w:t xml:space="preserve">C:\Program Files (x86)\Common Files\Microsoft Shared\Power BI Desktop\External Tools</w:t>
      </w:r>
    </w:p>
    <w:p>
      <w:pPr>
        <w:spacing w:after="140"/>
      </w:pPr>
      <w:r>
        <w:rPr>
          <w:sz w:val="8"/>
          <w:szCs w:val="8"/>
        </w:rPr>
        <w:t xml:space="preserve"/>
      </w:r>
    </w:p>
    <w:p>
      <w:pPr>
        <w:pStyle w:val="ListParagraph"/>
        <w:numPr>
          <w:ilvl w:val="0"/>
          <w:numId w:val="2"/>
        </w:numPr>
        <w:spacing w:after="80" w:line="276"/>
      </w:pPr>
      <w:r>
        <w:rPr>
          <w:rFonts w:ascii="Times New Roman" w:cs="Times New Roman" w:eastAsia="Times New Roman" w:hAnsi="Times New Roman"/>
          <w:sz w:val="22"/>
          <w:szCs w:val="22"/>
        </w:rPr>
        <w:t xml:space="preserve">If the folder is empty, the installer ran without the rights to write there. Reinstall as administrator.</w:t>
      </w:r>
    </w:p>
    <w:p>
      <w:pPr>
        <w:pStyle w:val="ListParagraph"/>
        <w:numPr>
          <w:ilvl w:val="0"/>
          <w:numId w:val="2"/>
        </w:numPr>
        <w:spacing w:after="80" w:line="276"/>
      </w:pPr>
      <w:r>
        <w:rPr>
          <w:rFonts w:ascii="Times New Roman" w:cs="Times New Roman" w:eastAsia="Times New Roman" w:hAnsi="Times New Roman"/>
          <w:sz w:val="22"/>
          <w:szCs w:val="22"/>
        </w:rPr>
        <w:t xml:space="preserve">If the External Tools ribbon tab is missing entirely, Power BI Desktop predates July 2020 — not a realistic concern on a current build, but that is the failure mode.</w:t>
      </w:r>
    </w:p>
    <w:p>
      <w:pPr>
        <w:pStyle w:val="ListParagraph"/>
        <w:numPr>
          <w:ilvl w:val="0"/>
          <w:numId w:val="2"/>
        </w:numPr>
        <w:spacing w:after="80" w:line="276"/>
      </w:pPr>
      <w:r>
        <w:rPr>
          <w:rFonts w:ascii="Times New Roman" w:cs="Times New Roman" w:eastAsia="Times New Roman" w:hAnsi="Times New Roman"/>
          <w:sz w:val="22"/>
          <w:szCs w:val="22"/>
        </w:rPr>
        <w:t xml:space="preserve">Restart Desktop after any install. The ribbon is populated at startup only.</w:t>
      </w:r>
    </w:p>
    <w:p>
      <w:pPr>
        <w:pStyle w:val="Heading2"/>
        <w:spacing w:after="120" w:before="280"/>
      </w:pPr>
      <w:r>
        <w:rPr>
          <w:rFonts w:ascii="Times New Roman" w:cs="Times New Roman" w:eastAsia="Times New Roman" w:hAnsi="Times New Roman"/>
          <w:b/>
          <w:bCs/>
          <w:color w:val="1F3864"/>
          <w:sz w:val="26"/>
          <w:szCs w:val="26"/>
        </w:rPr>
        <w:t xml:space="preserve">3.6 What deliberately stays uninstalled</w:t>
      </w:r>
    </w:p>
    <w:p>
      <w:pPr>
        <w:spacing w:after="120" w:line="276"/>
      </w:pPr>
      <w:r>
        <w:rPr>
          <w:rFonts w:ascii="Times New Roman" w:cs="Times New Roman" w:eastAsia="Times New Roman" w:hAnsi="Times New Roman"/>
          <w:sz w:val="22"/>
          <w:szCs w:val="22"/>
        </w:rPr>
        <w:t xml:space="preserve">The desktop plan called for nine tools. Seven are now redundant because the notebook does the same work: PBI Inspector, PBI Explorer, Measure Killer, Model Documenter, Analyze in Excel, Report Analyzer and Business Ops.</w:t>
      </w:r>
    </w:p>
    <w:p>
      <w:pPr>
        <w:spacing w:after="120" w:line="276"/>
      </w:pPr>
      <w:r>
        <w:rPr>
          <w:rFonts w:ascii="Times New Roman" w:cs="Times New Roman" w:eastAsia="Times New Roman" w:hAnsi="Times New Roman"/>
          <w:sz w:val="22"/>
          <w:szCs w:val="22"/>
        </w:rPr>
        <w:t xml:space="preserve">Business Ops deserves a specific note. It exists to bulk-install a catalogue of thirty-plus tools, which was sound advice when the plan needed nine of them. Installing a package manager to obtain two tools is more work than downloading two installers, so skip it.</w:t>
      </w:r>
    </w:p>
    <w:p>
      <w:pPr>
        <w:spacing w:after="120" w:line="276"/>
      </w:pPr>
      <w:r>
        <w:rPr>
          <w:rFonts w:ascii="Times New Roman" w:cs="Times New Roman" w:eastAsia="Times New Roman" w:hAnsi="Times New Roman"/>
          <w:sz w:val="22"/>
          <w:szCs w:val="22"/>
        </w:rPr>
        <w:t xml:space="preserve">One optional exception: Report Analyzer from Elegant BI is a .pbit template rather than a ribbon tool, so there is nothing to install and nothing to register. If you would rather read Performance Analyzer output as a Power BI report than as JSON in the notebook, open it. That is a preference, not a requirement.</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Measure Killer is worth one more mention.  </w:t>
            </w:r>
            <w:r>
              <w:rPr>
                <w:rFonts w:ascii="Times New Roman" w:cs="Times New Roman" w:eastAsia="Times New Roman" w:hAnsi="Times New Roman"/>
                <w:sz w:val="20"/>
                <w:szCs w:val="20"/>
              </w:rPr>
              <w:t xml:space="preserve">It is superseded for routine use, but the unused-object audit recorded in document 21 §8 was run with it, and its findings are triaged per object in UnusedColumnsMeasures_Evaluated.xlsx. Phase 6 of the runbook reproduces that audit in three lines of Python. If you already have the tool installed, there is no harm in cross-checking.</w:t>
            </w:r>
          </w:p>
        </w:tc>
      </w:tr>
    </w:tbl>
    <w:p>
      <w:pPr>
        <w:spacing w:after="120"/>
      </w:pPr>
      <w:r>
        <w:rPr>
          <w:sz w:val="10"/>
          <w:szCs w:val="10"/>
        </w:rPr>
        <w:t xml:space="preserve"/>
      </w:r>
    </w:p>
    <w:p>
      <w:r>
        <w:br w:type="page"/>
      </w:r>
    </w:p>
    <w:p>
      <w:pPr>
        <w:pStyle w:val="Heading1"/>
        <w:spacing w:after="160" w:before="360"/>
      </w:pPr>
      <w:r>
        <w:rPr>
          <w:rFonts w:ascii="Times New Roman" w:cs="Times New Roman" w:eastAsia="Times New Roman" w:hAnsi="Times New Roman"/>
          <w:b/>
          <w:bCs/>
          <w:color w:val="1F3864"/>
          <w:sz w:val="32"/>
          <w:szCs w:val="32"/>
        </w:rPr>
        <w:t xml:space="preserve">4. Environment Setup</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Read document 30 §5 first, once.  </w:t>
            </w:r>
            <w:r>
              <w:rPr>
                <w:rFonts w:ascii="Times New Roman" w:cs="Times New Roman" w:eastAsia="Times New Roman" w:hAnsi="Times New Roman"/>
                <w:sz w:val="20"/>
                <w:szCs w:val="20"/>
              </w:rPr>
              <w:t xml:space="preserve">Confirming Fabric capacity, creating a workspace on it, and creating a lakehouse are explained in full in document 30, Sections 5.1 to 5.3, along with the licence-mode trap that blocks first-time users. That ground is not repeated here. This section covers only what is specific to the evaluation: the notebook, its default lakehouse, and the library.</w:t>
            </w:r>
          </w:p>
        </w:tc>
      </w:tr>
    </w:tbl>
    <w:p>
      <w:pPr>
        <w:spacing w:after="120"/>
      </w:pPr>
      <w:r>
        <w:rPr>
          <w:sz w:val="10"/>
          <w:szCs w:val="10"/>
        </w:rPr>
        <w:t xml:space="preserve"/>
      </w:r>
    </w:p>
    <w:p>
      <w:pPr>
        <w:spacing w:after="120" w:line="276"/>
      </w:pPr>
      <w:r>
        <w:rPr>
          <w:rFonts w:ascii="Times New Roman" w:cs="Times New Roman" w:eastAsia="Times New Roman" w:hAnsi="Times New Roman"/>
          <w:sz w:val="22"/>
          <w:szCs w:val="22"/>
        </w:rPr>
        <w:t xml:space="preserve">Roughly twenty-five minutes the first time including the document 30 steps, five minutes every time after.</w:t>
      </w:r>
    </w:p>
    <w:p>
      <w:pPr>
        <w:pStyle w:val="Heading2"/>
        <w:spacing w:after="120" w:before="280"/>
      </w:pPr>
      <w:r>
        <w:rPr>
          <w:rFonts w:ascii="Times New Roman" w:cs="Times New Roman" w:eastAsia="Times New Roman" w:hAnsi="Times New Roman"/>
          <w:b/>
          <w:bCs/>
          <w:color w:val="1F3864"/>
          <w:sz w:val="26"/>
          <w:szCs w:val="26"/>
        </w:rPr>
        <w:t xml:space="preserve">4.1 Names used in this document</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3000"/>
        <w:gridCol w:w="3000"/>
        <w:gridCol w:w="3360"/>
      </w:tblGrid>
      <w:tr>
        <w:trPr>
          <w:tblHeader/>
        </w:trPr>
        <w:tc>
          <w:tcPr>
            <w:tcW w:type="dxa" w:w="30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Item</w:t>
            </w:r>
          </w:p>
        </w:tc>
        <w:tc>
          <w:tcPr>
            <w:tcW w:type="dxa" w:w="30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Name used here</w:t>
            </w:r>
          </w:p>
        </w:tc>
        <w:tc>
          <w:tcPr>
            <w:tcW w:type="dxa" w:w="33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Note</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Workspace</w:t>
            </w:r>
          </w:p>
        </w:tc>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Retail-Portfolio-Evaluation</w:t>
            </w:r>
          </w:p>
        </w:tc>
        <w:tc>
          <w:tcPr>
            <w:tcW w:type="dxa" w:w="33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Must be on a Fabric capacity — document 30 §5.2</w:t>
            </w:r>
          </w:p>
        </w:tc>
      </w:tr>
      <w:tr>
        <w:trPr>
          <w:tblHeader w:val="false"/>
        </w:trPr>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Lakehouse</w:t>
            </w:r>
          </w:p>
        </w:tc>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EvaluationLake</w:t>
            </w:r>
          </w:p>
        </w:tc>
        <w:tc>
          <w:tcPr>
            <w:tcW w:type="dxa" w:w="33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Document 30 §5.3</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Notebook</w:t>
            </w:r>
          </w:p>
        </w:tc>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Evaluation Run</w:t>
            </w:r>
          </w:p>
        </w:tc>
        <w:tc>
          <w:tcPr>
            <w:tcW w:type="dxa" w:w="33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Created in 4.2</w:t>
            </w:r>
          </w:p>
        </w:tc>
      </w:tr>
      <w:tr>
        <w:trPr>
          <w:tblHeader w:val="false"/>
        </w:trPr>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Semantic model under test</w:t>
            </w:r>
          </w:p>
        </w:tc>
        <w:tc>
          <w:tcPr>
            <w:tcW w:type="dxa" w:w="30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Retail_Sales_Forecasting</w:t>
            </w:r>
          </w:p>
        </w:tc>
        <w:tc>
          <w:tcPr>
            <w:tcW w:type="dxa" w:w="33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published model, not the Desktop file</w:t>
            </w:r>
          </w:p>
        </w:tc>
      </w:tr>
      <w:tr>
        <w:trPr>
          <w:tblHeader w:val="false"/>
        </w:trPr>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Report under test</w:t>
            </w:r>
          </w:p>
        </w:tc>
        <w:tc>
          <w:tcPr>
            <w:tcW w:type="dxa" w:w="30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Retail_Sales_Forecasting</w:t>
            </w:r>
          </w:p>
        </w:tc>
        <w:tc>
          <w:tcPr>
            <w:tcW w:type="dxa" w:w="33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Must be PBIR</w:t>
            </w:r>
          </w:p>
        </w:tc>
      </w:tr>
    </w:tbl>
    <w:p>
      <w:pPr>
        <w:spacing w:after="120" w:line="276"/>
      </w:pPr>
      <w:r>
        <w:rPr>
          <w:rFonts w:ascii="Times New Roman" w:cs="Times New Roman" w:eastAsia="Times New Roman" w:hAnsi="Times New Roman"/>
          <w:sz w:val="22"/>
          <w:szCs w:val="22"/>
        </w:rPr>
        <w:t xml:space="preserve">If you are also following document 30 and already have LH_Superstore in a Retail Analytics workspace, you may reuse it. Keeping the evaluation in its own workspace is cleaner — the evaluation lakehouse accumulates run history that has nothing to do with the reporting solution — but nothing here depends on the separation.</w:t>
      </w:r>
    </w:p>
    <w:p>
      <w:pPr>
        <w:pStyle w:val="Heading2"/>
        <w:spacing w:after="120" w:before="280"/>
      </w:pPr>
      <w:r>
        <w:rPr>
          <w:rFonts w:ascii="Times New Roman" w:cs="Times New Roman" w:eastAsia="Times New Roman" w:hAnsi="Times New Roman"/>
          <w:b/>
          <w:bCs/>
          <w:color w:val="1F3864"/>
          <w:sz w:val="26"/>
          <w:szCs w:val="26"/>
        </w:rPr>
        <w:t xml:space="preserve">4.2 Create the notebook and attach the lakehouse</w:t>
      </w:r>
    </w:p>
    <w:p>
      <w:pPr>
        <w:pStyle w:val="ListParagraph"/>
        <w:numPr>
          <w:ilvl w:val="0"/>
          <w:numId w:val="5"/>
        </w:numPr>
        <w:spacing w:after="80" w:line="276"/>
      </w:pPr>
      <w:r>
        <w:rPr>
          <w:rFonts w:ascii="Times New Roman" w:cs="Times New Roman" w:eastAsia="Times New Roman" w:hAnsi="Times New Roman"/>
          <w:sz w:val="22"/>
          <w:szCs w:val="22"/>
        </w:rPr>
        <w:t xml:space="preserve">In the workspace: New item → Notebook.</w:t>
      </w:r>
    </w:p>
    <w:p>
      <w:pPr>
        <w:pStyle w:val="ListParagraph"/>
        <w:numPr>
          <w:ilvl w:val="0"/>
          <w:numId w:val="5"/>
        </w:numPr>
        <w:spacing w:after="80" w:line="276"/>
      </w:pPr>
      <w:r>
        <w:rPr>
          <w:rFonts w:ascii="Times New Roman" w:cs="Times New Roman" w:eastAsia="Times New Roman" w:hAnsi="Times New Roman"/>
          <w:sz w:val="22"/>
          <w:szCs w:val="22"/>
        </w:rPr>
        <w:t xml:space="preserve">Rename it from the title at the top left — </w:t>
      </w:r>
      <w:r>
        <w:rPr>
          <w:rFonts w:ascii="Consolas" w:cs="Consolas" w:eastAsia="Consolas" w:hAnsi="Consolas"/>
          <w:sz w:val="19"/>
          <w:szCs w:val="19"/>
        </w:rPr>
        <w:t xml:space="preserve">Evaluation Run</w:t>
      </w:r>
      <w:r>
        <w:rPr>
          <w:rFonts w:ascii="Times New Roman" w:cs="Times New Roman" w:eastAsia="Times New Roman" w:hAnsi="Times New Roman"/>
          <w:sz w:val="22"/>
          <w:szCs w:val="22"/>
        </w:rPr>
        <w:t xml:space="preserve">.</w:t>
      </w:r>
    </w:p>
    <w:p>
      <w:pPr>
        <w:pStyle w:val="ListParagraph"/>
        <w:numPr>
          <w:ilvl w:val="0"/>
          <w:numId w:val="5"/>
        </w:numPr>
        <w:spacing w:after="80" w:line="276"/>
      </w:pPr>
      <w:r>
        <w:rPr>
          <w:rFonts w:ascii="Times New Roman" w:cs="Times New Roman" w:eastAsia="Times New Roman" w:hAnsi="Times New Roman"/>
          <w:sz w:val="22"/>
          <w:szCs w:val="22"/>
        </w:rPr>
        <w:t xml:space="preserve">In the Explorer pane on the left: </w:t>
      </w:r>
      <w:r>
        <w:rPr>
          <w:rFonts w:ascii="Times New Roman" w:cs="Times New Roman" w:eastAsia="Times New Roman" w:hAnsi="Times New Roman"/>
          <w:b/>
          <w:bCs/>
          <w:sz w:val="22"/>
          <w:szCs w:val="22"/>
        </w:rPr>
        <w:t xml:space="preserve">Lakehouses → Add → Existing lakehouse → EvaluationLake</w:t>
      </w:r>
      <w:r>
        <w:rPr>
          <w:rFonts w:ascii="Times New Roman" w:cs="Times New Roman" w:eastAsia="Times New Roman" w:hAnsi="Times New Roman"/>
          <w:sz w:val="22"/>
          <w:szCs w:val="22"/>
        </w:rPr>
        <w:t xml:space="preserve">.</w:t>
      </w:r>
    </w:p>
    <w:p>
      <w:pPr>
        <w:pStyle w:val="ListParagraph"/>
        <w:numPr>
          <w:ilvl w:val="0"/>
          <w:numId w:val="5"/>
        </w:numPr>
        <w:spacing w:after="80" w:line="276"/>
      </w:pPr>
      <w:r>
        <w:rPr>
          <w:rFonts w:ascii="Times New Roman" w:cs="Times New Roman" w:eastAsia="Times New Roman" w:hAnsi="Times New Roman"/>
          <w:sz w:val="22"/>
          <w:szCs w:val="22"/>
        </w:rPr>
        <w:t xml:space="preserve">Confirm it is set as the default. If you ever attach more than one, right-click the one you want and choose Set as default.</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This step is not optional.  </w:t>
            </w:r>
            <w:r>
              <w:rPr>
                <w:rFonts w:ascii="Times New Roman" w:cs="Times New Roman" w:eastAsia="Times New Roman" w:hAnsi="Times New Roman"/>
                <w:sz w:val="20"/>
                <w:szCs w:val="20"/>
              </w:rPr>
              <w:t xml:space="preserve">run_model_bpa(export=True) writes to the default lakehouse and has no parameter to point it elsewhere. With no lakehouse attached the call appears to succeed and no table appears — a silent failure that costs twenty minutes the first time you hit it.</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4.3 Run your first cells</w:t>
      </w:r>
    </w:p>
    <w:p>
      <w:pPr>
        <w:pStyle w:val="ListParagraph"/>
        <w:numPr>
          <w:ilvl w:val="0"/>
          <w:numId w:val="6"/>
        </w:numPr>
        <w:spacing w:after="80" w:line="276"/>
      </w:pPr>
      <w:r>
        <w:rPr>
          <w:rFonts w:ascii="Times New Roman" w:cs="Times New Roman" w:eastAsia="Times New Roman" w:hAnsi="Times New Roman"/>
          <w:sz w:val="22"/>
          <w:szCs w:val="22"/>
        </w:rPr>
        <w:t xml:space="preserve">Click into the first cell, type the install command, and press Shift+Enter.</w:t>
      </w:r>
    </w:p>
    <w:p>
      <w:pPr>
        <w:shd w:fill="F2F2F2" w:val="clear"/>
        <w:spacing w:after="0" w:before="100" w:line="240"/>
        <w:ind w:left="180" w:right="120"/>
      </w:pPr>
      <w:r>
        <w:rPr>
          <w:rFonts w:ascii="Consolas" w:cs="Consolas" w:eastAsia="Consolas" w:hAnsi="Consolas"/>
          <w:sz w:val="17"/>
          <w:szCs w:val="17"/>
        </w:rPr>
        <w:t xml:space="preserve">%pip install semantic-link-labs</w:t>
      </w:r>
    </w:p>
    <w:p>
      <w:pPr>
        <w:spacing w:after="140"/>
      </w:pPr>
      <w:r>
        <w:rPr>
          <w:sz w:val="8"/>
          <w:szCs w:val="8"/>
        </w:rPr>
        <w:t xml:space="preserve"/>
      </w:r>
    </w:p>
    <w:p>
      <w:pPr>
        <w:pStyle w:val="ListParagraph"/>
        <w:numPr>
          <w:ilvl w:val="0"/>
          <w:numId w:val="7"/>
        </w:numPr>
        <w:spacing w:after="80" w:line="276"/>
      </w:pPr>
      <w:r>
        <w:rPr>
          <w:rFonts w:ascii="Times New Roman" w:cs="Times New Roman" w:eastAsia="Times New Roman" w:hAnsi="Times New Roman"/>
          <w:sz w:val="22"/>
          <w:szCs w:val="22"/>
        </w:rPr>
        <w:t xml:space="preserve">The Spark session starts on this first run — one to two minutes is normal, and it is a one-off per session, not per cell.</w:t>
      </w:r>
    </w:p>
    <w:p>
      <w:pPr>
        <w:pStyle w:val="ListParagraph"/>
        <w:numPr>
          <w:ilvl w:val="0"/>
          <w:numId w:val="7"/>
        </w:numPr>
        <w:spacing w:after="80" w:line="276"/>
      </w:pPr>
      <w:r>
        <w:rPr>
          <w:rFonts w:ascii="Times New Roman" w:cs="Times New Roman" w:eastAsia="Times New Roman" w:hAnsi="Times New Roman"/>
          <w:sz w:val="22"/>
          <w:szCs w:val="22"/>
        </w:rPr>
        <w:t xml:space="preserve">Keep </w:t>
      </w:r>
      <w:r>
        <w:rPr>
          <w:rFonts w:ascii="Consolas" w:cs="Consolas" w:eastAsia="Consolas" w:hAnsi="Consolas"/>
          <w:sz w:val="19"/>
          <w:szCs w:val="19"/>
        </w:rPr>
        <w:t xml:space="preserve">%pip</w:t>
      </w:r>
      <w:r>
        <w:rPr>
          <w:rFonts w:ascii="Times New Roman" w:cs="Times New Roman" w:eastAsia="Times New Roman" w:hAnsi="Times New Roman"/>
          <w:sz w:val="22"/>
          <w:szCs w:val="22"/>
        </w:rPr>
        <w:t xml:space="preserve"> in its own cell, above the imports. If you put it after them you will get ModuleNotFoundError.</w:t>
      </w:r>
    </w:p>
    <w:p>
      <w:pPr>
        <w:pStyle w:val="ListParagraph"/>
        <w:numPr>
          <w:ilvl w:val="0"/>
          <w:numId w:val="7"/>
        </w:numPr>
        <w:spacing w:after="80" w:line="276"/>
      </w:pPr>
      <w:r>
        <w:rPr>
          <w:rFonts w:ascii="Times New Roman" w:cs="Times New Roman" w:eastAsia="Times New Roman" w:hAnsi="Times New Roman"/>
          <w:sz w:val="22"/>
          <w:szCs w:val="22"/>
        </w:rPr>
        <w:t xml:space="preserve">Then import, in a second cell, and pin the version:</w:t>
      </w:r>
    </w:p>
    <w:p>
      <w:pPr>
        <w:shd w:fill="F2F2F2" w:val="clear"/>
        <w:spacing w:after="0" w:before="100" w:line="240"/>
        <w:ind w:left="180" w:right="120"/>
      </w:pPr>
      <w:r>
        <w:rPr>
          <w:rFonts w:ascii="Consolas" w:cs="Consolas" w:eastAsia="Consolas" w:hAnsi="Consolas"/>
          <w:sz w:val="17"/>
          <w:szCs w:val="17"/>
        </w:rPr>
        <w:t xml:space="preserve">import sempy_labs as labs</w:t>
      </w:r>
    </w:p>
    <w:p>
      <w:pPr>
        <w:shd w:fill="F2F2F2" w:val="clear"/>
        <w:spacing w:after="0" w:before="0" w:line="240"/>
        <w:ind w:left="180" w:right="120"/>
      </w:pPr>
      <w:r>
        <w:rPr>
          <w:rFonts w:ascii="Consolas" w:cs="Consolas" w:eastAsia="Consolas" w:hAnsi="Consolas"/>
          <w:sz w:val="17"/>
          <w:szCs w:val="17"/>
        </w:rPr>
        <w:t xml:space="preserve">import sempy_labs.report as rep</w:t>
      </w:r>
    </w:p>
    <w:p>
      <w:pPr>
        <w:shd w:fill="F2F2F2" w:val="clear"/>
        <w:spacing w:after="0" w:before="0" w:line="240"/>
        <w:ind w:left="180" w:right="120"/>
      </w:pPr>
      <w:r>
        <w:rPr>
          <w:rFonts w:ascii="Consolas" w:cs="Consolas" w:eastAsia="Consolas" w:hAnsi="Consolas"/>
          <w:sz w:val="17"/>
          <w:szCs w:val="17"/>
        </w:rPr>
        <w:t xml:space="preserve">import sempy.fabric as fabric</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print("semantic-link-labs", labs.__version__)</w:t>
      </w:r>
    </w:p>
    <w:p>
      <w:pPr>
        <w:shd w:fill="F2F2F2" w:val="clear"/>
        <w:spacing w:after="0" w:before="0" w:line="240"/>
        <w:ind w:left="180" w:right="120"/>
      </w:pPr>
      <w:r>
        <w:rPr>
          <w:rFonts w:ascii="Consolas" w:cs="Consolas" w:eastAsia="Consolas" w:hAnsi="Consolas"/>
          <w:sz w:val="17"/>
          <w:szCs w:val="17"/>
        </w:rPr>
        <w:t xml:space="preserve"># Record this in a markdown cell. Section 7.1 also writes it to the</w:t>
      </w:r>
    </w:p>
    <w:p>
      <w:pPr>
        <w:shd w:fill="F2F2F2" w:val="clear"/>
        <w:spacing w:after="0" w:before="0" w:line="240"/>
        <w:ind w:left="180" w:right="120"/>
      </w:pPr>
      <w:r>
        <w:rPr>
          <w:rFonts w:ascii="Consolas" w:cs="Consolas" w:eastAsia="Consolas" w:hAnsi="Consolas"/>
          <w:sz w:val="17"/>
          <w:szCs w:val="17"/>
        </w:rPr>
        <w:t xml:space="preserve"># run header table so every result set carries its own provenance.</w:t>
      </w:r>
    </w:p>
    <w:p>
      <w:pPr>
        <w:spacing w:after="140"/>
      </w:pPr>
      <w:r>
        <w:rPr>
          <w:sz w:val="8"/>
          <w:szCs w:val="8"/>
        </w:rPr>
        <w:t xml:space="preserve"/>
      </w:r>
    </w:p>
    <w:p>
      <w:pPr>
        <w:pStyle w:val="Heading2"/>
        <w:spacing w:after="120" w:before="280"/>
      </w:pPr>
      <w:r>
        <w:rPr>
          <w:rFonts w:ascii="Times New Roman" w:cs="Times New Roman" w:eastAsia="Times New Roman" w:hAnsi="Times New Roman"/>
          <w:b/>
          <w:bCs/>
          <w:color w:val="1F3864"/>
          <w:sz w:val="26"/>
          <w:szCs w:val="26"/>
        </w:rPr>
        <w:t xml:space="preserve">4.4 Verify before going further</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4200"/>
        <w:gridCol w:w="5160"/>
      </w:tblGrid>
      <w:tr>
        <w:trPr>
          <w:tblHeader/>
        </w:trPr>
        <w:tc>
          <w:tcPr>
            <w:tcW w:type="dxa" w:w="4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Check</w:t>
            </w:r>
          </w:p>
        </w:tc>
        <w:tc>
          <w:tcPr>
            <w:tcW w:type="dxa" w:w="51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What you should see</w:t>
            </w:r>
          </w:p>
        </w:tc>
      </w:tr>
      <w:tr>
        <w:trPr>
          <w:tblHeader w:val="false"/>
        </w:trPr>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Workspace is on Fabric capacity</w:t>
            </w:r>
          </w:p>
        </w:tc>
        <w:tc>
          <w:tcPr>
            <w:tcW w:type="dxa" w:w="516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New item menu offers Lakehouse and Notebook</w:t>
            </w:r>
          </w:p>
        </w:tc>
      </w:tr>
      <w:tr>
        <w:trPr>
          <w:tblHeader w:val="false"/>
        </w:trPr>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Lakehouse exists</w:t>
            </w:r>
          </w:p>
        </w:tc>
        <w:tc>
          <w:tcPr>
            <w:tcW w:type="dxa" w:w="51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EvaluationLake in the workspace, with Tables and Files</w:t>
            </w:r>
          </w:p>
        </w:tc>
      </w:tr>
      <w:tr>
        <w:trPr>
          <w:tblHeader w:val="false"/>
        </w:trPr>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Notebook is attached</w:t>
            </w:r>
          </w:p>
        </w:tc>
        <w:tc>
          <w:tcPr>
            <w:tcW w:type="dxa" w:w="516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Lakehouse shown in the notebook Explorer, marked as default</w:t>
            </w:r>
          </w:p>
        </w:tc>
      </w:tr>
      <w:tr>
        <w:trPr>
          <w:tblHeader w:val="false"/>
        </w:trPr>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Library installed</w:t>
            </w:r>
          </w:p>
        </w:tc>
        <w:tc>
          <w:tcPr>
            <w:tcW w:type="dxa" w:w="51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The %pip cell completed with no red error output</w:t>
            </w:r>
          </w:p>
        </w:tc>
      </w:tr>
      <w:tr>
        <w:trPr>
          <w:tblHeader w:val="false"/>
        </w:trPr>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Version recorded</w:t>
            </w:r>
          </w:p>
        </w:tc>
        <w:tc>
          <w:tcPr>
            <w:tcW w:type="dxa" w:w="5160"/>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labs.__version__ printed and captured in a markdown cell</w:t>
            </w:r>
          </w:p>
        </w:tc>
      </w:tr>
      <w:tr>
        <w:trPr>
          <w:tblHeader w:val="false"/>
        </w:trPr>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Report is PBIR</w:t>
            </w:r>
          </w:p>
        </w:tc>
        <w:tc>
          <w:tcPr>
            <w:tcW w:type="dxa" w:w="51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9"/>
                <w:szCs w:val="19"/>
              </w:rPr>
              <w:t xml:space="preserve">The .pbip contains a definition/ folder of page and visual JSON, not a single binary</w:t>
            </w:r>
          </w:p>
        </w:tc>
      </w:tr>
    </w:tbl>
    <w:p>
      <w:r>
        <w:br w:type="page"/>
      </w:r>
    </w:p>
    <w:p>
      <w:pPr>
        <w:pStyle w:val="Heading1"/>
        <w:spacing w:after="160" w:before="360"/>
      </w:pPr>
      <w:r>
        <w:rPr>
          <w:rFonts w:ascii="Times New Roman" w:cs="Times New Roman" w:eastAsia="Times New Roman" w:hAnsi="Times New Roman"/>
          <w:b/>
          <w:bCs/>
          <w:color w:val="1F3864"/>
          <w:sz w:val="32"/>
          <w:szCs w:val="32"/>
        </w:rPr>
        <w:t xml:space="preserve">5. The Runbook</w:t>
      </w:r>
    </w:p>
    <w:p>
      <w:pPr>
        <w:spacing w:after="120" w:line="276"/>
      </w:pPr>
      <w:r>
        <w:rPr>
          <w:rFonts w:ascii="Times New Roman" w:cs="Times New Roman" w:eastAsia="Times New Roman" w:hAnsi="Times New Roman"/>
          <w:sz w:val="22"/>
          <w:szCs w:val="22"/>
        </w:rPr>
        <w:t xml:space="preserve">Seven phases, numbered 0 to 6. Phase 0 is one-off; the rest run every time. The dashboard that publishes the output is Sections 7 and 8 — it used to be Phase 7 of this runbook and a separate document, and it is now neither.</w:t>
      </w:r>
    </w:p>
    <w:p>
      <w:pPr>
        <w:spacing w:after="120" w:line="276"/>
      </w:pPr>
      <w:r>
        <w:rPr>
          <w:rFonts w:ascii="Times New Roman" w:cs="Times New Roman" w:eastAsia="Times New Roman" w:hAnsi="Times New Roman"/>
          <w:sz w:val="22"/>
          <w:szCs w:val="22"/>
        </w:rPr>
        <w:t xml:space="preserve">If time is short, Phases 2, 3 and 4 are the ones that cannot be cut: model conformance, report conformance, and whether the numbers on the page are true.</w:t>
      </w:r>
    </w:p>
    <w:p>
      <w:pPr>
        <w:pStyle w:val="Heading2"/>
        <w:spacing w:after="120" w:before="280"/>
      </w:pPr>
      <w:r>
        <w:rPr>
          <w:rFonts w:ascii="Times New Roman" w:cs="Times New Roman" w:eastAsia="Times New Roman" w:hAnsi="Times New Roman"/>
          <w:b/>
          <w:bCs/>
          <w:color w:val="1F3864"/>
          <w:sz w:val="26"/>
          <w:szCs w:val="26"/>
        </w:rPr>
        <w:t xml:space="preserve">5.1 Phase 0 — Get the project into Fabric (20 min, once)</w:t>
      </w:r>
    </w:p>
    <w:p>
      <w:pPr>
        <w:pStyle w:val="ListParagraph"/>
        <w:numPr>
          <w:ilvl w:val="0"/>
          <w:numId w:val="8"/>
        </w:numPr>
        <w:spacing w:after="80" w:line="276"/>
      </w:pPr>
      <w:r>
        <w:rPr>
          <w:rFonts w:ascii="Times New Roman" w:cs="Times New Roman" w:eastAsia="Times New Roman" w:hAnsi="Times New Roman"/>
          <w:sz w:val="22"/>
          <w:szCs w:val="22"/>
        </w:rPr>
        <w:t xml:space="preserve">Complete document 30 §5: workspace on a Fabric capacity, and a lakehouse in it. The BPA export functions write delta tables to the lakehouse attached to the notebook, so this is a hard prerequisite.</w:t>
      </w:r>
    </w:p>
    <w:p>
      <w:pPr>
        <w:pStyle w:val="ListParagraph"/>
        <w:numPr>
          <w:ilvl w:val="0"/>
          <w:numId w:val="8"/>
        </w:numPr>
        <w:spacing w:after="80" w:line="276"/>
      </w:pPr>
      <w:r>
        <w:rPr>
          <w:rFonts w:ascii="Times New Roman" w:cs="Times New Roman" w:eastAsia="Times New Roman" w:hAnsi="Times New Roman"/>
          <w:sz w:val="22"/>
          <w:szCs w:val="22"/>
        </w:rPr>
        <w:t xml:space="preserve">Connect the workspace to the Git repository holding the .pbip (Workspace settings → Git integration), or publish the report and semantic model directly from Desktop if the repository is not yet on a supported Git provider.</w:t>
      </w:r>
    </w:p>
    <w:p>
      <w:pPr>
        <w:pStyle w:val="ListParagraph"/>
        <w:numPr>
          <w:ilvl w:val="0"/>
          <w:numId w:val="8"/>
        </w:numPr>
        <w:spacing w:after="80" w:line="276"/>
      </w:pPr>
      <w:r>
        <w:rPr>
          <w:rFonts w:ascii="Times New Roman" w:cs="Times New Roman" w:eastAsia="Times New Roman" w:hAnsi="Times New Roman"/>
          <w:sz w:val="22"/>
          <w:szCs w:val="22"/>
        </w:rPr>
        <w:t xml:space="preserve">Confirm the semantic model and the report both appear as workspace items, and that the report opens against the published model.</w:t>
      </w:r>
    </w:p>
    <w:p>
      <w:pPr>
        <w:spacing w:after="120" w:line="276"/>
      </w:pPr>
      <w:r>
        <w:rPr>
          <w:rFonts w:ascii="Times New Roman" w:cs="Times New Roman" w:eastAsia="Times New Roman" w:hAnsi="Times New Roman"/>
          <w:sz w:val="22"/>
          <w:szCs w:val="22"/>
        </w:rPr>
        <w:t xml:space="preserve">Checkpoint: the workspace contains the semantic model, the report and a lakehouse.</w:t>
      </w:r>
    </w:p>
    <w:p>
      <w:pPr>
        <w:pStyle w:val="Heading2"/>
        <w:spacing w:after="120" w:before="280"/>
      </w:pPr>
      <w:r>
        <w:rPr>
          <w:rFonts w:ascii="Times New Roman" w:cs="Times New Roman" w:eastAsia="Times New Roman" w:hAnsi="Times New Roman"/>
          <w:b/>
          <w:bCs/>
          <w:color w:val="1F3864"/>
          <w:sz w:val="26"/>
          <w:szCs w:val="26"/>
        </w:rPr>
        <w:t xml:space="preserve">5.2 Phase 1 — Notebook setup (10 min)</w:t>
      </w:r>
    </w:p>
    <w:p>
      <w:pPr>
        <w:spacing w:after="120" w:line="276"/>
      </w:pPr>
      <w:r>
        <w:rPr>
          <w:rFonts w:ascii="Times New Roman" w:cs="Times New Roman" w:eastAsia="Times New Roman" w:hAnsi="Times New Roman"/>
          <w:sz w:val="22"/>
          <w:szCs w:val="22"/>
        </w:rPr>
        <w:t xml:space="preserve">Covered in Section 4.2 and 4.3. On a second and subsequent run this is a single %pip cell and thirty seconds of Spark start-up, or nothing at all if you attached a Fabric Environment with the library pre-loaded.</w:t>
      </w:r>
    </w:p>
    <w:p>
      <w:pPr>
        <w:pStyle w:val="Heading2"/>
        <w:spacing w:after="120" w:before="280"/>
      </w:pPr>
      <w:r>
        <w:rPr>
          <w:rFonts w:ascii="Times New Roman" w:cs="Times New Roman" w:eastAsia="Times New Roman" w:hAnsi="Times New Roman"/>
          <w:b/>
          <w:bCs/>
          <w:color w:val="1F3864"/>
          <w:sz w:val="26"/>
          <w:szCs w:val="26"/>
        </w:rPr>
        <w:t xml:space="preserve">5.3 Phase 2 — Model audit (20 min)</w:t>
      </w:r>
    </w:p>
    <w:p>
      <w:pPr>
        <w:shd w:fill="F2F2F2" w:val="clear"/>
        <w:spacing w:after="0" w:before="100" w:line="240"/>
        <w:ind w:left="180" w:right="120"/>
      </w:pPr>
      <w:r>
        <w:rPr>
          <w:rFonts w:ascii="Consolas" w:cs="Consolas" w:eastAsia="Consolas" w:hAnsi="Consolas"/>
          <w:sz w:val="17"/>
          <w:szCs w:val="17"/>
        </w:rPr>
        <w:t xml:space="preserve">labs.run_model_bpa(</w:t>
      </w:r>
    </w:p>
    <w:p>
      <w:pPr>
        <w:shd w:fill="F2F2F2" w:val="clear"/>
        <w:spacing w:after="0" w:before="0" w:line="240"/>
        <w:ind w:left="180" w:right="120"/>
      </w:pPr>
      <w:r>
        <w:rPr>
          <w:rFonts w:ascii="Consolas" w:cs="Consolas" w:eastAsia="Consolas" w:hAnsi="Consolas"/>
          <w:sz w:val="17"/>
          <w:szCs w:val="17"/>
        </w:rPr>
        <w:t xml:space="preserve">    dataset="Retail_Sales_Forecasting",</w:t>
      </w:r>
    </w:p>
    <w:p>
      <w:pPr>
        <w:shd w:fill="F2F2F2" w:val="clear"/>
        <w:spacing w:after="0" w:before="0" w:line="240"/>
        <w:ind w:left="180" w:right="120"/>
      </w:pPr>
      <w:r>
        <w:rPr>
          <w:rFonts w:ascii="Consolas" w:cs="Consolas" w:eastAsia="Consolas" w:hAnsi="Consolas"/>
          <w:sz w:val="17"/>
          <w:szCs w:val="17"/>
        </w:rPr>
        <w:t xml:space="preserve">    extended=True,      # pull VertiPaq statistics</w:t>
      </w:r>
    </w:p>
    <w:p>
      <w:pPr>
        <w:shd w:fill="F2F2F2" w:val="clear"/>
        <w:spacing w:after="0" w:before="0" w:line="240"/>
        <w:ind w:left="180" w:right="120"/>
      </w:pPr>
      <w:r>
        <w:rPr>
          <w:rFonts w:ascii="Consolas" w:cs="Consolas" w:eastAsia="Consolas" w:hAnsi="Consolas"/>
          <w:sz w:val="17"/>
          <w:szCs w:val="17"/>
        </w:rPr>
        <w:t xml:space="preserve">    export=True         # write findings to the default lakehouse</w:t>
      </w:r>
    </w:p>
    <w:p>
      <w:pPr>
        <w:shd w:fill="F2F2F2" w:val="clear"/>
        <w:spacing w:after="0" w:before="0" w:line="240"/>
        <w:ind w:left="180" w:right="120"/>
      </w:pPr>
      <w:r>
        <w:rPr>
          <w:rFonts w:ascii="Consolas" w:cs="Consolas" w:eastAsia="Consolas" w:hAnsi="Consolas"/>
          <w:sz w:val="17"/>
          <w:szCs w:val="17"/>
        </w:rPr>
        <w:t xml:space="preserve">)</w:t>
      </w:r>
    </w:p>
    <w:p>
      <w:pPr>
        <w:spacing w:after="140"/>
      </w:pPr>
      <w:r>
        <w:rPr>
          <w:sz w:val="8"/>
          <w:szCs w:val="8"/>
        </w:rPr>
        <w:t xml:space="preserve"/>
      </w:r>
    </w:p>
    <w:p>
      <w:pPr>
        <w:pStyle w:val="ListParagraph"/>
        <w:numPr>
          <w:ilvl w:val="0"/>
          <w:numId w:val="2"/>
        </w:numPr>
        <w:spacing w:after="80" w:line="276"/>
      </w:pPr>
      <w:r>
        <w:rPr>
          <w:rFonts w:ascii="Consolas" w:cs="Consolas" w:eastAsia="Consolas" w:hAnsi="Consolas"/>
          <w:sz w:val="19"/>
          <w:szCs w:val="19"/>
        </w:rPr>
        <w:t xml:space="preserve">extended=True</w:t>
      </w:r>
      <w:r>
        <w:rPr>
          <w:rFonts w:ascii="Times New Roman" w:cs="Times New Roman" w:eastAsia="Times New Roman" w:hAnsi="Times New Roman"/>
          <w:sz w:val="22"/>
          <w:szCs w:val="22"/>
        </w:rPr>
        <w:t xml:space="preserve"> pulls VertiPaq Analyzer statistics so the size, cardinality and compression rules evaluate. This is the DAX Studio View Metrics step folded into the same call.</w:t>
      </w:r>
    </w:p>
    <w:p>
      <w:pPr>
        <w:pStyle w:val="ListParagraph"/>
        <w:numPr>
          <w:ilvl w:val="0"/>
          <w:numId w:val="2"/>
        </w:numPr>
        <w:spacing w:after="80" w:line="276"/>
      </w:pPr>
      <w:r>
        <w:rPr>
          <w:rFonts w:ascii="Consolas" w:cs="Consolas" w:eastAsia="Consolas" w:hAnsi="Consolas"/>
          <w:sz w:val="19"/>
          <w:szCs w:val="19"/>
        </w:rPr>
        <w:t xml:space="preserve">export=True</w:t>
      </w:r>
      <w:r>
        <w:rPr>
          <w:rFonts w:ascii="Times New Roman" w:cs="Times New Roman" w:eastAsia="Times New Roman" w:hAnsi="Times New Roman"/>
          <w:sz w:val="22"/>
          <w:szCs w:val="22"/>
        </w:rPr>
        <w:t xml:space="preserve"> writes the findings to a delta table, giving a dated baseline. Run it again after any remediation and diff the two.</w:t>
      </w:r>
    </w:p>
    <w:p>
      <w:pPr>
        <w:pStyle w:val="ListParagraph"/>
        <w:numPr>
          <w:ilvl w:val="0"/>
          <w:numId w:val="2"/>
        </w:numPr>
        <w:spacing w:after="80" w:line="276"/>
      </w:pPr>
      <w:r>
        <w:rPr>
          <w:rFonts w:ascii="Times New Roman" w:cs="Times New Roman" w:eastAsia="Times New Roman" w:hAnsi="Times New Roman"/>
          <w:sz w:val="22"/>
          <w:szCs w:val="22"/>
        </w:rPr>
        <w:t xml:space="preserve">Triage every finding into genuine defect, deliberate design decision, or rule that does not apply to a 9,994-row demo model. Record the reasoning in a markdown cell directly beneath the results — that commentary is the portfolio signal, not the green ticks.</w:t>
      </w:r>
    </w:p>
    <w:p>
      <w:pPr>
        <w:pStyle w:val="ListParagraph"/>
        <w:numPr>
          <w:ilvl w:val="0"/>
          <w:numId w:val="2"/>
        </w:numPr>
        <w:spacing w:after="80" w:line="276"/>
      </w:pPr>
      <w:r>
        <w:rPr>
          <w:rFonts w:ascii="Times New Roman" w:cs="Times New Roman" w:eastAsia="Times New Roman" w:hAnsi="Times New Roman"/>
          <w:sz w:val="22"/>
          <w:szCs w:val="22"/>
        </w:rPr>
        <w:t xml:space="preserve">Expect the composite keys ProductKey and GeographyKey to be the highest-cardinality columns. That is by design and worth annotating rather than fixing: ProductKey is Product ID | Product Name and GeographyKey is Postal Code | City, and collapsing them to integers would make every relationship unreadable in the diagram view to save a few tens of kilobytes.</w:t>
      </w:r>
    </w:p>
    <w:p>
      <w:pPr>
        <w:spacing w:after="120" w:line="276"/>
      </w:pPr>
      <w:r>
        <w:rPr>
          <w:rFonts w:ascii="Times New Roman" w:cs="Times New Roman" w:eastAsia="Times New Roman" w:hAnsi="Times New Roman"/>
          <w:sz w:val="22"/>
          <w:szCs w:val="22"/>
        </w:rPr>
        <w:t xml:space="preserve">Checkpoint: BPA results in a delta table, findings triaged in-notebook with justifications.</w:t>
      </w:r>
    </w:p>
    <w:p>
      <w:pPr>
        <w:pStyle w:val="Heading2"/>
        <w:spacing w:after="120" w:before="280"/>
      </w:pPr>
      <w:r>
        <w:rPr>
          <w:rFonts w:ascii="Times New Roman" w:cs="Times New Roman" w:eastAsia="Times New Roman" w:hAnsi="Times New Roman"/>
          <w:b/>
          <w:bCs/>
          <w:color w:val="1F3864"/>
          <w:sz w:val="26"/>
          <w:szCs w:val="26"/>
        </w:rPr>
        <w:t xml:space="preserve">5.4 Phase 3 — Report audit (40 min)</w:t>
      </w:r>
    </w:p>
    <w:p>
      <w:pPr>
        <w:shd w:fill="F2F2F2" w:val="clear"/>
        <w:spacing w:after="0" w:before="100" w:line="240"/>
        <w:ind w:left="180" w:right="120"/>
      </w:pPr>
      <w:r>
        <w:rPr>
          <w:rFonts w:ascii="Consolas" w:cs="Consolas" w:eastAsia="Consolas" w:hAnsi="Consolas"/>
          <w:sz w:val="17"/>
          <w:szCs w:val="17"/>
        </w:rPr>
        <w:t xml:space="preserve">rep.run_report_bpa(report="Retail_Sales_Forecasting", export=True)</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rw = rep.ReportWrapper("Retail_Sales_Forecasting")</w:t>
      </w:r>
    </w:p>
    <w:p>
      <w:pPr>
        <w:shd w:fill="F2F2F2" w:val="clear"/>
        <w:spacing w:after="0" w:before="0" w:line="240"/>
        <w:ind w:left="180" w:right="120"/>
      </w:pPr>
      <w:r>
        <w:rPr>
          <w:rFonts w:ascii="Consolas" w:cs="Consolas" w:eastAsia="Consolas" w:hAnsi="Consolas"/>
          <w:sz w:val="17"/>
          <w:szCs w:val="17"/>
        </w:rPr>
        <w:t xml:space="preserve">rw.list_visuals()          # per-page visual inventory with IDs</w:t>
      </w:r>
    </w:p>
    <w:p>
      <w:pPr>
        <w:shd w:fill="F2F2F2" w:val="clear"/>
        <w:spacing w:after="0" w:before="0" w:line="240"/>
        <w:ind w:left="180" w:right="120"/>
      </w:pPr>
      <w:r>
        <w:rPr>
          <w:rFonts w:ascii="Consolas" w:cs="Consolas" w:eastAsia="Consolas" w:hAnsi="Consolas"/>
          <w:sz w:val="17"/>
          <w:szCs w:val="17"/>
        </w:rPr>
        <w:t xml:space="preserve">rw.list_pages()            # canvas dimensions per page</w:t>
      </w:r>
    </w:p>
    <w:p>
      <w:pPr>
        <w:shd w:fill="F2F2F2" w:val="clear"/>
        <w:spacing w:after="0" w:before="0" w:line="240"/>
        <w:ind w:left="180" w:right="120"/>
      </w:pPr>
      <w:r>
        <w:rPr>
          <w:rFonts w:ascii="Consolas" w:cs="Consolas" w:eastAsia="Consolas" w:hAnsi="Consolas"/>
          <w:sz w:val="17"/>
          <w:szCs w:val="17"/>
        </w:rPr>
        <w:t xml:space="preserve">rw.list_visual_filters()   # visual-level filters</w:t>
      </w:r>
    </w:p>
    <w:p>
      <w:pPr>
        <w:shd w:fill="F2F2F2" w:val="clear"/>
        <w:spacing w:after="0" w:before="0" w:line="240"/>
        <w:ind w:left="180" w:right="120"/>
      </w:pPr>
      <w:r>
        <w:rPr>
          <w:rFonts w:ascii="Consolas" w:cs="Consolas" w:eastAsia="Consolas" w:hAnsi="Consolas"/>
          <w:sz w:val="17"/>
          <w:szCs w:val="17"/>
        </w:rPr>
        <w:t xml:space="preserve">rw.list_bookmarks()        # reset-filters bookmark</w:t>
      </w:r>
    </w:p>
    <w:p>
      <w:pPr>
        <w:spacing w:after="140"/>
      </w:pPr>
      <w:r>
        <w:rPr>
          <w:sz w:val="8"/>
          <w:szCs w:val="8"/>
        </w:rPr>
        <w:t xml:space="preserve"/>
      </w:r>
    </w:p>
    <w:p>
      <w:pPr>
        <w:pStyle w:val="ListParagraph"/>
        <w:numPr>
          <w:ilvl w:val="0"/>
          <w:numId w:val="2"/>
        </w:numPr>
        <w:spacing w:after="80" w:line="276"/>
      </w:pPr>
      <w:r>
        <w:rPr>
          <w:rFonts w:ascii="Times New Roman" w:cs="Times New Roman" w:eastAsia="Times New Roman" w:hAnsi="Times New Roman"/>
          <w:sz w:val="22"/>
          <w:szCs w:val="22"/>
        </w:rPr>
        <w:t xml:space="preserve">run_report_bpa is the PBI Inspector step. It requires PBIR, which the project already uses.</w:t>
      </w:r>
    </w:p>
    <w:p>
      <w:pPr>
        <w:pStyle w:val="ListParagraph"/>
        <w:numPr>
          <w:ilvl w:val="0"/>
          <w:numId w:val="2"/>
        </w:numPr>
        <w:spacing w:after="80" w:line="276"/>
      </w:pPr>
      <w:r>
        <w:rPr>
          <w:rFonts w:ascii="Times New Roman" w:cs="Times New Roman" w:eastAsia="Times New Roman" w:hAnsi="Times New Roman"/>
          <w:sz w:val="22"/>
          <w:szCs w:val="22"/>
        </w:rPr>
        <w:t xml:space="preserve">Then walk the document 13 specification with the report wrapper. Section 6 of this document is that walk, written out: twenty assertions, the notebook surface that tests each one, and the code that records the result.</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Profile before you assert.  </w:t>
            </w:r>
            <w:r>
              <w:rPr>
                <w:rFonts w:ascii="Times New Roman" w:cs="Times New Roman" w:eastAsia="Times New Roman" w:hAnsi="Times New Roman"/>
                <w:sz w:val="20"/>
                <w:szCs w:val="20"/>
              </w:rPr>
              <w:t xml:space="preserve">Column names in the wrapper output vary by library version. Call display(rw.list_pages()) once and build the checks around what you actually see, rather than around what this document says you will see. Every code example here is illustrative, not guaranteed.</w:t>
            </w:r>
          </w:p>
        </w:tc>
      </w:tr>
    </w:tbl>
    <w:p>
      <w:pPr>
        <w:spacing w:after="120"/>
      </w:pPr>
      <w:r>
        <w:rPr>
          <w:sz w:val="10"/>
          <w:szCs w:val="10"/>
        </w:rPr>
        <w:t xml:space="preserve"/>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Preview caveat.  </w:t>
            </w:r>
            <w:r>
              <w:rPr>
                <w:rFonts w:ascii="Times New Roman" w:cs="Times New Roman" w:eastAsia="Times New Roman" w:hAnsi="Times New Roman"/>
                <w:sz w:val="20"/>
                <w:szCs w:val="20"/>
              </w:rPr>
              <w:t xml:space="preserve">The PBIR-dependent functions carry documented limitations. If a specific property is not exposed, fall back to reading the JSON under definition/pages directly — it is plain text and the notebook can parse it. Budget for at least one assertion needing this.</w:t>
            </w:r>
          </w:p>
        </w:tc>
      </w:tr>
    </w:tbl>
    <w:p>
      <w:pPr>
        <w:spacing w:after="120"/>
      </w:pPr>
      <w:r>
        <w:rPr>
          <w:sz w:val="10"/>
          <w:szCs w:val="10"/>
        </w:rPr>
        <w:t xml:space="preserve"/>
      </w:r>
    </w:p>
    <w:p>
      <w:pPr>
        <w:spacing w:after="120" w:line="276"/>
      </w:pPr>
      <w:r>
        <w:rPr>
          <w:rFonts w:ascii="Times New Roman" w:cs="Times New Roman" w:eastAsia="Times New Roman" w:hAnsi="Times New Roman"/>
          <w:sz w:val="22"/>
          <w:szCs w:val="22"/>
        </w:rPr>
        <w:t xml:space="preserve">Checkpoint: report BPA results exported, and the Section 6 assertions written and running.</w:t>
      </w:r>
    </w:p>
    <w:p>
      <w:pPr>
        <w:pStyle w:val="Heading2"/>
        <w:spacing w:after="120" w:before="280"/>
      </w:pPr>
      <w:r>
        <w:rPr>
          <w:rFonts w:ascii="Times New Roman" w:cs="Times New Roman" w:eastAsia="Times New Roman" w:hAnsi="Times New Roman"/>
          <w:b/>
          <w:bCs/>
          <w:color w:val="1F3864"/>
          <w:sz w:val="26"/>
          <w:szCs w:val="26"/>
        </w:rPr>
        <w:t xml:space="preserve">5.5 Phase 4 — Verify the numbers (15 min)</w:t>
      </w:r>
    </w:p>
    <w:p>
      <w:pPr>
        <w:spacing w:after="120" w:line="276"/>
      </w:pPr>
      <w:r>
        <w:rPr>
          <w:rFonts w:ascii="Times New Roman" w:cs="Times New Roman" w:eastAsia="Times New Roman" w:hAnsi="Times New Roman"/>
          <w:sz w:val="22"/>
          <w:szCs w:val="22"/>
        </w:rPr>
        <w:t xml:space="preserve">This replaces the Analyze in Excel step. Evaluate each measure against the known-good values recorded in document 21 §2 and let the notebook fail loudly if any drift.</w:t>
      </w:r>
    </w:p>
    <w:p>
      <w:pPr>
        <w:shd w:fill="F2F2F2" w:val="clear"/>
        <w:spacing w:after="0" w:before="100" w:line="240"/>
        <w:ind w:left="180" w:right="120"/>
      </w:pPr>
      <w:r>
        <w:rPr>
          <w:rFonts w:ascii="Consolas" w:cs="Consolas" w:eastAsia="Consolas" w:hAnsi="Consolas"/>
          <w:sz w:val="17"/>
          <w:szCs w:val="17"/>
        </w:rPr>
        <w:t xml:space="preserve">df = fabric.evaluate_dax("Retail_Sales_Forecasting", """</w:t>
      </w:r>
    </w:p>
    <w:p>
      <w:pPr>
        <w:shd w:fill="F2F2F2" w:val="clear"/>
        <w:spacing w:after="0" w:before="0" w:line="240"/>
        <w:ind w:left="180" w:right="120"/>
      </w:pPr>
      <w:r>
        <w:rPr>
          <w:rFonts w:ascii="Consolas" w:cs="Consolas" w:eastAsia="Consolas" w:hAnsi="Consolas"/>
          <w:sz w:val="17"/>
          <w:szCs w:val="17"/>
        </w:rPr>
        <w:t xml:space="preserve">    EVALUATE</w:t>
      </w:r>
    </w:p>
    <w:p>
      <w:pPr>
        <w:shd w:fill="F2F2F2" w:val="clear"/>
        <w:spacing w:after="0" w:before="0" w:line="240"/>
        <w:ind w:left="180" w:right="120"/>
      </w:pPr>
      <w:r>
        <w:rPr>
          <w:rFonts w:ascii="Consolas" w:cs="Consolas" w:eastAsia="Consolas" w:hAnsi="Consolas"/>
          <w:sz w:val="17"/>
          <w:szCs w:val="17"/>
        </w:rPr>
        <w:t xml:space="preserve">    SUMMARIZECOLUMNS(</w:t>
      </w:r>
    </w:p>
    <w:p>
      <w:pPr>
        <w:shd w:fill="F2F2F2" w:val="clear"/>
        <w:spacing w:after="0" w:before="0" w:line="240"/>
        <w:ind w:left="180" w:right="120"/>
      </w:pPr>
      <w:r>
        <w:rPr>
          <w:rFonts w:ascii="Consolas" w:cs="Consolas" w:eastAsia="Consolas" w:hAnsi="Consolas"/>
          <w:sz w:val="17"/>
          <w:szCs w:val="17"/>
        </w:rPr>
        <w:t xml:space="preserve">        DimGeography[Region], DimDate[Year],</w:t>
      </w:r>
    </w:p>
    <w:p>
      <w:pPr>
        <w:shd w:fill="F2F2F2" w:val="clear"/>
        <w:spacing w:after="0" w:before="0" w:line="240"/>
        <w:ind w:left="180" w:right="120"/>
      </w:pPr>
      <w:r>
        <w:rPr>
          <w:rFonts w:ascii="Consolas" w:cs="Consolas" w:eastAsia="Consolas" w:hAnsi="Consolas"/>
          <w:sz w:val="17"/>
          <w:szCs w:val="17"/>
        </w:rPr>
        <w:t xml:space="preserve">        "Sales",  [Total Sales],</w:t>
      </w:r>
    </w:p>
    <w:p>
      <w:pPr>
        <w:shd w:fill="F2F2F2" w:val="clear"/>
        <w:spacing w:after="0" w:before="0" w:line="240"/>
        <w:ind w:left="180" w:right="120"/>
      </w:pPr>
      <w:r>
        <w:rPr>
          <w:rFonts w:ascii="Consolas" w:cs="Consolas" w:eastAsia="Consolas" w:hAnsi="Consolas"/>
          <w:sz w:val="17"/>
          <w:szCs w:val="17"/>
        </w:rPr>
        <w:t xml:space="preserve">        "Quota",  [Quota Amount],</w:t>
      </w:r>
    </w:p>
    <w:p>
      <w:pPr>
        <w:shd w:fill="F2F2F2" w:val="clear"/>
        <w:spacing w:after="0" w:before="0" w:line="240"/>
        <w:ind w:left="180" w:right="120"/>
      </w:pPr>
      <w:r>
        <w:rPr>
          <w:rFonts w:ascii="Consolas" w:cs="Consolas" w:eastAsia="Consolas" w:hAnsi="Consolas"/>
          <w:sz w:val="17"/>
          <w:szCs w:val="17"/>
        </w:rPr>
        <w:t xml:space="preserve">        "Attain", [Quota Attainment %]</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w:t>
      </w:r>
    </w:p>
    <w:p>
      <w:pPr>
        <w:spacing w:after="140"/>
      </w:pPr>
      <w:r>
        <w:rPr>
          <w:sz w:val="8"/>
          <w:szCs w:val="8"/>
        </w:rPr>
        <w:t xml:space="preserve"/>
      </w:r>
    </w:p>
    <w:p>
      <w:pPr>
        <w:pStyle w:val="Heading3"/>
        <w:spacing w:after="100" w:before="220"/>
      </w:pPr>
      <w:r>
        <w:rPr>
          <w:rFonts w:ascii="Times New Roman" w:cs="Times New Roman" w:eastAsia="Times New Roman" w:hAnsi="Times New Roman"/>
          <w:b/>
          <w:bCs/>
          <w:color w:val="2E2E2E"/>
          <w:sz w:val="23"/>
          <w:szCs w:val="23"/>
        </w:rPr>
        <w:t xml:space="preserve">The control totals</w:t>
      </w:r>
    </w:p>
    <w:p>
      <w:pPr>
        <w:spacing w:after="120" w:line="276"/>
      </w:pPr>
      <w:r>
        <w:rPr>
          <w:rFonts w:ascii="Times New Roman" w:cs="Times New Roman" w:eastAsia="Times New Roman" w:hAnsi="Times New Roman"/>
          <w:sz w:val="22"/>
          <w:szCs w:val="22"/>
        </w:rPr>
        <w:t xml:space="preserve">Asserted, not eyeballed. These are document 21 §2 values, re-verified against the live model on 31 July 2026.</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900"/>
        <w:gridCol w:w="2200"/>
        <w:gridCol w:w="4260"/>
      </w:tblGrid>
      <w:tr>
        <w:trPr>
          <w:tblHeader/>
        </w:trPr>
        <w:tc>
          <w:tcPr>
            <w:tcW w:type="dxa" w:w="2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Assertion</w:t>
            </w:r>
          </w:p>
        </w:tc>
        <w:tc>
          <w:tcPr>
            <w:tcW w:type="dxa" w:w="2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Expected</w:t>
            </w:r>
          </w:p>
        </w:tc>
        <w:tc>
          <w:tcPr>
            <w:tcW w:type="dxa" w:w="42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Note</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Fact rows</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9,994</w:t>
            </w:r>
          </w:p>
        </w:tc>
        <w:tc>
          <w:tcPr>
            <w:tcW w:type="dxa" w:w="4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COUNTROWS ( FactSales )</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Total Sales</w:t>
            </w:r>
          </w:p>
        </w:tc>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$2,297,200.86</w:t>
            </w:r>
          </w:p>
        </w:tc>
        <w:tc>
          <w:tcPr>
            <w:tcW w:type="dxa" w:w="42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Unfiltered</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Total Profit</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$286,397.02</w:t>
            </w:r>
          </w:p>
        </w:tc>
        <w:tc>
          <w:tcPr>
            <w:tcW w:type="dxa" w:w="4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Unfiltered</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Profit Margin %</w:t>
            </w:r>
          </w:p>
        </w:tc>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12.47%</w:t>
            </w:r>
          </w:p>
        </w:tc>
        <w:tc>
          <w:tcPr>
            <w:tcW w:type="dxa" w:w="42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Derived, not stored</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Order Count</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5,009</w:t>
            </w:r>
          </w:p>
        </w:tc>
        <w:tc>
          <w:tcPr>
            <w:tcW w:type="dxa" w:w="4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DISTINCTCOUNT ( FactSales[Order ID] )</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Active Customers</w:t>
            </w:r>
          </w:p>
        </w:tc>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793</w:t>
            </w:r>
          </w:p>
        </w:tc>
        <w:tc>
          <w:tcPr>
            <w:tcW w:type="dxa" w:w="42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DISTINCTCOUNT ( FactSales[CustomerKey] )</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Avg Order Value</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$458.61</w:t>
            </w:r>
          </w:p>
        </w:tc>
        <w:tc>
          <w:tcPr>
            <w:tcW w:type="dxa" w:w="4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Derived</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Quota rows</w:t>
            </w:r>
          </w:p>
        </w:tc>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144</w:t>
            </w:r>
          </w:p>
        </w:tc>
        <w:tc>
          <w:tcPr>
            <w:tcW w:type="dxa" w:w="42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4 regions × 36 months, Jan 2015 → Dec 2017</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DimDate rows</w:t>
            </w:r>
          </w:p>
        </w:tc>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1,461</w:t>
            </w:r>
          </w:p>
        </w:tc>
        <w:tc>
          <w:tcPr>
            <w:tcW w:type="dxa" w:w="42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2014-01-01 → 2017-12-31</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Sub-categories / Regions</w:t>
            </w:r>
          </w:p>
        </w:tc>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17 / 4</w:t>
            </w:r>
          </w:p>
        </w:tc>
        <w:tc>
          <w:tcPr>
            <w:tcW w:type="dxa" w:w="42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Dimension coverage</w:t>
            </w:r>
          </w:p>
        </w:tc>
      </w:tr>
    </w:tbl>
    <w:p>
      <w:pPr>
        <w:pStyle w:val="Heading3"/>
        <w:spacing w:after="100" w:before="220"/>
      </w:pPr>
      <w:r>
        <w:rPr>
          <w:rFonts w:ascii="Times New Roman" w:cs="Times New Roman" w:eastAsia="Times New Roman" w:hAnsi="Times New Roman"/>
          <w:b/>
          <w:bCs/>
          <w:color w:val="2E2E2E"/>
          <w:sz w:val="23"/>
          <w:szCs w:val="23"/>
        </w:rPr>
        <w:t xml:space="preserve">The two edge cases that can silently mislead on a card</w:t>
      </w:r>
    </w:p>
    <w:p>
      <w:pPr>
        <w:spacing w:after="120" w:line="276"/>
      </w:pPr>
      <w:r>
        <w:rPr>
          <w:rFonts w:ascii="Times New Roman" w:cs="Times New Roman" w:eastAsia="Times New Roman" w:hAnsi="Times New Roman"/>
          <w:sz w:val="22"/>
          <w:szCs w:val="22"/>
        </w:rPr>
        <w:t xml:space="preserve">Both concern 2014, which has no prior year and no quota. A card showing zero rather than blank looks like a real number and is not.</w:t>
      </w:r>
    </w:p>
    <w:p>
      <w:pPr>
        <w:shd w:fill="F2F2F2" w:val="clear"/>
        <w:spacing w:after="0" w:before="100" w:line="240"/>
        <w:ind w:left="180" w:right="120"/>
      </w:pPr>
      <w:r>
        <w:rPr>
          <w:rFonts w:ascii="Consolas" w:cs="Consolas" w:eastAsia="Consolas" w:hAnsi="Consolas"/>
          <w:sz w:val="17"/>
          <w:szCs w:val="17"/>
        </w:rPr>
        <w:t xml:space="preserve"># 2014 must be BLANK, not zero, for both of these.</w:t>
      </w:r>
    </w:p>
    <w:p>
      <w:pPr>
        <w:shd w:fill="F2F2F2" w:val="clear"/>
        <w:spacing w:after="0" w:before="0" w:line="240"/>
        <w:ind w:left="180" w:right="120"/>
      </w:pPr>
      <w:r>
        <w:rPr>
          <w:rFonts w:ascii="Consolas" w:cs="Consolas" w:eastAsia="Consolas" w:hAnsi="Consolas"/>
          <w:sz w:val="17"/>
          <w:szCs w:val="17"/>
        </w:rPr>
        <w:t xml:space="preserve">edge = fabric.evaluate_dax("Retail_Sales_Forecasting", """</w:t>
      </w:r>
    </w:p>
    <w:p>
      <w:pPr>
        <w:shd w:fill="F2F2F2" w:val="clear"/>
        <w:spacing w:after="0" w:before="0" w:line="240"/>
        <w:ind w:left="180" w:right="120"/>
      </w:pPr>
      <w:r>
        <w:rPr>
          <w:rFonts w:ascii="Consolas" w:cs="Consolas" w:eastAsia="Consolas" w:hAnsi="Consolas"/>
          <w:sz w:val="17"/>
          <w:szCs w:val="17"/>
        </w:rPr>
        <w:t xml:space="preserve">    EVALUATE</w:t>
      </w:r>
    </w:p>
    <w:p>
      <w:pPr>
        <w:shd w:fill="F2F2F2" w:val="clear"/>
        <w:spacing w:after="0" w:before="0" w:line="240"/>
        <w:ind w:left="180" w:right="120"/>
      </w:pPr>
      <w:r>
        <w:rPr>
          <w:rFonts w:ascii="Consolas" w:cs="Consolas" w:eastAsia="Consolas" w:hAnsi="Consolas"/>
          <w:sz w:val="17"/>
          <w:szCs w:val="17"/>
        </w:rPr>
        <w:t xml:space="preserve">    SUMMARIZECOLUMNS(</w:t>
      </w:r>
    </w:p>
    <w:p>
      <w:pPr>
        <w:shd w:fill="F2F2F2" w:val="clear"/>
        <w:spacing w:after="0" w:before="0" w:line="240"/>
        <w:ind w:left="180" w:right="120"/>
      </w:pPr>
      <w:r>
        <w:rPr>
          <w:rFonts w:ascii="Consolas" w:cs="Consolas" w:eastAsia="Consolas" w:hAnsi="Consolas"/>
          <w:sz w:val="17"/>
          <w:szCs w:val="17"/>
        </w:rPr>
        <w:t xml:space="preserve">        DimDate[Year],</w:t>
      </w:r>
    </w:p>
    <w:p>
      <w:pPr>
        <w:shd w:fill="F2F2F2" w:val="clear"/>
        <w:spacing w:after="0" w:before="0" w:line="240"/>
        <w:ind w:left="180" w:right="120"/>
      </w:pPr>
      <w:r>
        <w:rPr>
          <w:rFonts w:ascii="Consolas" w:cs="Consolas" w:eastAsia="Consolas" w:hAnsi="Consolas"/>
          <w:sz w:val="17"/>
          <w:szCs w:val="17"/>
        </w:rPr>
        <w:t xml:space="preserve">        "SalesPY",   [Sales PY],</w:t>
      </w:r>
    </w:p>
    <w:p>
      <w:pPr>
        <w:shd w:fill="F2F2F2" w:val="clear"/>
        <w:spacing w:after="0" w:before="0" w:line="240"/>
        <w:ind w:left="180" w:right="120"/>
      </w:pPr>
      <w:r>
        <w:rPr>
          <w:rFonts w:ascii="Consolas" w:cs="Consolas" w:eastAsia="Consolas" w:hAnsi="Consolas"/>
          <w:sz w:val="17"/>
          <w:szCs w:val="17"/>
        </w:rPr>
        <w:t xml:space="preserve">        "Quota",     [Quota Amount],</w:t>
      </w:r>
    </w:p>
    <w:p>
      <w:pPr>
        <w:shd w:fill="F2F2F2" w:val="clear"/>
        <w:spacing w:after="0" w:before="0" w:line="240"/>
        <w:ind w:left="180" w:right="120"/>
      </w:pPr>
      <w:r>
        <w:rPr>
          <w:rFonts w:ascii="Consolas" w:cs="Consolas" w:eastAsia="Consolas" w:hAnsi="Consolas"/>
          <w:sz w:val="17"/>
          <w:szCs w:val="17"/>
        </w:rPr>
        <w:t xml:space="preserve">        "Attainment",[Quota Attainment %]</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    ORDER BY DimDate[Year]</w:t>
      </w:r>
    </w:p>
    <w:p>
      <w:pPr>
        <w:shd w:fill="F2F2F2" w:val="clear"/>
        <w:spacing w:after="0" w:before="0" w:line="240"/>
        <w:ind w:left="180" w:right="120"/>
      </w:pPr>
      <w:r>
        <w:rPr>
          <w:rFonts w:ascii="Consolas" w:cs="Consolas" w:eastAsia="Consolas" w:hAnsi="Consolas"/>
          <w:sz w:val="17"/>
          <w:szCs w:val="17"/>
        </w:rPr>
        <w:t xml:space="preserve">""")</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y2014 = edge[edge["DimDate[Year]"] == 2014].iloc[0]</w:t>
      </w:r>
    </w:p>
    <w:p>
      <w:pPr>
        <w:shd w:fill="F2F2F2" w:val="clear"/>
        <w:spacing w:after="0" w:before="0" w:line="240"/>
        <w:ind w:left="180" w:right="120"/>
      </w:pPr>
      <w:r>
        <w:rPr>
          <w:rFonts w:ascii="Consolas" w:cs="Consolas" w:eastAsia="Consolas" w:hAnsi="Consolas"/>
          <w:sz w:val="17"/>
          <w:szCs w:val="17"/>
        </w:rPr>
        <w:t xml:space="preserve">assert pd.isna(y2014["[SalesPY]"]),    "Sales PY must be blank for 2014"</w:t>
      </w:r>
    </w:p>
    <w:p>
      <w:pPr>
        <w:shd w:fill="F2F2F2" w:val="clear"/>
        <w:spacing w:after="0" w:before="0" w:line="240"/>
        <w:ind w:left="180" w:right="120"/>
      </w:pPr>
      <w:r>
        <w:rPr>
          <w:rFonts w:ascii="Consolas" w:cs="Consolas" w:eastAsia="Consolas" w:hAnsi="Consolas"/>
          <w:sz w:val="17"/>
          <w:szCs w:val="17"/>
        </w:rPr>
        <w:t xml:space="preserve">assert pd.isna(y2014["[Quota]"]),      "Quota must be blank for 2014"</w:t>
      </w:r>
    </w:p>
    <w:p>
      <w:pPr>
        <w:shd w:fill="F2F2F2" w:val="clear"/>
        <w:spacing w:after="0" w:before="0" w:line="240"/>
        <w:ind w:left="180" w:right="120"/>
      </w:pPr>
      <w:r>
        <w:rPr>
          <w:rFonts w:ascii="Consolas" w:cs="Consolas" w:eastAsia="Consolas" w:hAnsi="Consolas"/>
          <w:sz w:val="17"/>
          <w:szCs w:val="17"/>
        </w:rPr>
        <w:t xml:space="preserve">assert pd.isna(y2014["[Attainment]"]), "Attainment must be blank for 2014"</w:t>
      </w:r>
    </w:p>
    <w:p>
      <w:pPr>
        <w:spacing w:after="140"/>
      </w:pPr>
      <w:r>
        <w:rPr>
          <w:sz w:val="8"/>
          <w:szCs w:val="8"/>
        </w:rPr>
        <w:t xml:space="preserve"/>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Changed at revision 3.  </w:t>
            </w:r>
            <w:r>
              <w:rPr>
                <w:rFonts w:ascii="Times New Roman" w:cs="Times New Roman" w:eastAsia="Times New Roman" w:hAnsi="Times New Roman"/>
                <w:sz w:val="20"/>
                <w:szCs w:val="20"/>
              </w:rPr>
              <w:t xml:space="preserve">Revision 2 asserted that 2014 returns the string "No Quota" from a measure called Quota Status. That measure was removed from the model on 31 July 2026 after an unused-object audit found no visual, filter or formatting rule consumed it — see document 21 §8. The behaviour it described is unchanged: the quota measures still return blank for 2014. Only the measure that made it visible is gone.</w:t>
            </w:r>
          </w:p>
        </w:tc>
      </w:tr>
    </w:tbl>
    <w:p>
      <w:pPr>
        <w:spacing w:after="120"/>
      </w:pPr>
      <w:r>
        <w:rPr>
          <w:sz w:val="10"/>
          <w:szCs w:val="10"/>
        </w:rPr>
        <w:t xml:space="preserve"/>
      </w:r>
    </w:p>
    <w:p>
      <w:pPr>
        <w:spacing w:after="120" w:line="276"/>
      </w:pPr>
      <w:r>
        <w:rPr>
          <w:rFonts w:ascii="Times New Roman" w:cs="Times New Roman" w:eastAsia="Times New Roman" w:hAnsi="Times New Roman"/>
          <w:sz w:val="22"/>
          <w:szCs w:val="22"/>
        </w:rPr>
        <w:t xml:space="preserve">Checkpoint: a cell that passes or fails, not a spreadsheet to squint at.</w:t>
      </w:r>
    </w:p>
    <w:p>
      <w:pPr>
        <w:pStyle w:val="Heading2"/>
        <w:spacing w:after="120" w:before="280"/>
      </w:pPr>
      <w:r>
        <w:rPr>
          <w:rFonts w:ascii="Times New Roman" w:cs="Times New Roman" w:eastAsia="Times New Roman" w:hAnsi="Times New Roman"/>
          <w:b/>
          <w:bCs/>
          <w:color w:val="1F3864"/>
          <w:sz w:val="26"/>
          <w:szCs w:val="26"/>
        </w:rPr>
        <w:t xml:space="preserve">5.6 Phase 5 — Performance (25 min, split)</w:t>
      </w:r>
    </w:p>
    <w:p>
      <w:pPr>
        <w:pStyle w:val="Heading3"/>
        <w:spacing w:after="100" w:before="220"/>
      </w:pPr>
      <w:r>
        <w:rPr>
          <w:rFonts w:ascii="Times New Roman" w:cs="Times New Roman" w:eastAsia="Times New Roman" w:hAnsi="Times New Roman"/>
          <w:b/>
          <w:bCs/>
          <w:color w:val="2E2E2E"/>
          <w:sz w:val="23"/>
          <w:szCs w:val="23"/>
        </w:rPr>
        <w:t xml:space="preserve">Server side</w:t>
      </w:r>
    </w:p>
    <w:p>
      <w:pPr>
        <w:pStyle w:val="ListParagraph"/>
        <w:numPr>
          <w:ilvl w:val="0"/>
          <w:numId w:val="2"/>
        </w:numPr>
        <w:spacing w:after="80" w:line="276"/>
      </w:pPr>
      <w:r>
        <w:rPr>
          <w:rFonts w:ascii="Times New Roman" w:cs="Times New Roman" w:eastAsia="Times New Roman" w:hAnsi="Times New Roman"/>
          <w:sz w:val="22"/>
          <w:szCs w:val="22"/>
        </w:rPr>
        <w:t xml:space="preserve">Enable workspace monitoring on the workspace. Telemetry flows into an Eventhouse covering query performance and trends, refresh duration and XMLA operations.</w:t>
      </w:r>
    </w:p>
    <w:p>
      <w:pPr>
        <w:pStyle w:val="ListParagraph"/>
        <w:numPr>
          <w:ilvl w:val="0"/>
          <w:numId w:val="2"/>
        </w:numPr>
        <w:spacing w:after="80" w:line="276"/>
      </w:pPr>
      <w:r>
        <w:rPr>
          <w:rFonts w:ascii="Times New Roman" w:cs="Times New Roman" w:eastAsia="Times New Roman" w:hAnsi="Times New Roman"/>
          <w:sz w:val="22"/>
          <w:szCs w:val="22"/>
        </w:rPr>
        <w:t xml:space="preserve">Deploy Microsoft's Real-Time Dashboard template for semantic model items rather than building one.</w:t>
      </w:r>
    </w:p>
    <w:p>
      <w:pPr>
        <w:pStyle w:val="ListParagraph"/>
        <w:numPr>
          <w:ilvl w:val="0"/>
          <w:numId w:val="2"/>
        </w:numPr>
        <w:spacing w:after="80" w:line="276"/>
      </w:pPr>
      <w:r>
        <w:rPr>
          <w:rFonts w:ascii="Times New Roman" w:cs="Times New Roman" w:eastAsia="Times New Roman" w:hAnsi="Times New Roman"/>
          <w:sz w:val="22"/>
          <w:szCs w:val="22"/>
        </w:rPr>
        <w:t xml:space="preserve">Turn monitoring off when the project is finished. It consumes capacity units indefinitely otherwise.</w:t>
      </w:r>
    </w:p>
    <w:p>
      <w:pPr>
        <w:pStyle w:val="Heading3"/>
        <w:spacing w:after="100" w:before="220"/>
      </w:pPr>
      <w:r>
        <w:rPr>
          <w:rFonts w:ascii="Times New Roman" w:cs="Times New Roman" w:eastAsia="Times New Roman" w:hAnsi="Times New Roman"/>
          <w:b/>
          <w:bCs/>
          <w:color w:val="2E2E2E"/>
          <w:sz w:val="23"/>
          <w:szCs w:val="23"/>
        </w:rPr>
        <w:t xml:space="preserve">Client side</w:t>
      </w:r>
    </w:p>
    <w:p>
      <w:pPr>
        <w:pStyle w:val="ListParagraph"/>
        <w:numPr>
          <w:ilvl w:val="0"/>
          <w:numId w:val="2"/>
        </w:numPr>
        <w:spacing w:after="80" w:line="276"/>
      </w:pPr>
      <w:r>
        <w:rPr>
          <w:rFonts w:ascii="Times New Roman" w:cs="Times New Roman" w:eastAsia="Times New Roman" w:hAnsi="Times New Roman"/>
          <w:sz w:val="22"/>
          <w:szCs w:val="22"/>
        </w:rPr>
        <w:t xml:space="preserve">This still needs Desktop. View → Performance Analyzer → record → refresh each page → Export.</w:t>
      </w:r>
    </w:p>
    <w:p>
      <w:pPr>
        <w:pStyle w:val="ListParagraph"/>
        <w:numPr>
          <w:ilvl w:val="0"/>
          <w:numId w:val="2"/>
        </w:numPr>
        <w:spacing w:after="80" w:line="276"/>
      </w:pPr>
      <w:r>
        <w:rPr>
          <w:rFonts w:ascii="Times New Roman" w:cs="Times New Roman" w:eastAsia="Times New Roman" w:hAnsi="Times New Roman"/>
          <w:sz w:val="22"/>
          <w:szCs w:val="22"/>
        </w:rPr>
        <w:t xml:space="preserve">Upload the JSON export to the lakehouse Files area and read it in the notebook rather than in the Elegant BI template, so the timings land beside the rest of the evidence. Section 7.4 covers the parsing and the table it writes.</w:t>
      </w:r>
    </w:p>
    <w:p>
      <w:pPr>
        <w:pStyle w:val="Heading3"/>
        <w:spacing w:after="100" w:before="220"/>
      </w:pPr>
      <w:r>
        <w:rPr>
          <w:rFonts w:ascii="Times New Roman" w:cs="Times New Roman" w:eastAsia="Times New Roman" w:hAnsi="Times New Roman"/>
          <w:b/>
          <w:bCs/>
          <w:color w:val="2E2E2E"/>
          <w:sz w:val="23"/>
          <w:szCs w:val="23"/>
        </w:rPr>
        <w:t xml:space="preserve">Thresholds</w:t>
      </w:r>
    </w:p>
    <w:p>
      <w:pPr>
        <w:spacing w:after="120" w:line="276"/>
      </w:pPr>
      <w:r>
        <w:rPr>
          <w:rFonts w:ascii="Times New Roman" w:cs="Times New Roman" w:eastAsia="Times New Roman" w:hAnsi="Times New Roman"/>
          <w:sz w:val="22"/>
          <w:szCs w:val="22"/>
        </w:rPr>
        <w:t xml:space="preserve">Anything over 500 ms warrants a look; over 2,000 ms needs fixing. On this model the likely culprits are Customer Sales Rank (RANKX across all customers) and the decomposition tree on page 3 — both explainable rather than broken. Store the raw milliseconds and let the banding live in DAX so the thresholds are visible and adjustable.</w:t>
      </w:r>
    </w:p>
    <w:p>
      <w:pPr>
        <w:spacing w:after="120" w:line="276"/>
      </w:pPr>
      <w:r>
        <w:rPr>
          <w:rFonts w:ascii="Times New Roman" w:cs="Times New Roman" w:eastAsia="Times New Roman" w:hAnsi="Times New Roman"/>
          <w:sz w:val="22"/>
          <w:szCs w:val="22"/>
        </w:rPr>
        <w:t xml:space="preserve">Checkpoint: each page renders under 3 s cold; slowest visual identified and either optimised or justified.</w:t>
      </w:r>
    </w:p>
    <w:p>
      <w:pPr>
        <w:pStyle w:val="Heading2"/>
        <w:spacing w:after="120" w:before="280"/>
      </w:pPr>
      <w:r>
        <w:rPr>
          <w:rFonts w:ascii="Times New Roman" w:cs="Times New Roman" w:eastAsia="Times New Roman" w:hAnsi="Times New Roman"/>
          <w:b/>
          <w:bCs/>
          <w:color w:val="1F3864"/>
          <w:sz w:val="26"/>
          <w:szCs w:val="26"/>
        </w:rPr>
        <w:t xml:space="preserve">5.7 Phase 6 — Hygiene (15 min)</w:t>
      </w:r>
    </w:p>
    <w:p>
      <w:pPr>
        <w:shd w:fill="F2F2F2" w:val="clear"/>
        <w:spacing w:after="0" w:before="100" w:line="240"/>
        <w:ind w:left="180" w:right="120"/>
      </w:pPr>
      <w:r>
        <w:rPr>
          <w:rFonts w:ascii="Consolas" w:cs="Consolas" w:eastAsia="Consolas" w:hAnsi="Consolas"/>
          <w:sz w:val="17"/>
          <w:szCs w:val="17"/>
        </w:rPr>
        <w:t xml:space="preserve">used  = rep.list_report_semantic_model_objects("Retail_Sales_Forecasting")</w:t>
      </w:r>
    </w:p>
    <w:p>
      <w:pPr>
        <w:shd w:fill="F2F2F2" w:val="clear"/>
        <w:spacing w:after="0" w:before="0" w:line="240"/>
        <w:ind w:left="180" w:right="120"/>
      </w:pPr>
      <w:r>
        <w:rPr>
          <w:rFonts w:ascii="Consolas" w:cs="Consolas" w:eastAsia="Consolas" w:hAnsi="Consolas"/>
          <w:sz w:val="17"/>
          <w:szCs w:val="17"/>
        </w:rPr>
        <w:t xml:space="preserve">all_m = fabric.list_measures("Retail_Sales_Forecasting")</w:t>
      </w:r>
    </w:p>
    <w:p>
      <w:pPr>
        <w:shd w:fill="F2F2F2" w:val="clear"/>
        <w:spacing w:after="0" w:before="0" w:line="240"/>
        <w:ind w:left="180" w:right="120"/>
      </w:pPr>
      <w:r>
        <w:rPr>
          <w:rFonts w:ascii="Consolas" w:cs="Consolas" w:eastAsia="Consolas" w:hAnsi="Consolas"/>
          <w:sz w:val="17"/>
          <w:szCs w:val="17"/>
        </w:rPr>
        <w:t xml:space="preserve">unused = set(all_m["Measure Name"]) - set(used["Object Name"])</w:t>
      </w:r>
    </w:p>
    <w:p>
      <w:pPr>
        <w:shd w:fill="F2F2F2" w:val="clear"/>
        <w:spacing w:after="0" w:before="0" w:line="240"/>
        <w:ind w:left="180" w:right="120"/>
      </w:pPr>
      <w:r>
        <w:rPr>
          <w:rFonts w:ascii="Consolas" w:cs="Consolas" w:eastAsia="Consolas" w:hAnsi="Consolas"/>
          <w:sz w:val="17"/>
          <w:szCs w:val="17"/>
        </w:rPr>
        <w:t xml:space="preserve">print(sorted(unused))</w:t>
      </w:r>
    </w:p>
    <w:p>
      <w:pPr>
        <w:spacing w:after="140"/>
      </w:pPr>
      <w:r>
        <w:rPr>
          <w:sz w:val="8"/>
          <w:szCs w:val="8"/>
        </w:rPr>
        <w:t xml:space="preserve"/>
      </w:r>
    </w:p>
    <w:p>
      <w:pPr>
        <w:pStyle w:val="ListParagraph"/>
        <w:numPr>
          <w:ilvl w:val="0"/>
          <w:numId w:val="2"/>
        </w:numPr>
        <w:spacing w:after="80" w:line="276"/>
      </w:pPr>
      <w:r>
        <w:rPr>
          <w:rFonts w:ascii="Times New Roman" w:cs="Times New Roman" w:eastAsia="Times New Roman" w:hAnsi="Times New Roman"/>
          <w:b/>
          <w:bCs/>
          <w:sz w:val="22"/>
          <w:szCs w:val="22"/>
        </w:rPr>
        <w:t xml:space="preserve">Do not delete unused measures reflexively.</w:t>
      </w:r>
      <w:r>
        <w:rPr>
          <w:rFonts w:ascii="Times New Roman" w:cs="Times New Roman" w:eastAsia="Times New Roman" w:hAnsi="Times New Roman"/>
          <w:sz w:val="22"/>
          <w:szCs w:val="22"/>
        </w:rPr>
        <w:t xml:space="preserve"> The 34-measure catalogue is itself a deliverable, and Top 10 Customer Sales, Sales MTD and Customer Sales Rank are documented as card or label measures that may legitimately sit unused on the canvas. Say so in the README instead of pruning to a clean number.</w:t>
      </w:r>
    </w:p>
    <w:p>
      <w:pPr>
        <w:pStyle w:val="ListParagraph"/>
        <w:numPr>
          <w:ilvl w:val="0"/>
          <w:numId w:val="2"/>
        </w:numPr>
        <w:spacing w:after="80" w:line="276"/>
      </w:pPr>
      <w:r>
        <w:rPr>
          <w:rFonts w:ascii="Times New Roman" w:cs="Times New Roman" w:eastAsia="Times New Roman" w:hAnsi="Times New Roman"/>
          <w:b/>
          <w:bCs/>
          <w:sz w:val="22"/>
          <w:szCs w:val="22"/>
        </w:rPr>
        <w:t xml:space="preserve">Do act on unused columns.</w:t>
      </w:r>
      <w:r>
        <w:rPr>
          <w:rFonts w:ascii="Times New Roman" w:cs="Times New Roman" w:eastAsia="Times New Roman" w:hAnsi="Times New Roman"/>
          <w:sz w:val="22"/>
          <w:szCs w:val="22"/>
        </w:rPr>
        <w:t xml:space="preserve"> Anything in DimGeography or DimProduct that no visual, filter or measure touches is model weight with no purpose. The audit recorded in document 21 §8 removed three columns on exactly this basis.</w:t>
      </w:r>
    </w:p>
    <w:p>
      <w:pPr>
        <w:pStyle w:val="ListParagraph"/>
        <w:numPr>
          <w:ilvl w:val="0"/>
          <w:numId w:val="2"/>
        </w:numPr>
        <w:spacing w:after="80" w:line="276"/>
      </w:pPr>
      <w:r>
        <w:rPr>
          <w:rFonts w:ascii="Times New Roman" w:cs="Times New Roman" w:eastAsia="Times New Roman" w:hAnsi="Times New Roman"/>
          <w:b/>
          <w:bCs/>
          <w:sz w:val="22"/>
          <w:szCs w:val="22"/>
        </w:rPr>
        <w:t xml:space="preserve">Record the reasoning per object,</w:t>
      </w:r>
      <w:r>
        <w:rPr>
          <w:rFonts w:ascii="Times New Roman" w:cs="Times New Roman" w:eastAsia="Times New Roman" w:hAnsi="Times New Roman"/>
          <w:sz w:val="22"/>
          <w:szCs w:val="22"/>
        </w:rPr>
        <w:t xml:space="preserve"> not just the verdict. UnusedColumnsMeasures_Evaluated.xlsx in the repository is the precedent: it explains why the composite-key components were retained, which is the difference between an audit and a purge.</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One deletion that was justified.  </w:t>
            </w:r>
            <w:r>
              <w:rPr>
                <w:rFonts w:ascii="Times New Roman" w:cs="Times New Roman" w:eastAsia="Times New Roman" w:hAnsi="Times New Roman"/>
                <w:sz w:val="20"/>
                <w:szCs w:val="20"/>
              </w:rPr>
              <w:t xml:space="preserve">Quota Status was removed because nothing consumed it — document 13 §4.5 builds visual 1.8 with data bars on Quota Attainment % and rule-based icons on Sales YoY %, so the Met / At Risk / Missed banding the measure provided was never wired up. That is what a defensible removal looks like: a specific consumer checked, and found absent.</w:t>
            </w:r>
          </w:p>
        </w:tc>
      </w:tr>
    </w:tbl>
    <w:p>
      <w:pPr>
        <w:spacing w:after="120"/>
      </w:pPr>
      <w:r>
        <w:rPr>
          <w:sz w:val="10"/>
          <w:szCs w:val="10"/>
        </w:rPr>
        <w:t xml:space="preserve"/>
      </w:r>
    </w:p>
    <w:p>
      <w:pPr>
        <w:spacing w:after="120" w:line="276"/>
      </w:pPr>
      <w:r>
        <w:rPr>
          <w:rFonts w:ascii="Times New Roman" w:cs="Times New Roman" w:eastAsia="Times New Roman" w:hAnsi="Times New Roman"/>
          <w:sz w:val="22"/>
          <w:szCs w:val="22"/>
        </w:rPr>
        <w:t xml:space="preserve">Checkpoint: unused objects enumerated, each one either removed or annotated with a reason.</w:t>
      </w:r>
    </w:p>
    <w:p>
      <w:r>
        <w:br w:type="page"/>
      </w:r>
    </w:p>
    <w:p>
      <w:pPr>
        <w:pStyle w:val="Heading1"/>
        <w:spacing w:after="160" w:before="360"/>
      </w:pPr>
      <w:r>
        <w:rPr>
          <w:rFonts w:ascii="Times New Roman" w:cs="Times New Roman" w:eastAsia="Times New Roman" w:hAnsi="Times New Roman"/>
          <w:b/>
          <w:bCs/>
          <w:color w:val="1F3864"/>
          <w:sz w:val="32"/>
          <w:szCs w:val="32"/>
        </w:rPr>
        <w:t xml:space="preserve">6. The Conformance Specification</w:t>
      </w:r>
    </w:p>
    <w:p>
      <w:pPr>
        <w:spacing w:after="120" w:line="276"/>
      </w:pPr>
      <w:r>
        <w:rPr>
          <w:rFonts w:ascii="Times New Roman" w:cs="Times New Roman" w:eastAsia="Times New Roman" w:hAnsi="Times New Roman"/>
          <w:sz w:val="22"/>
          <w:szCs w:val="22"/>
        </w:rPr>
        <w:t xml:space="preserve">Document 13 restated as twenty assertions. This is the single canonical list — revision 2 carried it as a table in §7 and document 23 carried the code that tested it in §5.2, which meant two places to keep in step. Both are here now.</w:t>
      </w:r>
    </w:p>
    <w:p>
      <w:pPr>
        <w:pStyle w:val="Heading2"/>
        <w:spacing w:after="120" w:before="280"/>
      </w:pPr>
      <w:r>
        <w:rPr>
          <w:rFonts w:ascii="Times New Roman" w:cs="Times New Roman" w:eastAsia="Times New Roman" w:hAnsi="Times New Roman"/>
          <w:b/>
          <w:bCs/>
          <w:color w:val="1F3864"/>
          <w:sz w:val="26"/>
          <w:szCs w:val="26"/>
        </w:rPr>
        <w:t xml:space="preserve">6.1 The assertions</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700"/>
        <w:gridCol w:w="4200"/>
        <w:gridCol w:w="2500"/>
        <w:gridCol w:w="1960"/>
      </w:tblGrid>
      <w:tr>
        <w:trPr>
          <w:tblHeader/>
        </w:trPr>
        <w:tc>
          <w:tcPr>
            <w:tcW w:type="dxa" w:w="7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6"/>
                <w:szCs w:val="16"/>
              </w:rPr>
              <w:t xml:space="preserve">#</w:t>
            </w:r>
          </w:p>
        </w:tc>
        <w:tc>
          <w:tcPr>
            <w:tcW w:type="dxa" w:w="4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6"/>
                <w:szCs w:val="16"/>
              </w:rPr>
              <w:t xml:space="preserve">Assertion</w:t>
            </w:r>
          </w:p>
        </w:tc>
        <w:tc>
          <w:tcPr>
            <w:tcW w:type="dxa" w:w="25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6"/>
                <w:szCs w:val="16"/>
              </w:rPr>
              <w:t xml:space="preserve">Notebook surface</w:t>
            </w:r>
          </w:p>
        </w:tc>
        <w:tc>
          <w:tcPr>
            <w:tcW w:type="dxa" w:w="19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6"/>
                <w:szCs w:val="16"/>
              </w:rPr>
              <w:t xml:space="preserve">Category</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Canvas 1280 × 720 on all three pages</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rw.list_pages()</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Layout</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2</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Theme JSON applied (navy #1F3864, canvas #FAFAFA)</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report.json / StaticResources</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Layout</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3</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Page 1 has 8 visuals; Page 2 has 6; Page 3 has 4</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rw.list_visuals()</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Layout</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4</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Cards 1.1, 1.2, 1.4 bind the reference-label measures</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list_report_semantic_model_objects()</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5</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Card 1.4 uses Quota Attainment % Color as field-value colour</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6</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1.5 plots Total Sales and Sales PY, PY dashed</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7</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1.6 overlays Quota Amount on Total Sales by Region</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8</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1.8 matrix has data bars and icons</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9</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Forecast: length 6, ignore last 0, seasonality 12, CI 95%</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10</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2.3 has a constant line at 1.00</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bindings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11</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Slicer 2.4 bound to 'Growth Rate'[Growth Rate]</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rw.list_visuals()</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Filters &amp; interactions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12</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3.1 carries a TopN filter, 10 by Total Sales</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rw.list_visual_filters()</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Filters &amp; interactions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13</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3.2 filters Account Status &lt;&gt; 'Active'</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rw.list_visual_filters()</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Filters &amp; interactions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14</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3.3 has quadrant lines at x = 20% and y = 0</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JSON</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Filters &amp; interactions</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15</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Region and Order Date slicers sync across all pages</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report.json</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Filters &amp; interactions</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16</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Reset-filters bookmark exists with Data unticked</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rw.list_bookmarks()</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Navigation</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17</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Page 3 declares Region and State as drillthrough fields</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page JSON</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Navigation</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18</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Visual 1.6 cross-filters rather than cross-highlights</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report.json</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Navigation</w:t>
            </w:r>
          </w:p>
        </w:tc>
      </w:tr>
      <w:tr>
        <w:trPr>
          <w:tblHeader w:val="false"/>
        </w:trPr>
        <w:tc>
          <w:tcPr>
            <w:tcW w:type="dxa" w:w="7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19</w:t>
            </w:r>
          </w:p>
        </w:tc>
        <w:tc>
          <w:tcPr>
            <w:tcW w:type="dxa" w:w="42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No visual left with a default auto-generated title</w:t>
            </w:r>
          </w:p>
        </w:tc>
        <w:tc>
          <w:tcPr>
            <w:tcW w:type="dxa" w:w="250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run_report_bpa()</w:t>
            </w:r>
          </w:p>
        </w:tc>
        <w:tc>
          <w:tcPr>
            <w:tcW w:type="dxa" w:w="1960"/>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Layout</w:t>
            </w:r>
          </w:p>
        </w:tc>
      </w:tr>
      <w:tr>
        <w:trPr>
          <w:tblHeader w:val="false"/>
        </w:trPr>
        <w:tc>
          <w:tcPr>
            <w:tcW w:type="dxa" w:w="7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20</w:t>
            </w:r>
          </w:p>
        </w:tc>
        <w:tc>
          <w:tcPr>
            <w:tcW w:type="dxa" w:w="4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Every page renders under 3 s cold</w:t>
            </w:r>
          </w:p>
        </w:tc>
        <w:tc>
          <w:tcPr>
            <w:tcW w:type="dxa" w:w="25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Performance Analyzer (Desktop)</w:t>
            </w:r>
          </w:p>
        </w:tc>
        <w:tc>
          <w:tcPr>
            <w:tcW w:type="dxa" w:w="19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6"/>
                <w:szCs w:val="16"/>
              </w:rPr>
              <w:t xml:space="preserve">Performance</w:t>
            </w:r>
          </w:p>
        </w:tc>
      </w:tr>
    </w:tbl>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A note on assertion 3.  </w:t>
            </w:r>
            <w:r>
              <w:rPr>
                <w:rFonts w:ascii="Times New Roman" w:cs="Times New Roman" w:eastAsia="Times New Roman" w:hAnsi="Times New Roman"/>
                <w:sz w:val="20"/>
                <w:szCs w:val="20"/>
              </w:rPr>
              <w:t xml:space="preserve">The PBIR definition contains forty-five visual containers across the three pages. Only eighteen of them are the data visuals document 13 specifies — the remainder are text boxes, shapes, slicers and action buttons. Filter list_visuals() by visual type before counting, or this assertion will fail against a perfectly correct report.</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6.2 The code that records them</w:t>
      </w:r>
    </w:p>
    <w:p>
      <w:pPr>
        <w:spacing w:after="120" w:line="276"/>
      </w:pPr>
      <w:r>
        <w:rPr>
          <w:rFonts w:ascii="Times New Roman" w:cs="Times New Roman" w:eastAsia="Times New Roman" w:hAnsi="Times New Roman"/>
          <w:sz w:val="22"/>
          <w:szCs w:val="22"/>
        </w:rPr>
        <w:t xml:space="preserve">Each assertion writes a row rather than just passing or failing silently, so the dashboard can show which parts of the specification the report actually meets. Twenty assertions is roughly forty lines.</w:t>
      </w:r>
    </w:p>
    <w:p>
      <w:pPr>
        <w:shd w:fill="F2F2F2" w:val="clear"/>
        <w:spacing w:after="0" w:before="100" w:line="240"/>
        <w:ind w:left="180" w:right="120"/>
      </w:pPr>
      <w:r>
        <w:rPr>
          <w:rFonts w:ascii="Consolas" w:cs="Consolas" w:eastAsia="Consolas" w:hAnsi="Consolas"/>
          <w:sz w:val="17"/>
          <w:szCs w:val="17"/>
        </w:rPr>
        <w:t xml:space="preserve">rows = []</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def check(aid, assertion, category, page, expected, actual):</w:t>
      </w:r>
    </w:p>
    <w:p>
      <w:pPr>
        <w:shd w:fill="F2F2F2" w:val="clear"/>
        <w:spacing w:after="0" w:before="0" w:line="240"/>
        <w:ind w:left="180" w:right="120"/>
      </w:pPr>
      <w:r>
        <w:rPr>
          <w:rFonts w:ascii="Consolas" w:cs="Consolas" w:eastAsia="Consolas" w:hAnsi="Consolas"/>
          <w:sz w:val="17"/>
          <w:szCs w:val="17"/>
        </w:rPr>
        <w:t xml:space="preserve">    rows.append({</w:t>
      </w:r>
    </w:p>
    <w:p>
      <w:pPr>
        <w:shd w:fill="F2F2F2" w:val="clear"/>
        <w:spacing w:after="0" w:before="0" w:line="240"/>
        <w:ind w:left="180" w:right="120"/>
      </w:pPr>
      <w:r>
        <w:rPr>
          <w:rFonts w:ascii="Consolas" w:cs="Consolas" w:eastAsia="Consolas" w:hAnsi="Consolas"/>
          <w:sz w:val="17"/>
          <w:szCs w:val="17"/>
        </w:rPr>
        <w:t xml:space="preserve">        "run_id":       run_id,          # from Section 7.1</w:t>
      </w:r>
    </w:p>
    <w:p>
      <w:pPr>
        <w:shd w:fill="F2F2F2" w:val="clear"/>
        <w:spacing w:after="0" w:before="0" w:line="240"/>
        <w:ind w:left="180" w:right="120"/>
      </w:pPr>
      <w:r>
        <w:rPr>
          <w:rFonts w:ascii="Consolas" w:cs="Consolas" w:eastAsia="Consolas" w:hAnsi="Consolas"/>
          <w:sz w:val="17"/>
          <w:szCs w:val="17"/>
        </w:rPr>
        <w:t xml:space="preserve">        "assertion_id": aid,</w:t>
      </w:r>
    </w:p>
    <w:p>
      <w:pPr>
        <w:shd w:fill="F2F2F2" w:val="clear"/>
        <w:spacing w:after="0" w:before="0" w:line="240"/>
        <w:ind w:left="180" w:right="120"/>
      </w:pPr>
      <w:r>
        <w:rPr>
          <w:rFonts w:ascii="Consolas" w:cs="Consolas" w:eastAsia="Consolas" w:hAnsi="Consolas"/>
          <w:sz w:val="17"/>
          <w:szCs w:val="17"/>
        </w:rPr>
        <w:t xml:space="preserve">        "assertion":    assertion,</w:t>
      </w:r>
    </w:p>
    <w:p>
      <w:pPr>
        <w:shd w:fill="F2F2F2" w:val="clear"/>
        <w:spacing w:after="0" w:before="0" w:line="240"/>
        <w:ind w:left="180" w:right="120"/>
      </w:pPr>
      <w:r>
        <w:rPr>
          <w:rFonts w:ascii="Consolas" w:cs="Consolas" w:eastAsia="Consolas" w:hAnsi="Consolas"/>
          <w:sz w:val="17"/>
          <w:szCs w:val="17"/>
        </w:rPr>
        <w:t xml:space="preserve">        "category":     category,</w:t>
      </w:r>
    </w:p>
    <w:p>
      <w:pPr>
        <w:shd w:fill="F2F2F2" w:val="clear"/>
        <w:spacing w:after="0" w:before="0" w:line="240"/>
        <w:ind w:left="180" w:right="120"/>
      </w:pPr>
      <w:r>
        <w:rPr>
          <w:rFonts w:ascii="Consolas" w:cs="Consolas" w:eastAsia="Consolas" w:hAnsi="Consolas"/>
          <w:sz w:val="17"/>
          <w:szCs w:val="17"/>
        </w:rPr>
        <w:t xml:space="preserve">        "page":         page,</w:t>
      </w:r>
    </w:p>
    <w:p>
      <w:pPr>
        <w:shd w:fill="F2F2F2" w:val="clear"/>
        <w:spacing w:after="0" w:before="0" w:line="240"/>
        <w:ind w:left="180" w:right="120"/>
      </w:pPr>
      <w:r>
        <w:rPr>
          <w:rFonts w:ascii="Consolas" w:cs="Consolas" w:eastAsia="Consolas" w:hAnsi="Consolas"/>
          <w:sz w:val="17"/>
          <w:szCs w:val="17"/>
        </w:rPr>
        <w:t xml:space="preserve">        "expected":     str(expected),</w:t>
      </w:r>
    </w:p>
    <w:p>
      <w:pPr>
        <w:shd w:fill="F2F2F2" w:val="clear"/>
        <w:spacing w:after="0" w:before="0" w:line="240"/>
        <w:ind w:left="180" w:right="120"/>
      </w:pPr>
      <w:r>
        <w:rPr>
          <w:rFonts w:ascii="Consolas" w:cs="Consolas" w:eastAsia="Consolas" w:hAnsi="Consolas"/>
          <w:sz w:val="17"/>
          <w:szCs w:val="17"/>
        </w:rPr>
        <w:t xml:space="preserve">        "actual":       str(actual),</w:t>
      </w:r>
    </w:p>
    <w:p>
      <w:pPr>
        <w:shd w:fill="F2F2F2" w:val="clear"/>
        <w:spacing w:after="0" w:before="0" w:line="240"/>
        <w:ind w:left="180" w:right="120"/>
      </w:pPr>
      <w:r>
        <w:rPr>
          <w:rFonts w:ascii="Consolas" w:cs="Consolas" w:eastAsia="Consolas" w:hAnsi="Consolas"/>
          <w:sz w:val="17"/>
          <w:szCs w:val="17"/>
        </w:rPr>
        <w:t xml:space="preserve">        "result":       "Pass" if str(expected) == str(actual) else "Fail"</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pages   = rw.list_pages()</w:t>
      </w:r>
    </w:p>
    <w:p>
      <w:pPr>
        <w:shd w:fill="F2F2F2" w:val="clear"/>
        <w:spacing w:after="0" w:before="0" w:line="240"/>
        <w:ind w:left="180" w:right="120"/>
      </w:pPr>
      <w:r>
        <w:rPr>
          <w:rFonts w:ascii="Consolas" w:cs="Consolas" w:eastAsia="Consolas" w:hAnsi="Consolas"/>
          <w:sz w:val="17"/>
          <w:szCs w:val="17"/>
        </w:rPr>
        <w:t xml:space="preserve">visuals = rw.list_visuals()</w:t>
      </w:r>
    </w:p>
    <w:p>
      <w:pPr>
        <w:shd w:fill="F2F2F2" w:val="clear"/>
        <w:spacing w:after="0" w:before="0" w:line="240"/>
        <w:ind w:left="180" w:right="120"/>
      </w:pPr>
      <w:r>
        <w:rPr>
          <w:rFonts w:ascii="Consolas" w:cs="Consolas" w:eastAsia="Consolas" w:hAnsi="Consolas"/>
          <w:sz w:val="17"/>
          <w:szCs w:val="17"/>
        </w:rPr>
        <w:t xml:space="preserve">DATA_VISUALS = {"card", "lineChart", "clusteredColumnChart", "clusteredBarChart",</w:t>
      </w:r>
    </w:p>
    <w:p>
      <w:pPr>
        <w:shd w:fill="F2F2F2" w:val="clear"/>
        <w:spacing w:after="0" w:before="0" w:line="240"/>
        <w:ind w:left="180" w:right="120"/>
      </w:pPr>
      <w:r>
        <w:rPr>
          <w:rFonts w:ascii="Consolas" w:cs="Consolas" w:eastAsia="Consolas" w:hAnsi="Consolas"/>
          <w:sz w:val="17"/>
          <w:szCs w:val="17"/>
        </w:rPr>
        <w:t xml:space="preserve">                "columnChart", "pivotTable", "tableEx", "scatterChart",</w:t>
      </w:r>
    </w:p>
    <w:p>
      <w:pPr>
        <w:shd w:fill="F2F2F2" w:val="clear"/>
        <w:spacing w:after="0" w:before="0" w:line="240"/>
        <w:ind w:left="180" w:right="120"/>
      </w:pPr>
      <w:r>
        <w:rPr>
          <w:rFonts w:ascii="Consolas" w:cs="Consolas" w:eastAsia="Consolas" w:hAnsi="Consolas"/>
          <w:sz w:val="17"/>
          <w:szCs w:val="17"/>
        </w:rPr>
        <w:t xml:space="preserve">                "decompositionTreeVisual", "lineClusteredColumnComboChart"}</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check(1, "Canvas is 1280 x 720 on all pages", "Layout", "All",</w:t>
      </w:r>
    </w:p>
    <w:p>
      <w:pPr>
        <w:shd w:fill="F2F2F2" w:val="clear"/>
        <w:spacing w:after="0" w:before="0" w:line="240"/>
        <w:ind w:left="180" w:right="120"/>
      </w:pPr>
      <w:r>
        <w:rPr>
          <w:rFonts w:ascii="Consolas" w:cs="Consolas" w:eastAsia="Consolas" w:hAnsi="Consolas"/>
          <w:sz w:val="17"/>
          <w:szCs w:val="17"/>
        </w:rPr>
        <w:t xml:space="preserve">      True,</w:t>
      </w:r>
    </w:p>
    <w:p>
      <w:pPr>
        <w:shd w:fill="F2F2F2" w:val="clear"/>
        <w:spacing w:after="0" w:before="0" w:line="240"/>
        <w:ind w:left="180" w:right="120"/>
      </w:pPr>
      <w:r>
        <w:rPr>
          <w:rFonts w:ascii="Consolas" w:cs="Consolas" w:eastAsia="Consolas" w:hAnsi="Consolas"/>
          <w:sz w:val="17"/>
          <w:szCs w:val="17"/>
        </w:rPr>
        <w:t xml:space="preserve">      bool((pages["Width"].eq(1280) &amp; pages["Height"].eq(720)).all()))</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dv = visuals[visuals["Visual Type"].isin(DATA_VISUALS)]</w:t>
      </w:r>
    </w:p>
    <w:p>
      <w:pPr>
        <w:shd w:fill="F2F2F2" w:val="clear"/>
        <w:spacing w:after="0" w:before="0" w:line="240"/>
        <w:ind w:left="180" w:right="120"/>
      </w:pPr>
      <w:r>
        <w:rPr>
          <w:rFonts w:ascii="Consolas" w:cs="Consolas" w:eastAsia="Consolas" w:hAnsi="Consolas"/>
          <w:sz w:val="17"/>
          <w:szCs w:val="17"/>
        </w:rPr>
        <w:t xml:space="preserve">check(3, "Page visual counts are 8 / 6 / 4", "Layout", "All",</w:t>
      </w:r>
    </w:p>
    <w:p>
      <w:pPr>
        <w:shd w:fill="F2F2F2" w:val="clear"/>
        <w:spacing w:after="0" w:before="0" w:line="240"/>
        <w:ind w:left="180" w:right="120"/>
      </w:pPr>
      <w:r>
        <w:rPr>
          <w:rFonts w:ascii="Consolas" w:cs="Consolas" w:eastAsia="Consolas" w:hAnsi="Consolas"/>
          <w:sz w:val="17"/>
          <w:szCs w:val="17"/>
        </w:rPr>
        <w:t xml:space="preserve">      [8, 6, 4],</w:t>
      </w:r>
    </w:p>
    <w:p>
      <w:pPr>
        <w:shd w:fill="F2F2F2" w:val="clear"/>
        <w:spacing w:after="0" w:before="0" w:line="240"/>
        <w:ind w:left="180" w:right="120"/>
      </w:pPr>
      <w:r>
        <w:rPr>
          <w:rFonts w:ascii="Consolas" w:cs="Consolas" w:eastAsia="Consolas" w:hAnsi="Consolas"/>
          <w:sz w:val="17"/>
          <w:szCs w:val="17"/>
        </w:rPr>
        <w:t xml:space="preserve">      [len(dv.query(f"Page == 'Page {i}'")) for i in (1, 2, 3)])</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check(12, "Visual 3.1 carries a TopN filter, 10 by Total Sales",</w:t>
      </w:r>
    </w:p>
    <w:p>
      <w:pPr>
        <w:shd w:fill="F2F2F2" w:val="clear"/>
        <w:spacing w:after="0" w:before="0" w:line="240"/>
        <w:ind w:left="180" w:right="120"/>
      </w:pPr>
      <w:r>
        <w:rPr>
          <w:rFonts w:ascii="Consolas" w:cs="Consolas" w:eastAsia="Consolas" w:hAnsi="Consolas"/>
          <w:sz w:val="17"/>
          <w:szCs w:val="17"/>
        </w:rPr>
        <w:t xml:space="preserve">      "Filters &amp; interactions", "Page 3",</w:t>
      </w:r>
    </w:p>
    <w:p>
      <w:pPr>
        <w:shd w:fill="F2F2F2" w:val="clear"/>
        <w:spacing w:after="0" w:before="0" w:line="240"/>
        <w:ind w:left="180" w:right="120"/>
      </w:pPr>
      <w:r>
        <w:rPr>
          <w:rFonts w:ascii="Consolas" w:cs="Consolas" w:eastAsia="Consolas" w:hAnsi="Consolas"/>
          <w:sz w:val="17"/>
          <w:szCs w:val="17"/>
        </w:rPr>
        <w:t xml:space="preserve">      "TopN 10",</w:t>
      </w:r>
    </w:p>
    <w:p>
      <w:pPr>
        <w:shd w:fill="F2F2F2" w:val="clear"/>
        <w:spacing w:after="0" w:before="0" w:line="240"/>
        <w:ind w:left="180" w:right="120"/>
      </w:pPr>
      <w:r>
        <w:rPr>
          <w:rFonts w:ascii="Consolas" w:cs="Consolas" w:eastAsia="Consolas" w:hAnsi="Consolas"/>
          <w:sz w:val="17"/>
          <w:szCs w:val="17"/>
        </w:rPr>
        <w:t xml:space="preserve">      top_n_of(rw.list_visual_filters(), visual="3.1"))</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 ... one call per assertion, 20 in total</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spark.createDataFrame(pd.DataFrame(rows)) \</w:t>
      </w:r>
    </w:p>
    <w:p>
      <w:pPr>
        <w:shd w:fill="F2F2F2" w:val="clear"/>
        <w:spacing w:after="0" w:before="0" w:line="240"/>
        <w:ind w:left="180" w:right="120"/>
      </w:pPr>
      <w:r>
        <w:rPr>
          <w:rFonts w:ascii="Consolas" w:cs="Consolas" w:eastAsia="Consolas" w:hAnsi="Consolas"/>
          <w:sz w:val="17"/>
          <w:szCs w:val="17"/>
        </w:rPr>
        <w:t xml:space="preserve">     .write.mode("append").saveAsTable("evaluation_conformance")</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Writing the assertions is the single most reusable thing produced by this whole exercise. Everything else is specific to this project; the pattern of expressing a written specification as executable checks against a live report transfers to any Power BI engagement.</w:t>
      </w:r>
    </w:p>
    <w:p>
      <w:r>
        <w:br w:type="page"/>
      </w:r>
    </w:p>
    <w:p>
      <w:pPr>
        <w:pStyle w:val="Heading1"/>
        <w:spacing w:after="160" w:before="360"/>
      </w:pPr>
      <w:r>
        <w:rPr>
          <w:rFonts w:ascii="Times New Roman" w:cs="Times New Roman" w:eastAsia="Times New Roman" w:hAnsi="Times New Roman"/>
          <w:b/>
          <w:bCs/>
          <w:color w:val="1F3864"/>
          <w:sz w:val="32"/>
          <w:szCs w:val="32"/>
        </w:rPr>
        <w:t xml:space="preserve">7. The Evaluation Tables</w:t>
      </w:r>
    </w:p>
    <w:p>
      <w:pPr>
        <w:pStyle w:val="Heading2"/>
        <w:spacing w:after="120" w:before="280"/>
      </w:pPr>
      <w:r>
        <w:rPr>
          <w:rFonts w:ascii="Times New Roman" w:cs="Times New Roman" w:eastAsia="Times New Roman" w:hAnsi="Times New Roman"/>
          <w:b/>
          <w:bCs/>
          <w:color w:val="1F3864"/>
          <w:sz w:val="26"/>
          <w:szCs w:val="26"/>
        </w:rPr>
        <w:t xml:space="preserve">7.1 What you build, and what you do not</w:t>
      </w:r>
    </w:p>
    <w:p>
      <w:pPr>
        <w:spacing w:after="120" w:line="276"/>
      </w:pPr>
      <w:r>
        <w:rPr>
          <w:rFonts w:ascii="Times New Roman" w:cs="Times New Roman" w:eastAsia="Times New Roman" w:hAnsi="Times New Roman"/>
          <w:sz w:val="22"/>
          <w:szCs w:val="22"/>
        </w:rPr>
        <w:t xml:space="preserve">Start with the part most people waste an hour on: semantic-link-labs already generates a BPA report for you. Three function calls produce a Direct Lake semantic model over the results table and a working Power BI report on top of it. Do not hand-build that.</w:t>
      </w:r>
    </w:p>
    <w:p>
      <w:pPr>
        <w:shd w:fill="F2F2F2" w:val="clear"/>
        <w:spacing w:after="0" w:before="100" w:line="240"/>
        <w:ind w:left="180" w:right="120"/>
      </w:pPr>
      <w:r>
        <w:rPr>
          <w:rFonts w:ascii="Consolas" w:cs="Consolas" w:eastAsia="Consolas" w:hAnsi="Consolas"/>
          <w:sz w:val="17"/>
          <w:szCs w:val="17"/>
        </w:rPr>
        <w:t xml:space="preserve">labs.run_model_bpa_bulk(workspace="Retail-Portfolio-Evaluation")</w:t>
      </w:r>
    </w:p>
    <w:p>
      <w:pPr>
        <w:shd w:fill="F2F2F2" w:val="clear"/>
        <w:spacing w:after="0" w:before="0" w:line="240"/>
        <w:ind w:left="180" w:right="120"/>
      </w:pPr>
      <w:r>
        <w:rPr>
          <w:rFonts w:ascii="Consolas" w:cs="Consolas" w:eastAsia="Consolas" w:hAnsi="Consolas"/>
          <w:sz w:val="17"/>
          <w:szCs w:val="17"/>
        </w:rPr>
        <w:t xml:space="preserve">labs.create_model_bpa_semantic_model()   # creates "ModelBPA" (Direct Lake)</w:t>
      </w:r>
    </w:p>
    <w:p>
      <w:pPr>
        <w:shd w:fill="F2F2F2" w:val="clear"/>
        <w:spacing w:after="0" w:before="0" w:line="240"/>
        <w:ind w:left="180" w:right="120"/>
      </w:pPr>
      <w:r>
        <w:rPr>
          <w:rFonts w:ascii="Consolas" w:cs="Consolas" w:eastAsia="Consolas" w:hAnsi="Consolas"/>
          <w:sz w:val="17"/>
          <w:szCs w:val="17"/>
        </w:rPr>
        <w:t xml:space="preserve">rep.create_model_bpa_report()            # creates the report</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Because the model is Direct Lake, every later evaluation run appears in that report automatically — no refresh, no republish.</w:t>
      </w:r>
    </w:p>
    <w:p>
      <w:pPr>
        <w:spacing w:after="120" w:line="276"/>
      </w:pPr>
      <w:r>
        <w:rPr>
          <w:rFonts w:ascii="Times New Roman" w:cs="Times New Roman" w:eastAsia="Times New Roman" w:hAnsi="Times New Roman"/>
          <w:sz w:val="22"/>
          <w:szCs w:val="22"/>
        </w:rPr>
        <w:t xml:space="preserve">But the generated report is Microsoft's report, not yours. Presenting it as portfolio work is weak, and any interviewer who knows the library will recognise it on sight. It is a baseline, not a deliverable.</w:t>
      </w:r>
    </w:p>
    <w:p>
      <w:pPr>
        <w:spacing w:after="120" w:line="276"/>
      </w:pPr>
      <w:r>
        <w:rPr>
          <w:rFonts w:ascii="Times New Roman" w:cs="Times New Roman" w:eastAsia="Times New Roman" w:hAnsi="Times New Roman"/>
          <w:sz w:val="22"/>
          <w:szCs w:val="22"/>
        </w:rPr>
        <w:t xml:space="preserve">The portfolio value is in what you add: four tables of your own that the library does not produce, and three pages that answer questions about this specific project.</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900"/>
        <w:gridCol w:w="2600"/>
        <w:gridCol w:w="3860"/>
      </w:tblGrid>
      <w:tr>
        <w:trPr>
          <w:tblHeader/>
        </w:trPr>
        <w:tc>
          <w:tcPr>
            <w:tcW w:type="dxa" w:w="2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Layer</w:t>
            </w:r>
          </w:p>
        </w:tc>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Source</w:t>
            </w:r>
          </w:p>
        </w:tc>
        <w:tc>
          <w:tcPr>
            <w:tcW w:type="dxa" w:w="38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Portfolio value</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modelbparesults delta table</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Generated by the library</w:t>
            </w:r>
          </w:p>
        </w:tc>
        <w:tc>
          <w:tcPr>
            <w:tcW w:type="dxa" w:w="38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None on its own — everyone with the library has it</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Generated ModelBPA report</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Generated by the library</w:t>
            </w:r>
          </w:p>
        </w:tc>
        <w:tc>
          <w:tcPr>
            <w:tcW w:type="dxa" w:w="38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A baseline to check your work against</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Run, conformance, validation and performance tables</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You write them in the notebook</w:t>
            </w:r>
          </w:p>
        </w:tc>
        <w:tc>
          <w:tcPr>
            <w:tcW w:type="dxa" w:w="38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High — this is the specification-as-tests idea made concrete</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Three custom report pages</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You build them</w:t>
            </w:r>
          </w:p>
        </w:tc>
        <w:tc>
          <w:tcPr>
            <w:tcW w:type="dxa" w:w="38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High — evidence you can turn an audit into a narrative</w:t>
            </w:r>
          </w:p>
        </w:tc>
      </w:tr>
    </w:tbl>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Before you build Page 1.  </w:t>
            </w:r>
            <w:r>
              <w:rPr>
                <w:rFonts w:ascii="Times New Roman" w:cs="Times New Roman" w:eastAsia="Times New Roman" w:hAnsi="Times New Roman"/>
                <w:sz w:val="20"/>
                <w:szCs w:val="20"/>
              </w:rPr>
              <w:t xml:space="preserve">You need at least two evaluation runs in the tables. The headline visual is a trend, and a trend needs more than one point. If you have only one run, apply a fix and re-run the audit so the chart has something to show. A descending line across successive runs is the story the whole dashboard exists to tell.</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7.2 Run header — the dimension</w:t>
      </w:r>
    </w:p>
    <w:p>
      <w:pPr>
        <w:spacing w:after="120" w:line="276"/>
      </w:pPr>
      <w:r>
        <w:rPr>
          <w:rFonts w:ascii="Times New Roman" w:cs="Times New Roman" w:eastAsia="Times New Roman" w:hAnsi="Times New Roman"/>
          <w:sz w:val="22"/>
          <w:szCs w:val="22"/>
        </w:rPr>
        <w:t xml:space="preserve">One row per evaluation run. Everything else joins to this, which gives the dashboard a star schema for the same reason the main model has one.</w:t>
      </w:r>
    </w:p>
    <w:p>
      <w:pPr>
        <w:shd w:fill="F2F2F2" w:val="clear"/>
        <w:spacing w:after="0" w:before="100" w:line="240"/>
        <w:ind w:left="180" w:right="120"/>
      </w:pPr>
      <w:r>
        <w:rPr>
          <w:rFonts w:ascii="Consolas" w:cs="Consolas" w:eastAsia="Consolas" w:hAnsi="Consolas"/>
          <w:sz w:val="17"/>
          <w:szCs w:val="17"/>
        </w:rPr>
        <w:t xml:space="preserve">import uuid, datetime as dt, pandas as pd</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run_id = str(uuid.uuid4())</w:t>
      </w:r>
    </w:p>
    <w:p>
      <w:pPr>
        <w:shd w:fill="F2F2F2" w:val="clear"/>
        <w:spacing w:after="0" w:before="0" w:line="240"/>
        <w:ind w:left="180" w:right="120"/>
      </w:pPr>
      <w:r>
        <w:rPr>
          <w:rFonts w:ascii="Consolas" w:cs="Consolas" w:eastAsia="Consolas" w:hAnsi="Consolas"/>
          <w:sz w:val="17"/>
          <w:szCs w:val="17"/>
        </w:rPr>
        <w:t xml:space="preserve">run_ts = dt.datetime.utcnow()</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runs = pd.DataFrame([{</w:t>
      </w:r>
    </w:p>
    <w:p>
      <w:pPr>
        <w:shd w:fill="F2F2F2" w:val="clear"/>
        <w:spacing w:after="0" w:before="0" w:line="240"/>
        <w:ind w:left="180" w:right="120"/>
      </w:pPr>
      <w:r>
        <w:rPr>
          <w:rFonts w:ascii="Consolas" w:cs="Consolas" w:eastAsia="Consolas" w:hAnsi="Consolas"/>
          <w:sz w:val="17"/>
          <w:szCs w:val="17"/>
        </w:rPr>
        <w:t xml:space="preserve">    "run_id":        run_id,</w:t>
      </w:r>
    </w:p>
    <w:p>
      <w:pPr>
        <w:shd w:fill="F2F2F2" w:val="clear"/>
        <w:spacing w:after="0" w:before="0" w:line="240"/>
        <w:ind w:left="180" w:right="120"/>
      </w:pPr>
      <w:r>
        <w:rPr>
          <w:rFonts w:ascii="Consolas" w:cs="Consolas" w:eastAsia="Consolas" w:hAnsi="Consolas"/>
          <w:sz w:val="17"/>
          <w:szCs w:val="17"/>
        </w:rPr>
        <w:t xml:space="preserve">    "run_timestamp": run_ts,</w:t>
      </w:r>
    </w:p>
    <w:p>
      <w:pPr>
        <w:shd w:fill="F2F2F2" w:val="clear"/>
        <w:spacing w:after="0" w:before="0" w:line="240"/>
        <w:ind w:left="180" w:right="120"/>
      </w:pPr>
      <w:r>
        <w:rPr>
          <w:rFonts w:ascii="Consolas" w:cs="Consolas" w:eastAsia="Consolas" w:hAnsi="Consolas"/>
          <w:sz w:val="17"/>
          <w:szCs w:val="17"/>
        </w:rPr>
        <w:t xml:space="preserve">    "model_name":    "Retail_Sales_Forecasting",</w:t>
      </w:r>
    </w:p>
    <w:p>
      <w:pPr>
        <w:shd w:fill="F2F2F2" w:val="clear"/>
        <w:spacing w:after="0" w:before="0" w:line="240"/>
        <w:ind w:left="180" w:right="120"/>
      </w:pPr>
      <w:r>
        <w:rPr>
          <w:rFonts w:ascii="Consolas" w:cs="Consolas" w:eastAsia="Consolas" w:hAnsi="Consolas"/>
          <w:sz w:val="17"/>
          <w:szCs w:val="17"/>
        </w:rPr>
        <w:t xml:space="preserve">    "labs_version":  labs.__version__,</w:t>
      </w:r>
    </w:p>
    <w:p>
      <w:pPr>
        <w:shd w:fill="F2F2F2" w:val="clear"/>
        <w:spacing w:after="0" w:before="0" w:line="240"/>
        <w:ind w:left="180" w:right="120"/>
      </w:pPr>
      <w:r>
        <w:rPr>
          <w:rFonts w:ascii="Consolas" w:cs="Consolas" w:eastAsia="Consolas" w:hAnsi="Consolas"/>
          <w:sz w:val="17"/>
          <w:szCs w:val="17"/>
        </w:rPr>
        <w:t xml:space="preserve">    "notes":         "post-remediation baseline"</w:t>
      </w:r>
    </w:p>
    <w:p>
      <w:pPr>
        <w:shd w:fill="F2F2F2" w:val="clear"/>
        <w:spacing w:after="0" w:before="0" w:line="240"/>
        <w:ind w:left="180" w:right="120"/>
      </w:pPr>
      <w:r>
        <w:rPr>
          <w:rFonts w:ascii="Consolas" w:cs="Consolas" w:eastAsia="Consolas" w:hAnsi="Consolas"/>
          <w:sz w:val="17"/>
          <w:szCs w:val="17"/>
        </w:rPr>
        <w:t xml:space="preserve">}])</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spark.createDataFrame(runs) \</w:t>
      </w:r>
    </w:p>
    <w:p>
      <w:pPr>
        <w:shd w:fill="F2F2F2" w:val="clear"/>
        <w:spacing w:after="0" w:before="0" w:line="240"/>
        <w:ind w:left="180" w:right="120"/>
      </w:pPr>
      <w:r>
        <w:rPr>
          <w:rFonts w:ascii="Consolas" w:cs="Consolas" w:eastAsia="Consolas" w:hAnsi="Consolas"/>
          <w:sz w:val="17"/>
          <w:szCs w:val="17"/>
        </w:rPr>
        <w:t xml:space="preserve">     .write.mode("append").saveAsTable("evaluation_runs")</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Write this cell first. run_id is referenced by all three fact tables, so it must exist before any of them.</w:t>
      </w:r>
    </w:p>
    <w:p>
      <w:pPr>
        <w:pStyle w:val="Heading2"/>
        <w:spacing w:after="120" w:before="280"/>
      </w:pPr>
      <w:r>
        <w:rPr>
          <w:rFonts w:ascii="Times New Roman" w:cs="Times New Roman" w:eastAsia="Times New Roman" w:hAnsi="Times New Roman"/>
          <w:b/>
          <w:bCs/>
          <w:color w:val="1F3864"/>
          <w:sz w:val="26"/>
          <w:szCs w:val="26"/>
        </w:rPr>
        <w:t xml:space="preserve">7.3 Conformance results</w:t>
      </w:r>
    </w:p>
    <w:p>
      <w:pPr>
        <w:spacing w:after="120" w:line="276"/>
      </w:pPr>
      <w:r>
        <w:rPr>
          <w:rFonts w:ascii="Times New Roman" w:cs="Times New Roman" w:eastAsia="Times New Roman" w:hAnsi="Times New Roman"/>
          <w:sz w:val="22"/>
          <w:szCs w:val="22"/>
        </w:rPr>
        <w:t xml:space="preserve">The twenty assertions from Section 6, one row each — run_id, assertion_id, assertion, category, page, expected, actual, result. The code that writes it is in Section 6.2 and is not repeated here, which is the whole reason the two documents were merged. Expected and actual are stringified so heterogeneous types compare cleanly.</w:t>
      </w:r>
    </w:p>
    <w:p>
      <w:pPr>
        <w:pStyle w:val="Heading2"/>
        <w:spacing w:after="120" w:before="280"/>
      </w:pPr>
      <w:r>
        <w:rPr>
          <w:rFonts w:ascii="Times New Roman" w:cs="Times New Roman" w:eastAsia="Times New Roman" w:hAnsi="Times New Roman"/>
          <w:b/>
          <w:bCs/>
          <w:color w:val="1F3864"/>
          <w:sz w:val="26"/>
          <w:szCs w:val="26"/>
        </w:rPr>
        <w:t xml:space="preserve">7.4 Measure validation</w:t>
      </w:r>
    </w:p>
    <w:p>
      <w:pPr>
        <w:spacing w:after="120" w:line="276"/>
      </w:pPr>
      <w:r>
        <w:rPr>
          <w:rFonts w:ascii="Times New Roman" w:cs="Times New Roman" w:eastAsia="Times New Roman" w:hAnsi="Times New Roman"/>
          <w:sz w:val="22"/>
          <w:szCs w:val="22"/>
        </w:rPr>
        <w:t xml:space="preserve">The known-good figures from document 21 §2, asserted rather than eyeballed. The full control-total list is in Section 5.5; this writes the result of each comparison to a table so the dashboard can show it.</w:t>
      </w:r>
    </w:p>
    <w:p>
      <w:pPr>
        <w:shd w:fill="F2F2F2" w:val="clear"/>
        <w:spacing w:after="0" w:before="100" w:line="240"/>
        <w:ind w:left="180" w:right="120"/>
      </w:pPr>
      <w:r>
        <w:rPr>
          <w:rFonts w:ascii="Consolas" w:cs="Consolas" w:eastAsia="Consolas" w:hAnsi="Consolas"/>
          <w:sz w:val="17"/>
          <w:szCs w:val="17"/>
        </w:rPr>
        <w:t xml:space="preserve">expected = {</w:t>
      </w:r>
    </w:p>
    <w:p>
      <w:pPr>
        <w:shd w:fill="F2F2F2" w:val="clear"/>
        <w:spacing w:after="0" w:before="0" w:line="240"/>
        <w:ind w:left="180" w:right="120"/>
      </w:pPr>
      <w:r>
        <w:rPr>
          <w:rFonts w:ascii="Consolas" w:cs="Consolas" w:eastAsia="Consolas" w:hAnsi="Consolas"/>
          <w:sz w:val="17"/>
          <w:szCs w:val="17"/>
        </w:rPr>
        <w:t xml:space="preserve">    "Total Sales":      2297200.86,</w:t>
      </w:r>
    </w:p>
    <w:p>
      <w:pPr>
        <w:shd w:fill="F2F2F2" w:val="clear"/>
        <w:spacing w:after="0" w:before="0" w:line="240"/>
        <w:ind w:left="180" w:right="120"/>
      </w:pPr>
      <w:r>
        <w:rPr>
          <w:rFonts w:ascii="Consolas" w:cs="Consolas" w:eastAsia="Consolas" w:hAnsi="Consolas"/>
          <w:sz w:val="17"/>
          <w:szCs w:val="17"/>
        </w:rPr>
        <w:t xml:space="preserve">    "Total Profit":      286397.02,</w:t>
      </w:r>
    </w:p>
    <w:p>
      <w:pPr>
        <w:shd w:fill="F2F2F2" w:val="clear"/>
        <w:spacing w:after="0" w:before="0" w:line="240"/>
        <w:ind w:left="180" w:right="120"/>
      </w:pPr>
      <w:r>
        <w:rPr>
          <w:rFonts w:ascii="Consolas" w:cs="Consolas" w:eastAsia="Consolas" w:hAnsi="Consolas"/>
          <w:sz w:val="17"/>
          <w:szCs w:val="17"/>
        </w:rPr>
        <w:t xml:space="preserve">    "Order Count":         5009,</w:t>
      </w:r>
    </w:p>
    <w:p>
      <w:pPr>
        <w:shd w:fill="F2F2F2" w:val="clear"/>
        <w:spacing w:after="0" w:before="0" w:line="240"/>
        <w:ind w:left="180" w:right="120"/>
      </w:pPr>
      <w:r>
        <w:rPr>
          <w:rFonts w:ascii="Consolas" w:cs="Consolas" w:eastAsia="Consolas" w:hAnsi="Consolas"/>
          <w:sz w:val="17"/>
          <w:szCs w:val="17"/>
        </w:rPr>
        <w:t xml:space="preserve">    "Active Customers":     793,</w:t>
      </w:r>
    </w:p>
    <w:p>
      <w:pPr>
        <w:shd w:fill="F2F2F2" w:val="clear"/>
        <w:spacing w:after="0" w:before="0" w:line="240"/>
        <w:ind w:left="180" w:right="120"/>
      </w:pPr>
      <w:r>
        <w:rPr>
          <w:rFonts w:ascii="Consolas" w:cs="Consolas" w:eastAsia="Consolas" w:hAnsi="Consolas"/>
          <w:sz w:val="17"/>
          <w:szCs w:val="17"/>
        </w:rPr>
        <w:t xml:space="preserve">}</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vrows = []</w:t>
      </w:r>
    </w:p>
    <w:p>
      <w:pPr>
        <w:shd w:fill="F2F2F2" w:val="clear"/>
        <w:spacing w:after="0" w:before="0" w:line="240"/>
        <w:ind w:left="180" w:right="120"/>
      </w:pPr>
      <w:r>
        <w:rPr>
          <w:rFonts w:ascii="Consolas" w:cs="Consolas" w:eastAsia="Consolas" w:hAnsi="Consolas"/>
          <w:sz w:val="17"/>
          <w:szCs w:val="17"/>
        </w:rPr>
        <w:t xml:space="preserve">for m, exp in expected.items():</w:t>
      </w:r>
    </w:p>
    <w:p>
      <w:pPr>
        <w:shd w:fill="F2F2F2" w:val="clear"/>
        <w:spacing w:after="0" w:before="0" w:line="240"/>
        <w:ind w:left="180" w:right="120"/>
      </w:pPr>
      <w:r>
        <w:rPr>
          <w:rFonts w:ascii="Consolas" w:cs="Consolas" w:eastAsia="Consolas" w:hAnsi="Consolas"/>
          <w:sz w:val="17"/>
          <w:szCs w:val="17"/>
        </w:rPr>
        <w:t xml:space="preserve">    act = float(fabric.evaluate_measure(</w:t>
      </w:r>
    </w:p>
    <w:p>
      <w:pPr>
        <w:shd w:fill="F2F2F2" w:val="clear"/>
        <w:spacing w:after="0" w:before="0" w:line="240"/>
        <w:ind w:left="180" w:right="120"/>
      </w:pPr>
      <w:r>
        <w:rPr>
          <w:rFonts w:ascii="Consolas" w:cs="Consolas" w:eastAsia="Consolas" w:hAnsi="Consolas"/>
          <w:sz w:val="17"/>
          <w:szCs w:val="17"/>
        </w:rPr>
        <w:t xml:space="preserve">        "Retail_Sales_Forecasting", m).iloc[0, 0])</w:t>
      </w:r>
    </w:p>
    <w:p>
      <w:pPr>
        <w:shd w:fill="F2F2F2" w:val="clear"/>
        <w:spacing w:after="0" w:before="0" w:line="240"/>
        <w:ind w:left="180" w:right="120"/>
      </w:pPr>
      <w:r>
        <w:rPr>
          <w:rFonts w:ascii="Consolas" w:cs="Consolas" w:eastAsia="Consolas" w:hAnsi="Consolas"/>
          <w:sz w:val="17"/>
          <w:szCs w:val="17"/>
        </w:rPr>
        <w:t xml:space="preserve">    vrows.append({</w:t>
      </w:r>
    </w:p>
    <w:p>
      <w:pPr>
        <w:shd w:fill="F2F2F2" w:val="clear"/>
        <w:spacing w:after="0" w:before="0" w:line="240"/>
        <w:ind w:left="180" w:right="120"/>
      </w:pPr>
      <w:r>
        <w:rPr>
          <w:rFonts w:ascii="Consolas" w:cs="Consolas" w:eastAsia="Consolas" w:hAnsi="Consolas"/>
          <w:sz w:val="17"/>
          <w:szCs w:val="17"/>
        </w:rPr>
        <w:t xml:space="preserve">        "run_id":         run_id,</w:t>
      </w:r>
    </w:p>
    <w:p>
      <w:pPr>
        <w:shd w:fill="F2F2F2" w:val="clear"/>
        <w:spacing w:after="0" w:before="0" w:line="240"/>
        <w:ind w:left="180" w:right="120"/>
      </w:pPr>
      <w:r>
        <w:rPr>
          <w:rFonts w:ascii="Consolas" w:cs="Consolas" w:eastAsia="Consolas" w:hAnsi="Consolas"/>
          <w:sz w:val="17"/>
          <w:szCs w:val="17"/>
        </w:rPr>
        <w:t xml:space="preserve">        "measure_name":   m,</w:t>
      </w:r>
    </w:p>
    <w:p>
      <w:pPr>
        <w:shd w:fill="F2F2F2" w:val="clear"/>
        <w:spacing w:after="0" w:before="0" w:line="240"/>
        <w:ind w:left="180" w:right="120"/>
      </w:pPr>
      <w:r>
        <w:rPr>
          <w:rFonts w:ascii="Consolas" w:cs="Consolas" w:eastAsia="Consolas" w:hAnsi="Consolas"/>
          <w:sz w:val="17"/>
          <w:szCs w:val="17"/>
        </w:rPr>
        <w:t xml:space="preserve">        "expected_value": exp,</w:t>
      </w:r>
    </w:p>
    <w:p>
      <w:pPr>
        <w:shd w:fill="F2F2F2" w:val="clear"/>
        <w:spacing w:after="0" w:before="0" w:line="240"/>
        <w:ind w:left="180" w:right="120"/>
      </w:pPr>
      <w:r>
        <w:rPr>
          <w:rFonts w:ascii="Consolas" w:cs="Consolas" w:eastAsia="Consolas" w:hAnsi="Consolas"/>
          <w:sz w:val="17"/>
          <w:szCs w:val="17"/>
        </w:rPr>
        <w:t xml:space="preserve">        "actual_value":   act,</w:t>
      </w:r>
    </w:p>
    <w:p>
      <w:pPr>
        <w:shd w:fill="F2F2F2" w:val="clear"/>
        <w:spacing w:after="0" w:before="0" w:line="240"/>
        <w:ind w:left="180" w:right="120"/>
      </w:pPr>
      <w:r>
        <w:rPr>
          <w:rFonts w:ascii="Consolas" w:cs="Consolas" w:eastAsia="Consolas" w:hAnsi="Consolas"/>
          <w:sz w:val="17"/>
          <w:szCs w:val="17"/>
        </w:rPr>
        <w:t xml:space="preserve">        "variance":       act - exp,</w:t>
      </w:r>
    </w:p>
    <w:p>
      <w:pPr>
        <w:shd w:fill="F2F2F2" w:val="clear"/>
        <w:spacing w:after="0" w:before="0" w:line="240"/>
        <w:ind w:left="180" w:right="120"/>
      </w:pPr>
      <w:r>
        <w:rPr>
          <w:rFonts w:ascii="Consolas" w:cs="Consolas" w:eastAsia="Consolas" w:hAnsi="Consolas"/>
          <w:sz w:val="17"/>
          <w:szCs w:val="17"/>
        </w:rPr>
        <w:t xml:space="preserve">        "result":         "Pass" if abs(act - exp) &lt; 0.01 else "Fail"</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spark.createDataFrame(pd.DataFrame(vrows)) \</w:t>
      </w:r>
    </w:p>
    <w:p>
      <w:pPr>
        <w:shd w:fill="F2F2F2" w:val="clear"/>
        <w:spacing w:after="0" w:before="0" w:line="240"/>
        <w:ind w:left="180" w:right="120"/>
      </w:pPr>
      <w:r>
        <w:rPr>
          <w:rFonts w:ascii="Consolas" w:cs="Consolas" w:eastAsia="Consolas" w:hAnsi="Consolas"/>
          <w:sz w:val="17"/>
          <w:szCs w:val="17"/>
        </w:rPr>
        <w:t xml:space="preserve">     .write.mode("append").saveAsTable("evaluation_validation")</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Extend the dictionary as far as you like. Four measures is enough to catch a broken model; the row-count and edge-case assertions in Section 5.5 catch the rest.</w:t>
      </w:r>
    </w:p>
    <w:p>
      <w:pPr>
        <w:pStyle w:val="Heading2"/>
        <w:spacing w:after="120" w:before="280"/>
      </w:pPr>
      <w:r>
        <w:rPr>
          <w:rFonts w:ascii="Times New Roman" w:cs="Times New Roman" w:eastAsia="Times New Roman" w:hAnsi="Times New Roman"/>
          <w:b/>
          <w:bCs/>
          <w:color w:val="1F3864"/>
          <w:sz w:val="26"/>
          <w:szCs w:val="26"/>
        </w:rPr>
        <w:t xml:space="preserve">7.5 Performance timings</w:t>
      </w:r>
    </w:p>
    <w:p>
      <w:pPr>
        <w:spacing w:after="120" w:line="276"/>
      </w:pPr>
      <w:r>
        <w:rPr>
          <w:rFonts w:ascii="Times New Roman" w:cs="Times New Roman" w:eastAsia="Times New Roman" w:hAnsi="Times New Roman"/>
          <w:sz w:val="22"/>
          <w:szCs w:val="22"/>
        </w:rPr>
        <w:t xml:space="preserve">Performance Analyzer runs on the desktop, but its export is JSON — so read it in the notebook and land it beside everything else rather than leaving it in a separate tool.</w:t>
      </w:r>
    </w:p>
    <w:p>
      <w:pPr>
        <w:shd w:fill="F2F2F2" w:val="clear"/>
        <w:spacing w:after="0" w:before="100" w:line="240"/>
        <w:ind w:left="180" w:right="120"/>
      </w:pPr>
      <w:r>
        <w:rPr>
          <w:rFonts w:ascii="Consolas" w:cs="Consolas" w:eastAsia="Consolas" w:hAnsi="Consolas"/>
          <w:sz w:val="17"/>
          <w:szCs w:val="17"/>
        </w:rPr>
        <w:t xml:space="preserve"># Upload the Performance Analyzer export to the lakehouse Files area first.</w:t>
      </w:r>
    </w:p>
    <w:p>
      <w:pPr>
        <w:shd w:fill="F2F2F2" w:val="clear"/>
        <w:spacing w:after="0" w:before="0" w:line="240"/>
        <w:ind w:left="180" w:right="120"/>
      </w:pPr>
      <w:r>
        <w:rPr>
          <w:rFonts w:ascii="Consolas" w:cs="Consolas" w:eastAsia="Consolas" w:hAnsi="Consolas"/>
          <w:sz w:val="17"/>
          <w:szCs w:val="17"/>
        </w:rPr>
        <w:t xml:space="preserve">import json</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pa = json.load(open("/lakehouse/default/Files/perf_export.json"))</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 Extract per-visual events; keep visual name, page, and the DAX/render</w:t>
      </w:r>
    </w:p>
    <w:p>
      <w:pPr>
        <w:shd w:fill="F2F2F2" w:val="clear"/>
        <w:spacing w:after="0" w:before="0" w:line="240"/>
        <w:ind w:left="180" w:right="120"/>
      </w:pPr>
      <w:r>
        <w:rPr>
          <w:rFonts w:ascii="Consolas" w:cs="Consolas" w:eastAsia="Consolas" w:hAnsi="Consolas"/>
          <w:sz w:val="17"/>
          <w:szCs w:val="17"/>
        </w:rPr>
        <w:t xml:space="preserve"># split. Write to "evaluation_performance" with:</w:t>
      </w:r>
    </w:p>
    <w:p>
      <w:pPr>
        <w:shd w:fill="F2F2F2" w:val="clear"/>
        <w:spacing w:after="0" w:before="0" w:line="240"/>
        <w:ind w:left="180" w:right="120"/>
      </w:pPr>
      <w:r>
        <w:rPr>
          <w:rFonts w:ascii="Consolas" w:cs="Consolas" w:eastAsia="Consolas" w:hAnsi="Consolas"/>
          <w:sz w:val="17"/>
          <w:szCs w:val="17"/>
        </w:rPr>
        <w:t xml:space="preserve">#   run_id, page, visual_name, visual_type, dax_ms, render_ms, total_ms</w:t>
      </w:r>
    </w:p>
    <w:p>
      <w:pPr>
        <w:spacing w:after="140"/>
      </w:pPr>
      <w:r>
        <w:rPr>
          <w:sz w:val="8"/>
          <w:szCs w:val="8"/>
        </w:rPr>
        <w:t xml:space="preserve"/>
      </w:r>
    </w:p>
    <w:p>
      <w:pPr>
        <w:spacing w:after="120" w:line="276"/>
      </w:pPr>
      <w:r>
        <w:rPr>
          <w:rFonts w:ascii="Times New Roman" w:cs="Times New Roman" w:eastAsia="Times New Roman" w:hAnsi="Times New Roman"/>
          <w:sz w:val="22"/>
          <w:szCs w:val="22"/>
        </w:rPr>
        <w:t xml:space="preserve">Threshold convention: under 500 ms is green, 500 to 2,000 ms amber, over 2,000 ms red. Store the raw milliseconds and let the banding live in DAX so the thresholds are visible and adjustable.</w:t>
      </w:r>
    </w:p>
    <w:p>
      <w:pPr>
        <w:pStyle w:val="Heading2"/>
        <w:spacing w:after="120" w:before="280"/>
      </w:pPr>
      <w:r>
        <w:rPr>
          <w:rFonts w:ascii="Times New Roman" w:cs="Times New Roman" w:eastAsia="Times New Roman" w:hAnsi="Times New Roman"/>
          <w:b/>
          <w:bCs/>
          <w:color w:val="1F3864"/>
          <w:sz w:val="26"/>
          <w:szCs w:val="26"/>
        </w:rPr>
        <w:t xml:space="preserve">7.6 Data model</w:t>
      </w:r>
    </w:p>
    <w:p>
      <w:pPr>
        <w:spacing w:after="120" w:line="276"/>
      </w:pPr>
      <w:r>
        <w:rPr>
          <w:rFonts w:ascii="Times New Roman" w:cs="Times New Roman" w:eastAsia="Times New Roman" w:hAnsi="Times New Roman"/>
          <w:sz w:val="22"/>
          <w:szCs w:val="22"/>
        </w:rPr>
        <w:t xml:space="preserve">Four fact tables around one run dimension. Single-direction, many-to-one, exactly as in the main project.</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3100"/>
        <w:gridCol w:w="2900"/>
        <w:gridCol w:w="3360"/>
      </w:tblGrid>
      <w:tr>
        <w:trPr>
          <w:tblHeader/>
        </w:trPr>
        <w:tc>
          <w:tcPr>
            <w:tcW w:type="dxa" w:w="31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From (many)</w:t>
            </w:r>
          </w:p>
        </w:tc>
        <w:tc>
          <w:tcPr>
            <w:tcW w:type="dxa" w:w="2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To (one)</w:t>
            </w:r>
          </w:p>
        </w:tc>
        <w:tc>
          <w:tcPr>
            <w:tcW w:type="dxa" w:w="33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Grain</w:t>
            </w:r>
          </w:p>
        </w:tc>
      </w:tr>
      <w:tr>
        <w:trPr>
          <w:tblHeader w:val="false"/>
        </w:trPr>
        <w:tc>
          <w:tcPr>
            <w:tcW w:type="dxa" w:w="3100"/>
            <w:tcMar>
              <w:top w:type="dxa" w:w="60"/>
              <w:left w:type="dxa" w:w="100"/>
              <w:bottom w:type="dxa" w:w="60"/>
              <w:right w:type="dxa" w:w="100"/>
            </w:tcMar>
          </w:tcPr>
          <w:p>
            <w:pPr>
              <w:spacing w:after="0" w:line="240"/>
            </w:pPr>
            <w:r>
              <w:rPr>
                <w:rFonts w:ascii="Consolas" w:cs="Consolas" w:eastAsia="Consolas" w:hAnsi="Consolas"/>
                <w:sz w:val="16"/>
                <w:szCs w:val="16"/>
              </w:rPr>
              <w:t xml:space="preserve">evaluation_conformance[run_id]</w:t>
            </w:r>
          </w:p>
        </w:tc>
        <w:tc>
          <w:tcPr>
            <w:tcW w:type="dxa" w:w="2900"/>
            <w:tcMar>
              <w:top w:type="dxa" w:w="60"/>
              <w:left w:type="dxa" w:w="100"/>
              <w:bottom w:type="dxa" w:w="60"/>
              <w:right w:type="dxa" w:w="100"/>
            </w:tcMar>
          </w:tcPr>
          <w:p>
            <w:pPr>
              <w:spacing w:after="0" w:line="240"/>
            </w:pPr>
            <w:r>
              <w:rPr>
                <w:rFonts w:ascii="Consolas" w:cs="Consolas" w:eastAsia="Consolas" w:hAnsi="Consolas"/>
                <w:sz w:val="16"/>
                <w:szCs w:val="16"/>
              </w:rPr>
              <w:t xml:space="preserve">evaluation_runs[run_id]</w:t>
            </w:r>
          </w:p>
        </w:tc>
        <w:tc>
          <w:tcPr>
            <w:tcW w:type="dxa" w:w="33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20 rows per run</w:t>
            </w:r>
          </w:p>
        </w:tc>
      </w:tr>
      <w:tr>
        <w:trPr>
          <w:tblHeader w:val="false"/>
        </w:trPr>
        <w:tc>
          <w:tcPr>
            <w:tcW w:type="dxa" w:w="31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evaluation_validation[run_id]</w:t>
            </w:r>
          </w:p>
        </w:tc>
        <w:tc>
          <w:tcPr>
            <w:tcW w:type="dxa" w:w="29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evaluation_runs[run_id]</w:t>
            </w:r>
          </w:p>
        </w:tc>
        <w:tc>
          <w:tcPr>
            <w:tcW w:type="dxa" w:w="33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One row per validated measure</w:t>
            </w:r>
          </w:p>
        </w:tc>
      </w:tr>
      <w:tr>
        <w:trPr>
          <w:tblHeader w:val="false"/>
        </w:trPr>
        <w:tc>
          <w:tcPr>
            <w:tcW w:type="dxa" w:w="3100"/>
            <w:tcMar>
              <w:top w:type="dxa" w:w="60"/>
              <w:left w:type="dxa" w:w="100"/>
              <w:bottom w:type="dxa" w:w="60"/>
              <w:right w:type="dxa" w:w="100"/>
            </w:tcMar>
          </w:tcPr>
          <w:p>
            <w:pPr>
              <w:spacing w:after="0" w:line="240"/>
            </w:pPr>
            <w:r>
              <w:rPr>
                <w:rFonts w:ascii="Consolas" w:cs="Consolas" w:eastAsia="Consolas" w:hAnsi="Consolas"/>
                <w:sz w:val="16"/>
                <w:szCs w:val="16"/>
              </w:rPr>
              <w:t xml:space="preserve">evaluation_performance[run_id]</w:t>
            </w:r>
          </w:p>
        </w:tc>
        <w:tc>
          <w:tcPr>
            <w:tcW w:type="dxa" w:w="2900"/>
            <w:tcMar>
              <w:top w:type="dxa" w:w="60"/>
              <w:left w:type="dxa" w:w="100"/>
              <w:bottom w:type="dxa" w:w="60"/>
              <w:right w:type="dxa" w:w="100"/>
            </w:tcMar>
          </w:tcPr>
          <w:p>
            <w:pPr>
              <w:spacing w:after="0" w:line="240"/>
            </w:pPr>
            <w:r>
              <w:rPr>
                <w:rFonts w:ascii="Consolas" w:cs="Consolas" w:eastAsia="Consolas" w:hAnsi="Consolas"/>
                <w:sz w:val="16"/>
                <w:szCs w:val="16"/>
              </w:rPr>
              <w:t xml:space="preserve">evaluation_runs[run_id]</w:t>
            </w:r>
          </w:p>
        </w:tc>
        <w:tc>
          <w:tcPr>
            <w:tcW w:type="dxa" w:w="33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One row per visual</w:t>
            </w:r>
          </w:p>
        </w:tc>
      </w:tr>
      <w:tr>
        <w:trPr>
          <w:tblHeader w:val="false"/>
        </w:trPr>
        <w:tc>
          <w:tcPr>
            <w:tcW w:type="dxa" w:w="31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modelbparesults[Timestamp]</w:t>
            </w:r>
          </w:p>
        </w:tc>
        <w:tc>
          <w:tcPr>
            <w:tcW w:type="dxa" w:w="2900"/>
            <w:shd w:fill="F4F6FA" w:val="clear"/>
            <w:tcMar>
              <w:top w:type="dxa" w:w="60"/>
              <w:left w:type="dxa" w:w="100"/>
              <w:bottom w:type="dxa" w:w="60"/>
              <w:right w:type="dxa" w:w="100"/>
            </w:tcMar>
          </w:tcPr>
          <w:p>
            <w:pPr>
              <w:spacing w:after="0" w:line="240"/>
            </w:pPr>
            <w:r>
              <w:rPr>
                <w:rFonts w:ascii="Consolas" w:cs="Consolas" w:eastAsia="Consolas" w:hAnsi="Consolas"/>
                <w:sz w:val="16"/>
                <w:szCs w:val="16"/>
              </w:rPr>
              <w:t xml:space="preserve">evaluation_runs[run_timestamp]</w:t>
            </w:r>
          </w:p>
        </w:tc>
        <w:tc>
          <w:tcPr>
            <w:tcW w:type="dxa" w:w="33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One row per finding — see the caveat</w:t>
            </w:r>
          </w:p>
        </w:tc>
      </w:tr>
    </w:tbl>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The BPA table is the awkward join.  </w:t>
            </w:r>
            <w:r>
              <w:rPr>
                <w:rFonts w:ascii="Times New Roman" w:cs="Times New Roman" w:eastAsia="Times New Roman" w:hAnsi="Times New Roman"/>
                <w:sz w:val="20"/>
                <w:szCs w:val="20"/>
              </w:rPr>
              <w:t xml:space="preserve">It is written by the library and carries its own timestamp rather than your run_id. Two options: match on the timestamp date, or — cleaner — stamp your own run_id onto a copy of the BPA output before it lands. If you take the timestamp route, add a date column on both sides and join on that, and say so in the README rather than leaving a reader to work out why the grain is fuzzy.</w:t>
            </w:r>
          </w:p>
        </w:tc>
      </w:tr>
    </w:tbl>
    <w:p>
      <w:pPr>
        <w:spacing w:after="120"/>
      </w:pPr>
      <w:r>
        <w:rPr>
          <w:sz w:val="10"/>
          <w:szCs w:val="10"/>
        </w:rPr>
        <w:t xml:space="preserve"/>
      </w:r>
    </w:p>
    <w:p>
      <w:pPr>
        <w:spacing w:after="120" w:line="276"/>
      </w:pPr>
      <w:r>
        <w:rPr>
          <w:rFonts w:ascii="Times New Roman" w:cs="Times New Roman" w:eastAsia="Times New Roman" w:hAnsi="Times New Roman"/>
          <w:sz w:val="22"/>
          <w:szCs w:val="22"/>
        </w:rPr>
        <w:t xml:space="preserve">Mark evaluation_runs[run_timestamp] as the date column if you want time intelligence across runs. For a handful of runs it is not necessary — a categorical axis on run_timestamp reads fine.</w:t>
      </w:r>
    </w:p>
    <w:p>
      <w:pPr>
        <w:pStyle w:val="Heading2"/>
        <w:spacing w:after="120" w:before="280"/>
      </w:pPr>
      <w:r>
        <w:rPr>
          <w:rFonts w:ascii="Times New Roman" w:cs="Times New Roman" w:eastAsia="Times New Roman" w:hAnsi="Times New Roman"/>
          <w:b/>
          <w:bCs/>
          <w:color w:val="1F3864"/>
          <w:sz w:val="26"/>
          <w:szCs w:val="26"/>
        </w:rPr>
        <w:t xml:space="preserve">7.7 DAX</w:t>
      </w:r>
    </w:p>
    <w:p>
      <w:pPr>
        <w:spacing w:after="120" w:line="276"/>
      </w:pPr>
      <w:r>
        <w:rPr>
          <w:rFonts w:ascii="Times New Roman" w:cs="Times New Roman" w:eastAsia="Times New Roman" w:hAnsi="Times New Roman"/>
          <w:sz w:val="22"/>
          <w:szCs w:val="22"/>
        </w:rPr>
        <w:t xml:space="preserve">A dedicated _Measures table again, same hygiene as the main model.</w:t>
      </w:r>
    </w:p>
    <w:p>
      <w:pPr>
        <w:shd w:fill="F2F2F2" w:val="clear"/>
        <w:spacing w:after="0" w:before="100" w:line="240"/>
        <w:ind w:left="180" w:right="120"/>
      </w:pPr>
      <w:r>
        <w:rPr>
          <w:rFonts w:ascii="Consolas" w:cs="Consolas" w:eastAsia="Consolas" w:hAnsi="Consolas"/>
          <w:sz w:val="17"/>
          <w:szCs w:val="17"/>
        </w:rPr>
        <w:t xml:space="preserve">Conformance Pass Rate =</w:t>
      </w:r>
    </w:p>
    <w:p>
      <w:pPr>
        <w:shd w:fill="F2F2F2" w:val="clear"/>
        <w:spacing w:after="0" w:before="0" w:line="240"/>
        <w:ind w:left="180" w:right="120"/>
      </w:pPr>
      <w:r>
        <w:rPr>
          <w:rFonts w:ascii="Consolas" w:cs="Consolas" w:eastAsia="Consolas" w:hAnsi="Consolas"/>
          <w:sz w:val="17"/>
          <w:szCs w:val="17"/>
        </w:rPr>
        <w:t xml:space="preserve">DIVIDE (</w:t>
      </w:r>
    </w:p>
    <w:p>
      <w:pPr>
        <w:shd w:fill="F2F2F2" w:val="clear"/>
        <w:spacing w:after="0" w:before="0" w:line="240"/>
        <w:ind w:left="180" w:right="120"/>
      </w:pPr>
      <w:r>
        <w:rPr>
          <w:rFonts w:ascii="Consolas" w:cs="Consolas" w:eastAsia="Consolas" w:hAnsi="Consolas"/>
          <w:sz w:val="17"/>
          <w:szCs w:val="17"/>
        </w:rPr>
        <w:t xml:space="preserve">    CALCULATE ( COUNTROWS ( evaluation_conformance ),</w:t>
      </w:r>
    </w:p>
    <w:p>
      <w:pPr>
        <w:shd w:fill="F2F2F2" w:val="clear"/>
        <w:spacing w:after="0" w:before="0" w:line="240"/>
        <w:ind w:left="180" w:right="120"/>
      </w:pPr>
      <w:r>
        <w:rPr>
          <w:rFonts w:ascii="Consolas" w:cs="Consolas" w:eastAsia="Consolas" w:hAnsi="Consolas"/>
          <w:sz w:val="17"/>
          <w:szCs w:val="17"/>
        </w:rPr>
        <w:t xml:space="preserve">                evaluation_conformance[result] = "Pass" ),</w:t>
      </w:r>
    </w:p>
    <w:p>
      <w:pPr>
        <w:shd w:fill="F2F2F2" w:val="clear"/>
        <w:spacing w:after="0" w:before="0" w:line="240"/>
        <w:ind w:left="180" w:right="120"/>
      </w:pPr>
      <w:r>
        <w:rPr>
          <w:rFonts w:ascii="Consolas" w:cs="Consolas" w:eastAsia="Consolas" w:hAnsi="Consolas"/>
          <w:sz w:val="17"/>
          <w:szCs w:val="17"/>
        </w:rPr>
        <w:t xml:space="preserve">    COUNTROWS ( evaluation_conformance )</w:t>
      </w:r>
    </w:p>
    <w:p>
      <w:pPr>
        <w:shd w:fill="F2F2F2" w:val="clear"/>
        <w:spacing w:after="0" w:before="0" w:line="240"/>
        <w:ind w:left="180" w:right="120"/>
      </w:pPr>
      <w:r>
        <w:rPr>
          <w:rFonts w:ascii="Consolas" w:cs="Consolas" w:eastAsia="Consolas" w:hAnsi="Consolas"/>
          <w:sz w:val="17"/>
          <w:szCs w:val="17"/>
        </w:rPr>
        <w:t xml:space="preserve">)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Assertions Failing =</w:t>
      </w:r>
    </w:p>
    <w:p>
      <w:pPr>
        <w:shd w:fill="F2F2F2" w:val="clear"/>
        <w:spacing w:after="0" w:before="0" w:line="240"/>
        <w:ind w:left="180" w:right="120"/>
      </w:pPr>
      <w:r>
        <w:rPr>
          <w:rFonts w:ascii="Consolas" w:cs="Consolas" w:eastAsia="Consolas" w:hAnsi="Consolas"/>
          <w:sz w:val="17"/>
          <w:szCs w:val="17"/>
        </w:rPr>
        <w:t xml:space="preserve">CALCULATE ( COUNTROWS ( evaluation_conformance ),</w:t>
      </w:r>
    </w:p>
    <w:p>
      <w:pPr>
        <w:shd w:fill="F2F2F2" w:val="clear"/>
        <w:spacing w:after="0" w:before="0" w:line="240"/>
        <w:ind w:left="180" w:right="120"/>
      </w:pPr>
      <w:r>
        <w:rPr>
          <w:rFonts w:ascii="Consolas" w:cs="Consolas" w:eastAsia="Consolas" w:hAnsi="Consolas"/>
          <w:sz w:val="17"/>
          <w:szCs w:val="17"/>
        </w:rPr>
        <w:t xml:space="preserve">            evaluation_conformance[result] = "Fail" )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BPA Findings = COUNTROWS ( modelbparesults )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Latest Run = MAX ( evaluation_runs[run_timestamp] )</w:t>
      </w:r>
    </w:p>
    <w:p>
      <w:pPr>
        <w:shd w:fill="F2F2F2" w:val="clear"/>
        <w:spacing w:after="0" w:before="0" w:line="240"/>
        <w:ind w:left="180" w:right="120"/>
      </w:pPr>
      <w:r>
        <w:rPr>
          <w:rFonts w:ascii="Consolas" w:cs="Consolas" w:eastAsia="Consolas" w:hAnsi="Consolas"/>
          <w:sz w:val="17"/>
          <w:szCs w:val="17"/>
        </w:rPr>
        <w:t xml:space="preserve">                                        -- dd-MMM-yyyy HH:mm</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Findings Prior Run =</w:t>
      </w:r>
    </w:p>
    <w:p>
      <w:pPr>
        <w:shd w:fill="F2F2F2" w:val="clear"/>
        <w:spacing w:after="0" w:before="0" w:line="240"/>
        <w:ind w:left="180" w:right="120"/>
      </w:pPr>
      <w:r>
        <w:rPr>
          <w:rFonts w:ascii="Consolas" w:cs="Consolas" w:eastAsia="Consolas" w:hAnsi="Consolas"/>
          <w:sz w:val="17"/>
          <w:szCs w:val="17"/>
        </w:rPr>
        <w:t xml:space="preserve">VAR ThisRun = MAX ( evaluation_runs[run_timestamp] )</w:t>
      </w:r>
    </w:p>
    <w:p>
      <w:pPr>
        <w:shd w:fill="F2F2F2" w:val="clear"/>
        <w:spacing w:after="0" w:before="0" w:line="240"/>
        <w:ind w:left="180" w:right="120"/>
      </w:pPr>
      <w:r>
        <w:rPr>
          <w:rFonts w:ascii="Consolas" w:cs="Consolas" w:eastAsia="Consolas" w:hAnsi="Consolas"/>
          <w:sz w:val="17"/>
          <w:szCs w:val="17"/>
        </w:rPr>
        <w:t xml:space="preserve">VAR Prior =</w:t>
      </w:r>
    </w:p>
    <w:p>
      <w:pPr>
        <w:shd w:fill="F2F2F2" w:val="clear"/>
        <w:spacing w:after="0" w:before="0" w:line="240"/>
        <w:ind w:left="180" w:right="120"/>
      </w:pPr>
      <w:r>
        <w:rPr>
          <w:rFonts w:ascii="Consolas" w:cs="Consolas" w:eastAsia="Consolas" w:hAnsi="Consolas"/>
          <w:sz w:val="17"/>
          <w:szCs w:val="17"/>
        </w:rPr>
        <w:t xml:space="preserve">    CALCULATE ( MAX ( evaluation_runs[run_timestamp] ),</w:t>
      </w:r>
    </w:p>
    <w:p>
      <w:pPr>
        <w:shd w:fill="F2F2F2" w:val="clear"/>
        <w:spacing w:after="0" w:before="0" w:line="240"/>
        <w:ind w:left="180" w:right="120"/>
      </w:pPr>
      <w:r>
        <w:rPr>
          <w:rFonts w:ascii="Consolas" w:cs="Consolas" w:eastAsia="Consolas" w:hAnsi="Consolas"/>
          <w:sz w:val="17"/>
          <w:szCs w:val="17"/>
        </w:rPr>
        <w:t xml:space="preserve">                ALL ( evaluation_runs ),</w:t>
      </w:r>
    </w:p>
    <w:p>
      <w:pPr>
        <w:shd w:fill="F2F2F2" w:val="clear"/>
        <w:spacing w:after="0" w:before="0" w:line="240"/>
        <w:ind w:left="180" w:right="120"/>
      </w:pPr>
      <w:r>
        <w:rPr>
          <w:rFonts w:ascii="Consolas" w:cs="Consolas" w:eastAsia="Consolas" w:hAnsi="Consolas"/>
          <w:sz w:val="17"/>
          <w:szCs w:val="17"/>
        </w:rPr>
        <w:t xml:space="preserve">                evaluation_runs[run_timestamp] &lt; ThisRun )</w:t>
      </w:r>
    </w:p>
    <w:p>
      <w:pPr>
        <w:shd w:fill="F2F2F2" w:val="clear"/>
        <w:spacing w:after="0" w:before="0" w:line="240"/>
        <w:ind w:left="180" w:right="120"/>
      </w:pPr>
      <w:r>
        <w:rPr>
          <w:rFonts w:ascii="Consolas" w:cs="Consolas" w:eastAsia="Consolas" w:hAnsi="Consolas"/>
          <w:sz w:val="17"/>
          <w:szCs w:val="17"/>
        </w:rPr>
        <w:t xml:space="preserve">RETURN</w:t>
      </w:r>
    </w:p>
    <w:p>
      <w:pPr>
        <w:shd w:fill="F2F2F2" w:val="clear"/>
        <w:spacing w:after="0" w:before="0" w:line="240"/>
        <w:ind w:left="180" w:right="120"/>
      </w:pPr>
      <w:r>
        <w:rPr>
          <w:rFonts w:ascii="Consolas" w:cs="Consolas" w:eastAsia="Consolas" w:hAnsi="Consolas"/>
          <w:sz w:val="17"/>
          <w:szCs w:val="17"/>
        </w:rPr>
        <w:t xml:space="preserve">    CALCULATE ( [BPA Findings], ALL ( evaluation_runs ),</w:t>
      </w:r>
    </w:p>
    <w:p>
      <w:pPr>
        <w:shd w:fill="F2F2F2" w:val="clear"/>
        <w:spacing w:after="0" w:before="0" w:line="240"/>
        <w:ind w:left="180" w:right="120"/>
      </w:pPr>
      <w:r>
        <w:rPr>
          <w:rFonts w:ascii="Consolas" w:cs="Consolas" w:eastAsia="Consolas" w:hAnsi="Consolas"/>
          <w:sz w:val="17"/>
          <w:szCs w:val="17"/>
        </w:rPr>
        <w:t xml:space="preserve">                evaluation_runs[run_timestamp] = Prior )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Findings Delta = [BPA Findings] - [Findings Prior Run]</w:t>
      </w:r>
    </w:p>
    <w:p>
      <w:pPr>
        <w:shd w:fill="F2F2F2" w:val="clear"/>
        <w:spacing w:after="0" w:before="0" w:line="240"/>
        <w:ind w:left="180" w:right="120"/>
      </w:pPr>
      <w:r>
        <w:rPr>
          <w:rFonts w:ascii="Consolas" w:cs="Consolas" w:eastAsia="Consolas" w:hAnsi="Consolas"/>
          <w:sz w:val="17"/>
          <w:szCs w:val="17"/>
        </w:rPr>
        <w:t xml:space="preserve">                                        -- +#,##0;-#,##0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Slowest Visual ms = MAX ( evaluation_performance[total_ms] )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Measures Failing =</w:t>
      </w:r>
    </w:p>
    <w:p>
      <w:pPr>
        <w:shd w:fill="F2F2F2" w:val="clear"/>
        <w:spacing w:after="0" w:before="0" w:line="240"/>
        <w:ind w:left="180" w:right="120"/>
      </w:pPr>
      <w:r>
        <w:rPr>
          <w:rFonts w:ascii="Consolas" w:cs="Consolas" w:eastAsia="Consolas" w:hAnsi="Consolas"/>
          <w:sz w:val="17"/>
          <w:szCs w:val="17"/>
        </w:rPr>
        <w:t xml:space="preserve">CALCULATE ( COUNTROWS ( evaluation_validation ),</w:t>
      </w:r>
    </w:p>
    <w:p>
      <w:pPr>
        <w:shd w:fill="F2F2F2" w:val="clear"/>
        <w:spacing w:after="0" w:before="0" w:line="240"/>
        <w:ind w:left="180" w:right="120"/>
      </w:pPr>
      <w:r>
        <w:rPr>
          <w:rFonts w:ascii="Consolas" w:cs="Consolas" w:eastAsia="Consolas" w:hAnsi="Consolas"/>
          <w:sz w:val="17"/>
          <w:szCs w:val="17"/>
        </w:rPr>
        <w:t xml:space="preserve">            evaluation_validation[result] = "Fail" )      -- #,##0</w:t>
      </w:r>
    </w:p>
    <w:p>
      <w:pPr>
        <w:shd w:fill="F2F2F2" w:val="clear"/>
        <w:spacing w:after="0" w:before="0" w:line="240"/>
        <w:ind w:left="180" w:right="120"/>
      </w:pPr>
      <w:r>
        <w:rPr>
          <w:rFonts w:ascii="Consolas" w:cs="Consolas" w:eastAsia="Consolas" w:hAnsi="Consolas"/>
          <w:sz w:val="17"/>
          <w:szCs w:val="17"/>
        </w:rPr>
        <w:t xml:space="preserve"> </w:t>
      </w:r>
    </w:p>
    <w:p>
      <w:pPr>
        <w:shd w:fill="F2F2F2" w:val="clear"/>
        <w:spacing w:after="0" w:before="0" w:line="240"/>
        <w:ind w:left="180" w:right="120"/>
      </w:pPr>
      <w:r>
        <w:rPr>
          <w:rFonts w:ascii="Consolas" w:cs="Consolas" w:eastAsia="Consolas" w:hAnsi="Consolas"/>
          <w:sz w:val="17"/>
          <w:szCs w:val="17"/>
        </w:rPr>
        <w:t xml:space="preserve">Health Color =</w:t>
      </w:r>
    </w:p>
    <w:p>
      <w:pPr>
        <w:shd w:fill="F2F2F2" w:val="clear"/>
        <w:spacing w:after="0" w:before="0" w:line="240"/>
        <w:ind w:left="180" w:right="120"/>
      </w:pPr>
      <w:r>
        <w:rPr>
          <w:rFonts w:ascii="Consolas" w:cs="Consolas" w:eastAsia="Consolas" w:hAnsi="Consolas"/>
          <w:sz w:val="17"/>
          <w:szCs w:val="17"/>
        </w:rPr>
        <w:t xml:space="preserve">SWITCH ( TRUE (),</w:t>
      </w:r>
    </w:p>
    <w:p>
      <w:pPr>
        <w:shd w:fill="F2F2F2" w:val="clear"/>
        <w:spacing w:after="0" w:before="0" w:line="240"/>
        <w:ind w:left="180" w:right="120"/>
      </w:pPr>
      <w:r>
        <w:rPr>
          <w:rFonts w:ascii="Consolas" w:cs="Consolas" w:eastAsia="Consolas" w:hAnsi="Consolas"/>
          <w:sz w:val="17"/>
          <w:szCs w:val="17"/>
        </w:rPr>
        <w:t xml:space="preserve">    [Assertions Failing] + [Measures Failing] = 0,  "#1E7B34",</w:t>
      </w:r>
    </w:p>
    <w:p>
      <w:pPr>
        <w:shd w:fill="F2F2F2" w:val="clear"/>
        <w:spacing w:after="0" w:before="0" w:line="240"/>
        <w:ind w:left="180" w:right="120"/>
      </w:pPr>
      <w:r>
        <w:rPr>
          <w:rFonts w:ascii="Consolas" w:cs="Consolas" w:eastAsia="Consolas" w:hAnsi="Consolas"/>
          <w:sz w:val="17"/>
          <w:szCs w:val="17"/>
        </w:rPr>
        <w:t xml:space="preserve">    [Assertions Failing] + [Measures Failing] &lt;= 2, "#C8860A",</w:t>
      </w:r>
    </w:p>
    <w:p>
      <w:pPr>
        <w:shd w:fill="F2F2F2" w:val="clear"/>
        <w:spacing w:after="0" w:before="0" w:line="240"/>
        <w:ind w:left="180" w:right="120"/>
      </w:pPr>
      <w:r>
        <w:rPr>
          <w:rFonts w:ascii="Consolas" w:cs="Consolas" w:eastAsia="Consolas" w:hAnsi="Consolas"/>
          <w:sz w:val="17"/>
          <w:szCs w:val="17"/>
        </w:rPr>
        <w:t xml:space="preserve">    "#C0392B" )</w:t>
      </w:r>
    </w:p>
    <w:p>
      <w:pPr>
        <w:spacing w:after="140"/>
      </w:pPr>
      <w:r>
        <w:rPr>
          <w:sz w:val="8"/>
          <w:szCs w:val="8"/>
        </w:rPr>
        <w:t xml:space="preserve"/>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Findings Delta is the measure that matters.  </w:t>
            </w:r>
            <w:r>
              <w:rPr>
                <w:rFonts w:ascii="Times New Roman" w:cs="Times New Roman" w:eastAsia="Times New Roman" w:hAnsi="Times New Roman"/>
                <w:sz w:val="20"/>
                <w:szCs w:val="20"/>
              </w:rPr>
              <w:t xml:space="preserve">A negative number after a remediation run is the single most persuasive figure in the whole dashboard, because it is evidence rather than assertion. Give it a card and a colour and put it in the top row.</w:t>
            </w:r>
          </w:p>
        </w:tc>
      </w:tr>
    </w:tbl>
    <w:p>
      <w:pPr>
        <w:spacing w:after="120"/>
      </w:pPr>
      <w:r>
        <w:rPr>
          <w:sz w:val="10"/>
          <w:szCs w:val="10"/>
        </w:rPr>
        <w:t xml:space="preserve"/>
      </w:r>
    </w:p>
    <w:p>
      <w:r>
        <w:br w:type="page"/>
      </w:r>
    </w:p>
    <w:p>
      <w:pPr>
        <w:pStyle w:val="Heading1"/>
        <w:spacing w:after="160" w:before="360"/>
      </w:pPr>
      <w:r>
        <w:rPr>
          <w:rFonts w:ascii="Times New Roman" w:cs="Times New Roman" w:eastAsia="Times New Roman" w:hAnsi="Times New Roman"/>
          <w:b/>
          <w:bCs/>
          <w:color w:val="1F3864"/>
          <w:sz w:val="32"/>
          <w:szCs w:val="32"/>
        </w:rPr>
        <w:t xml:space="preserve">8. The Dashboard</w:t>
      </w:r>
    </w:p>
    <w:p>
      <w:pPr>
        <w:spacing w:after="120" w:line="276"/>
      </w:pPr>
      <w:r>
        <w:rPr>
          <w:rFonts w:ascii="Times New Roman" w:cs="Times New Roman" w:eastAsia="Times New Roman" w:hAnsi="Times New Roman"/>
          <w:sz w:val="22"/>
          <w:szCs w:val="22"/>
        </w:rPr>
        <w:t xml:space="preserve">Canvas 1280 × 720, superstore_theme.json applied, same header band convention as the main report. Reuse the theme rather than making a new one — a consistent design system across two different reports is itself a signal.</w:t>
      </w:r>
    </w:p>
    <w:p>
      <w:pPr>
        <w:spacing w:after="120" w:line="276"/>
      </w:pPr>
      <w:r>
        <w:rPr>
          <w:rFonts w:ascii="Times New Roman" w:cs="Times New Roman" w:eastAsia="Times New Roman" w:hAnsi="Times New Roman"/>
          <w:sz w:val="22"/>
          <w:szCs w:val="22"/>
        </w:rPr>
        <w:t xml:space="preserve">A static mockup of all three pages is document 24, built to the same conventions as the document 12 report mockup. Build against the mockup rather than from the tables below alone; it settles the layout questions this specification deliberately leaves open.</w:t>
      </w:r>
    </w:p>
    <w:p>
      <w:pPr>
        <w:pStyle w:val="Heading2"/>
        <w:spacing w:after="120" w:before="280"/>
      </w:pPr>
      <w:r>
        <w:rPr>
          <w:rFonts w:ascii="Times New Roman" w:cs="Times New Roman" w:eastAsia="Times New Roman" w:hAnsi="Times New Roman"/>
          <w:b/>
          <w:bCs/>
          <w:color w:val="1F3864"/>
          <w:sz w:val="26"/>
          <w:szCs w:val="26"/>
        </w:rPr>
        <w:t xml:space="preserve">8.1 Page 1 — Evaluation Scorecard</w:t>
      </w:r>
    </w:p>
    <w:p>
      <w:pPr>
        <w:spacing w:after="120" w:line="276"/>
      </w:pPr>
      <w:r>
        <w:rPr>
          <w:rFonts w:ascii="Times New Roman" w:cs="Times New Roman" w:eastAsia="Times New Roman" w:hAnsi="Times New Roman"/>
          <w:sz w:val="22"/>
          <w:szCs w:val="22"/>
        </w:rPr>
        <w:t xml:space="preserve">Purpose: can this project be shipped? Answerable in five seconds from the KPI row.</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900"/>
        <w:gridCol w:w="2600"/>
        <w:gridCol w:w="2100"/>
        <w:gridCol w:w="3760"/>
      </w:tblGrid>
      <w:tr>
        <w:trPr>
          <w:tblHeader/>
        </w:trPr>
        <w:tc>
          <w:tcPr>
            <w:tcW w:type="dxa" w:w="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w:t>
            </w:r>
          </w:p>
        </w:tc>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Visual</w:t>
            </w:r>
          </w:p>
        </w:tc>
        <w:tc>
          <w:tcPr>
            <w:tcW w:type="dxa" w:w="21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Type</w:t>
            </w:r>
          </w:p>
        </w:tc>
        <w:tc>
          <w:tcPr>
            <w:tcW w:type="dxa" w:w="37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Fields</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1.1</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Conformance Pass Rate</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Card</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Conformance Pass Rate; reference label: Assertions Failing</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1.2</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BPA Findings</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Card</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BPA Findings; reference label: Findings Delta, coloured by sign</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1.3</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Measure Validation</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Card</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Measures Failing; reference label: count validated</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1.4</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Slowest Visual</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Card</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Slowest Visual ms; amber above 500, red above 2000</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1.5</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Findings over time</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Line chart</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X: run_timestamp · Y: BPA Findings, Assertions Failing</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1.6</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Findings by severity</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Stacked column</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X: run_timestamp · Legend: Severity</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1.7</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Findings by category</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Bar chart</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Y: Category · X: BPA Findings</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1.8</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Conformance by category</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Matrix</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Rows: category · Columns: result · Values: count</w:t>
            </w:r>
          </w:p>
        </w:tc>
      </w:tr>
    </w:tbl>
    <w:p>
      <w:pPr>
        <w:spacing w:after="120" w:line="276"/>
      </w:pPr>
      <w:r>
        <w:rPr>
          <w:rFonts w:ascii="Times New Roman" w:cs="Times New Roman" w:eastAsia="Times New Roman" w:hAnsi="Times New Roman"/>
          <w:sz w:val="22"/>
          <w:szCs w:val="22"/>
        </w:rPr>
        <w:t xml:space="preserve">1.5 is the hero visual. A descending line across successive runs is the argument. Give it the width and put it directly under the KPI row.</w:t>
      </w:r>
    </w:p>
    <w:p>
      <w:pPr>
        <w:pStyle w:val="Heading2"/>
        <w:spacing w:after="120" w:before="280"/>
      </w:pPr>
      <w:r>
        <w:rPr>
          <w:rFonts w:ascii="Times New Roman" w:cs="Times New Roman" w:eastAsia="Times New Roman" w:hAnsi="Times New Roman"/>
          <w:b/>
          <w:bCs/>
          <w:color w:val="1F3864"/>
          <w:sz w:val="26"/>
          <w:szCs w:val="26"/>
        </w:rPr>
        <w:t xml:space="preserve">8.2 Page 2 — Findings Detail</w:t>
      </w:r>
    </w:p>
    <w:p>
      <w:pPr>
        <w:spacing w:after="120" w:line="276"/>
      </w:pPr>
      <w:r>
        <w:rPr>
          <w:rFonts w:ascii="Times New Roman" w:cs="Times New Roman" w:eastAsia="Times New Roman" w:hAnsi="Times New Roman"/>
          <w:sz w:val="22"/>
          <w:szCs w:val="22"/>
        </w:rPr>
        <w:t xml:space="preserve">Purpose: what exactly is wrong, and is it worth fixing?</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900"/>
        <w:gridCol w:w="2600"/>
        <w:gridCol w:w="2100"/>
        <w:gridCol w:w="3760"/>
      </w:tblGrid>
      <w:tr>
        <w:trPr>
          <w:tblHeader/>
        </w:trPr>
        <w:tc>
          <w:tcPr>
            <w:tcW w:type="dxa" w:w="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w:t>
            </w:r>
          </w:p>
        </w:tc>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Visual</w:t>
            </w:r>
          </w:p>
        </w:tc>
        <w:tc>
          <w:tcPr>
            <w:tcW w:type="dxa" w:w="21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Type</w:t>
            </w:r>
          </w:p>
        </w:tc>
        <w:tc>
          <w:tcPr>
            <w:tcW w:type="dxa" w:w="37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Fields / behaviour</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2.1</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Findings table</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Table</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Category, Rule Name, Object Type, Object Name, Severity, Description</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2.2</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Run selector</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Slicer</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evaluation_runs[run_timestamp], single-select, defaults to latest</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2.3</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Severity / category filters</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Slicers</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Severity and Category, multi-select</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2.4</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Findings by rule</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Bar chart</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Y: Rule Name · X: count · Top N 15</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2.5</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Triage note</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Text box</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Space to record accepted exceptions and the reasoning</w:t>
            </w:r>
          </w:p>
        </w:tc>
      </w:tr>
    </w:tbl>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2.5 is not decoration.  </w:t>
            </w:r>
            <w:r>
              <w:rPr>
                <w:rFonts w:ascii="Times New Roman" w:cs="Times New Roman" w:eastAsia="Times New Roman" w:hAnsi="Times New Roman"/>
                <w:sz w:val="20"/>
                <w:szCs w:val="20"/>
              </w:rPr>
              <w:t xml:space="preserve">A findings list with no commentary says you ran a tool. A findings list annotated with which rules you rejected and why says you exercised judgement. That distinction is the entire portfolio argument, and it is the one thing on this dashboard that cannot be generated.</w:t>
            </w:r>
          </w:p>
        </w:tc>
      </w:tr>
    </w:tbl>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8.3 Page 3 — Conformance &amp; Performance</w:t>
      </w:r>
    </w:p>
    <w:p>
      <w:pPr>
        <w:spacing w:after="120" w:line="276"/>
      </w:pPr>
      <w:r>
        <w:rPr>
          <w:rFonts w:ascii="Times New Roman" w:cs="Times New Roman" w:eastAsia="Times New Roman" w:hAnsi="Times New Roman"/>
          <w:sz w:val="22"/>
          <w:szCs w:val="22"/>
        </w:rPr>
        <w:t xml:space="preserve">Purpose: does the report match the written specification, and is it fast enough?</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900"/>
        <w:gridCol w:w="2600"/>
        <w:gridCol w:w="2100"/>
        <w:gridCol w:w="3760"/>
      </w:tblGrid>
      <w:tr>
        <w:trPr>
          <w:tblHeader/>
        </w:trPr>
        <w:tc>
          <w:tcPr>
            <w:tcW w:type="dxa" w:w="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w:t>
            </w:r>
          </w:p>
        </w:tc>
        <w:tc>
          <w:tcPr>
            <w:tcW w:type="dxa" w:w="2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Visual</w:t>
            </w:r>
          </w:p>
        </w:tc>
        <w:tc>
          <w:tcPr>
            <w:tcW w:type="dxa" w:w="21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Type</w:t>
            </w:r>
          </w:p>
        </w:tc>
        <w:tc>
          <w:tcPr>
            <w:tcW w:type="dxa" w:w="37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Fields / behaviour</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3.1</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Specification scorecard</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Table</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assertion_id, assertion, page, expected, actual, result; result conditionally formatted green/red</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3.2</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Render time by visual</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Bar chart</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Y: visual_name · X: total_ms; constant lines at 500 and 2000</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3.3</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DAX vs render split</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Stacked bar</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Y: visual_name · X: dax_ms, render_ms</w:t>
            </w:r>
          </w:p>
        </w:tc>
      </w:tr>
      <w:tr>
        <w:trPr>
          <w:tblHeader w:val="false"/>
        </w:trPr>
        <w:tc>
          <w:tcPr>
            <w:tcW w:type="dxa" w:w="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3.4</w:t>
            </w:r>
          </w:p>
        </w:tc>
        <w:tc>
          <w:tcPr>
            <w:tcW w:type="dxa" w:w="26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Measure validation</w:t>
            </w:r>
          </w:p>
        </w:tc>
        <w:tc>
          <w:tcPr>
            <w:tcW w:type="dxa" w:w="21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Table</w:t>
            </w:r>
          </w:p>
        </w:tc>
        <w:tc>
          <w:tcPr>
            <w:tcW w:type="dxa" w:w="37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measure_name, expected_value, actual_value, variance, result</w:t>
            </w:r>
          </w:p>
        </w:tc>
      </w:tr>
      <w:tr>
        <w:trPr>
          <w:tblHeader w:val="false"/>
        </w:trPr>
        <w:tc>
          <w:tcPr>
            <w:tcW w:type="dxa" w:w="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3.5</w:t>
            </w:r>
          </w:p>
        </w:tc>
        <w:tc>
          <w:tcPr>
            <w:tcW w:type="dxa" w:w="26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Run header</w:t>
            </w:r>
          </w:p>
        </w:tc>
        <w:tc>
          <w:tcPr>
            <w:tcW w:type="dxa" w:w="21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Card row</w:t>
            </w:r>
          </w:p>
        </w:tc>
        <w:tc>
          <w:tcPr>
            <w:tcW w:type="dxa" w:w="37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Latest Run, labs_version, notes</w:t>
            </w:r>
          </w:p>
        </w:tc>
      </w:tr>
    </w:tbl>
    <w:p>
      <w:pPr>
        <w:pStyle w:val="Heading2"/>
        <w:spacing w:after="120" w:before="280"/>
      </w:pPr>
      <w:r>
        <w:rPr>
          <w:rFonts w:ascii="Times New Roman" w:cs="Times New Roman" w:eastAsia="Times New Roman" w:hAnsi="Times New Roman"/>
          <w:b/>
          <w:bCs/>
          <w:color w:val="1F3864"/>
          <w:sz w:val="26"/>
          <w:szCs w:val="26"/>
        </w:rPr>
        <w:t xml:space="preserve">8.4 Cross-page conventions</w:t>
      </w:r>
    </w:p>
    <w:p>
      <w:pPr>
        <w:pStyle w:val="ListParagraph"/>
        <w:numPr>
          <w:ilvl w:val="0"/>
          <w:numId w:val="2"/>
        </w:numPr>
        <w:spacing w:after="80" w:line="276"/>
      </w:pPr>
      <w:r>
        <w:rPr>
          <w:rFonts w:ascii="Times New Roman" w:cs="Times New Roman" w:eastAsia="Times New Roman" w:hAnsi="Times New Roman"/>
          <w:sz w:val="22"/>
          <w:szCs w:val="22"/>
        </w:rPr>
        <w:t xml:space="preserve">Sync the run slicer across all three pages so the whole dashboard reflects one evaluation run.</w:t>
      </w:r>
    </w:p>
    <w:p>
      <w:pPr>
        <w:pStyle w:val="ListParagraph"/>
        <w:numPr>
          <w:ilvl w:val="0"/>
          <w:numId w:val="2"/>
        </w:numPr>
        <w:spacing w:after="80" w:line="276"/>
      </w:pPr>
      <w:r>
        <w:rPr>
          <w:rFonts w:ascii="Times New Roman" w:cs="Times New Roman" w:eastAsia="Times New Roman" w:hAnsi="Times New Roman"/>
          <w:sz w:val="22"/>
          <w:szCs w:val="22"/>
        </w:rPr>
        <w:t xml:space="preserve">Add a reset-filters bookmark button in the header band, matching the main report's pattern.</w:t>
      </w:r>
    </w:p>
    <w:p>
      <w:pPr>
        <w:pStyle w:val="ListParagraph"/>
        <w:numPr>
          <w:ilvl w:val="0"/>
          <w:numId w:val="2"/>
        </w:numPr>
        <w:spacing w:after="80" w:line="276"/>
      </w:pPr>
      <w:r>
        <w:rPr>
          <w:rFonts w:ascii="Times New Roman" w:cs="Times New Roman" w:eastAsia="Times New Roman" w:hAnsi="Times New Roman"/>
          <w:sz w:val="22"/>
          <w:szCs w:val="22"/>
        </w:rPr>
        <w:t xml:space="preserve">Default every page to the latest run. A dashboard that opens on stale data trains people not to trust it.</w:t>
      </w:r>
    </w:p>
    <w:p>
      <w:pPr>
        <w:pStyle w:val="ListParagraph"/>
        <w:numPr>
          <w:ilvl w:val="0"/>
          <w:numId w:val="2"/>
        </w:numPr>
        <w:spacing w:after="80" w:line="276"/>
      </w:pPr>
      <w:r>
        <w:rPr>
          <w:rFonts w:ascii="Times New Roman" w:cs="Times New Roman" w:eastAsia="Times New Roman" w:hAnsi="Times New Roman"/>
          <w:sz w:val="22"/>
          <w:szCs w:val="22"/>
        </w:rPr>
        <w:t xml:space="preserve">Use the same green / amber / red hex values as the main report — #1E7B34, #C8860A, #C0392B — so a reader moving between the two reports reads colour the same way.</w:t>
      </w:r>
    </w:p>
    <w:p>
      <w:pPr>
        <w:pStyle w:val="Heading2"/>
        <w:spacing w:after="120" w:before="280"/>
      </w:pPr>
      <w:r>
        <w:rPr>
          <w:rFonts w:ascii="Times New Roman" w:cs="Times New Roman" w:eastAsia="Times New Roman" w:hAnsi="Times New Roman"/>
          <w:b/>
          <w:bCs/>
          <w:color w:val="1F3864"/>
          <w:sz w:val="26"/>
          <w:szCs w:val="26"/>
        </w:rPr>
        <w:t xml:space="preserve">8.5 Where this lives and how it is presented</w:t>
      </w:r>
    </w:p>
    <w:p>
      <w:pPr>
        <w:pStyle w:val="ListParagraph"/>
        <w:numPr>
          <w:ilvl w:val="0"/>
          <w:numId w:val="2"/>
        </w:numPr>
        <w:spacing w:after="80" w:line="276"/>
      </w:pPr>
      <w:r>
        <w:rPr>
          <w:rFonts w:ascii="Times New Roman" w:cs="Times New Roman" w:eastAsia="Times New Roman" w:hAnsi="Times New Roman"/>
          <w:sz w:val="22"/>
          <w:szCs w:val="22"/>
        </w:rPr>
        <w:t xml:space="preserve">Build it in the Fabric workspace against the Direct Lake model, not in Desktop against an import copy. Direct Lake means new runs appear without a refresh, which is the whole point.</w:t>
      </w:r>
    </w:p>
    <w:p>
      <w:pPr>
        <w:pStyle w:val="ListParagraph"/>
        <w:numPr>
          <w:ilvl w:val="0"/>
          <w:numId w:val="2"/>
        </w:numPr>
        <w:spacing w:after="80" w:line="276"/>
      </w:pPr>
      <w:r>
        <w:rPr>
          <w:rFonts w:ascii="Times New Roman" w:cs="Times New Roman" w:eastAsia="Times New Roman" w:hAnsi="Times New Roman"/>
          <w:sz w:val="22"/>
          <w:szCs w:val="22"/>
        </w:rPr>
        <w:t xml:space="preserve">Commit the notebook that writes the four tables to the repository under evaluation/. The report itself is a workspace item; reference it from the README rather than trying to version the .pbix.</w:t>
      </w:r>
    </w:p>
    <w:p>
      <w:pPr>
        <w:pStyle w:val="ListParagraph"/>
        <w:numPr>
          <w:ilvl w:val="0"/>
          <w:numId w:val="2"/>
        </w:numPr>
        <w:spacing w:after="80" w:line="276"/>
      </w:pPr>
      <w:r>
        <w:rPr>
          <w:rFonts w:ascii="Times New Roman" w:cs="Times New Roman" w:eastAsia="Times New Roman" w:hAnsi="Times New Roman"/>
          <w:sz w:val="22"/>
          <w:szCs w:val="22"/>
        </w:rPr>
        <w:t xml:space="preserve">In the README, describe it in one sentence and link a screenshot: an evaluation dashboard that audits this project's own semantic model and report against its written specification, refreshed on every run.</w:t>
      </w:r>
    </w:p>
    <w:p>
      <w:pPr>
        <w:pStyle w:val="ListParagraph"/>
        <w:numPr>
          <w:ilvl w:val="0"/>
          <w:numId w:val="2"/>
        </w:numPr>
        <w:spacing w:after="80" w:line="276"/>
      </w:pPr>
      <w:r>
        <w:rPr>
          <w:rFonts w:ascii="Times New Roman" w:cs="Times New Roman" w:eastAsia="Times New Roman" w:hAnsi="Times New Roman"/>
          <w:sz w:val="22"/>
          <w:szCs w:val="22"/>
        </w:rPr>
        <w:t xml:space="preserve">Regenerate dax/measures.md from the semantic model TMDL if any measure changed during remediation.</w:t>
      </w:r>
    </w:p>
    <w:tbl>
      <w:tblPr>
        <w:tblW w:type="dxa" w:w="9360"/>
        <w:tblBorders>
          <w:top w:val="single" w:color="C8860A" w:sz="2"/>
          <w:left w:val="single" w:color="C8860A" w:sz="12"/>
          <w:bottom w:val="single" w:color="C8860A" w:sz="2"/>
          <w:right w:val="single" w:color="C8860A" w:sz="2"/>
          <w:insideH w:val="none"/>
          <w:insideV w:val="none"/>
        </w:tblBorders>
      </w:tblPr>
      <w:tblGrid>
        <w:gridCol w:w="9360"/>
      </w:tblGrid>
      <w:tr>
        <w:tc>
          <w:tcPr>
            <w:tcW w:type="dxa" w:w="9360"/>
            <w:shd w:fill="FDF6E7" w:val="clear"/>
            <w:tcMar>
              <w:top w:type="dxa" w:w="120"/>
              <w:left w:type="dxa" w:w="160"/>
              <w:bottom w:type="dxa" w:w="120"/>
              <w:right w:type="dxa" w:w="140"/>
            </w:tcMar>
          </w:tcPr>
          <w:p>
            <w:pPr>
              <w:spacing w:after="0" w:line="264"/>
            </w:pPr>
            <w:r>
              <w:rPr>
                <w:rFonts w:ascii="Times New Roman" w:cs="Times New Roman" w:eastAsia="Times New Roman" w:hAnsi="Times New Roman"/>
                <w:b/>
                <w:bCs/>
                <w:color w:val="8A5A00"/>
                <w:sz w:val="20"/>
                <w:szCs w:val="20"/>
              </w:rPr>
              <w:t xml:space="preserve">Do not present the generated ModelBPA report as this deliverable.  </w:t>
            </w:r>
            <w:r>
              <w:rPr>
                <w:rFonts w:ascii="Times New Roman" w:cs="Times New Roman" w:eastAsia="Times New Roman" w:hAnsi="Times New Roman"/>
                <w:sz w:val="20"/>
                <w:szCs w:val="20"/>
              </w:rPr>
              <w:t xml:space="preserve">Keep it — it is a useful cross-check — but the thing you show is the three custom pages built on tables you wrote.</w:t>
            </w:r>
          </w:p>
        </w:tc>
      </w:tr>
    </w:tbl>
    <w:p>
      <w:pPr>
        <w:spacing w:after="120"/>
      </w:pPr>
      <w:r>
        <w:rPr>
          <w:sz w:val="10"/>
          <w:szCs w:val="10"/>
        </w:rPr>
        <w:t xml:space="preserve"/>
      </w:r>
    </w:p>
    <w:p>
      <w:r>
        <w:br w:type="page"/>
      </w:r>
    </w:p>
    <w:p>
      <w:pPr>
        <w:pStyle w:val="Heading1"/>
        <w:spacing w:after="160" w:before="360"/>
      </w:pPr>
      <w:r>
        <w:rPr>
          <w:rFonts w:ascii="Times New Roman" w:cs="Times New Roman" w:eastAsia="Times New Roman" w:hAnsi="Times New Roman"/>
          <w:b/>
          <w:bCs/>
          <w:color w:val="1F3864"/>
          <w:sz w:val="32"/>
          <w:szCs w:val="32"/>
        </w:rPr>
        <w:t xml:space="preserve">9. Troubleshooting</w:t>
      </w:r>
    </w:p>
    <w:p>
      <w:pPr>
        <w:spacing w:after="120" w:line="276"/>
      </w:pPr>
      <w:r>
        <w:rPr>
          <w:rFonts w:ascii="Times New Roman" w:cs="Times New Roman" w:eastAsia="Times New Roman" w:hAnsi="Times New Roman"/>
          <w:sz w:val="22"/>
          <w:szCs w:val="22"/>
        </w:rPr>
        <w:t xml:space="preserve">The failures a first-time Fabric user actually hits, in rough order of likelihood. Merged from the two source documents; environment failures that also affect the migration work are cross-referenced to document 30 §14 rather than duplicated in detail.</w:t>
      </w:r>
    </w:p>
    <w:p>
      <w:pPr>
        <w:pStyle w:val="Heading2"/>
        <w:spacing w:after="120" w:before="280"/>
      </w:pPr>
      <w:r>
        <w:rPr>
          <w:rFonts w:ascii="Times New Roman" w:cs="Times New Roman" w:eastAsia="Times New Roman" w:hAnsi="Times New Roman"/>
          <w:b/>
          <w:bCs/>
          <w:color w:val="1F3864"/>
          <w:sz w:val="26"/>
          <w:szCs w:val="26"/>
        </w:rPr>
        <w:t xml:space="preserve">9.1 Environment, session and tables</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900"/>
        <w:gridCol w:w="3200"/>
        <w:gridCol w:w="3260"/>
      </w:tblGrid>
      <w:tr>
        <w:trPr>
          <w:tblHeader/>
        </w:trPr>
        <w:tc>
          <w:tcPr>
            <w:tcW w:type="dxa" w:w="2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Symptom</w:t>
            </w:r>
          </w:p>
        </w:tc>
        <w:tc>
          <w:tcPr>
            <w:tcW w:type="dxa" w:w="3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Cause</w:t>
            </w:r>
          </w:p>
        </w:tc>
        <w:tc>
          <w:tcPr>
            <w:tcW w:type="dxa" w:w="32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Fix</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Lakehouse is missing from the New menu</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Workspace is on a Pro licence, not Fabric capacity</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Workspace settings → License mode → Fabric capacity. The most common first-time blocker, and the error message does not explain it.</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The first cell takes minutes</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Spark session cold start</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Normal. Leave the session running rather than closing between cells.</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ModuleNotFoundError: sempy_labs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%pip ran after the imports, or the session restarted</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Keep %pip in the first cell and re-run after any restart, or attach a Fabric Environment with the library pre-loaded.</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Export runs cleanly but no table appears</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No default lakehouse attached, or a cached explorer list</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Attach the lakehouse and set it as default; then ellipsis beside Tables → Refresh.</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Table not found in Spark SQL</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Spark table names are lower-case</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Use lower-case throughout — evaluation_runs, not Evaluation_Runs.</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createDataFrame fails on a timestamp</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Spark cannot infer the type from a pandas datetime</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Cast explicitly, or define the schema when creating the DataFrame.</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Facts written but the run dimension is empty</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The run header cell ran after the fact cells</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Section 7.2 must run first — run_id is referenced by all three fact tables.</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Everything disappeared</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Trial capacity expired and the grace period passed</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Non-Power BI items are removed. Reassign to an F capacity within seven days of expiry, and diarise the date.</w:t>
            </w:r>
          </w:p>
        </w:tc>
      </w:tr>
    </w:tbl>
    <w:p>
      <w:pPr>
        <w:pStyle w:val="Heading2"/>
        <w:spacing w:after="120" w:before="280"/>
      </w:pPr>
      <w:r>
        <w:rPr>
          <w:rFonts w:ascii="Times New Roman" w:cs="Times New Roman" w:eastAsia="Times New Roman" w:hAnsi="Times New Roman"/>
          <w:b/>
          <w:bCs/>
          <w:color w:val="1F3864"/>
          <w:sz w:val="26"/>
          <w:szCs w:val="26"/>
        </w:rPr>
        <w:t xml:space="preserve">9.2 Report functions and the dashboard</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900"/>
        <w:gridCol w:w="3200"/>
        <w:gridCol w:w="3260"/>
      </w:tblGrid>
      <w:tr>
        <w:trPr>
          <w:tblHeader/>
        </w:trPr>
        <w:tc>
          <w:tcPr>
            <w:tcW w:type="dxa" w:w="29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Symptom</w:t>
            </w:r>
          </w:p>
        </w:tc>
        <w:tc>
          <w:tcPr>
            <w:tcW w:type="dxa" w:w="3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Cause</w:t>
            </w:r>
          </w:p>
        </w:tc>
        <w:tc>
          <w:tcPr>
            <w:tcW w:type="dxa" w:w="32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Fix</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 report-layer function errors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Not PBIR, or the property is not exposed in preview</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Confirm the .pbip uses PBIR folders; otherwise read the page JSON under definition/pages directly.</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An assertion fails against a correct report</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Wrapper column names changed between library versions</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display() the DataFrame and rebuild the check around the actual names. This is why the version is pinned into the run header.</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Assertion 3 fails on visual counts</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list_visuals() returns all 45 containers, not the 18 data visuals</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Filter by visual type before counting — Section 6.1 callout.</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Dashboard shows no new rows</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Direct Lake framing has not picked up the new files</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Open the semantic model and refresh once; it then self-maintains.</w:t>
            </w:r>
          </w:p>
        </w:tc>
      </w:tr>
      <w:tr>
        <w:trPr>
          <w:tblHeader w:val="false"/>
        </w:trPr>
        <w:tc>
          <w:tcPr>
            <w:tcW w:type="dxa" w:w="29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The trend visual shows a single point</w:t>
            </w:r>
          </w:p>
        </w:tc>
        <w:tc>
          <w:tcPr>
            <w:tcW w:type="dxa" w:w="320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Only one evaluation run exists</w:t>
            </w:r>
          </w:p>
        </w:tc>
        <w:tc>
          <w:tcPr>
            <w:tcW w:type="dxa" w:w="3260"/>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Apply a fix and re-run. The hero visual needs at least two runs to say anything.</w:t>
            </w:r>
          </w:p>
        </w:tc>
      </w:tr>
      <w:tr>
        <w:trPr>
          <w:tblHeader w:val="false"/>
        </w:trPr>
        <w:tc>
          <w:tcPr>
            <w:tcW w:type="dxa" w:w="29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BPA findings ignore the run slicer</w:t>
            </w:r>
          </w:p>
        </w:tc>
        <w:tc>
          <w:tcPr>
            <w:tcW w:type="dxa" w:w="320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modelbparesults joins on timestamp, not run_id</w:t>
            </w:r>
          </w:p>
        </w:tc>
        <w:tc>
          <w:tcPr>
            <w:tcW w:type="dxa" w:w="3260"/>
            <w:shd w:fill="F4F6FA" w:val="clear"/>
            <w:tcMar>
              <w:top w:type="dxa" w:w="60"/>
              <w:left w:type="dxa" w:w="100"/>
              <w:bottom w:type="dxa" w:w="60"/>
              <w:right w:type="dxa" w:w="100"/>
            </w:tcMar>
          </w:tcPr>
          <w:p>
            <w:pPr>
              <w:spacing w:after="0" w:line="240"/>
            </w:pPr>
            <w:r>
              <w:rPr>
                <w:rFonts w:ascii="Times New Roman" w:cs="Times New Roman" w:eastAsia="Times New Roman" w:hAnsi="Times New Roman"/>
                <w:sz w:val="17"/>
                <w:szCs w:val="17"/>
              </w:rPr>
              <w:t xml:space="preserve">Join on a date column both sides, or stamp run_id onto a copy of the BPA output before it lands — Section 7.6.</w:t>
            </w:r>
          </w:p>
        </w:tc>
      </w:tr>
    </w:tbl>
    <w:p>
      <w:pPr>
        <w:spacing w:after="120" w:line="276"/>
      </w:pPr>
      <w:r>
        <w:rPr>
          <w:rFonts w:ascii="Times New Roman" w:cs="Times New Roman" w:eastAsia="Times New Roman" w:hAnsi="Times New Roman"/>
          <w:sz w:val="22"/>
          <w:szCs w:val="22"/>
        </w:rPr>
        <w:t xml:space="preserve">General rule: before writing code against any DataFrame the library returns, display it once and look at the actual column names. They vary between versions, and every example in this document is illustrative rather than guaranteed.</w:t>
      </w:r>
    </w:p>
    <w:p>
      <w:r>
        <w:br w:type="page"/>
      </w:r>
    </w:p>
    <w:p>
      <w:pPr>
        <w:pStyle w:val="Heading1"/>
        <w:spacing w:after="160" w:before="360"/>
      </w:pPr>
      <w:r>
        <w:rPr>
          <w:rFonts w:ascii="Times New Roman" w:cs="Times New Roman" w:eastAsia="Times New Roman" w:hAnsi="Times New Roman"/>
          <w:b/>
          <w:bCs/>
          <w:color w:val="1F3864"/>
          <w:sz w:val="32"/>
          <w:szCs w:val="32"/>
        </w:rPr>
        <w:t xml:space="preserve">10. Time Budget</w:t>
      </w:r>
    </w:p>
    <w:p>
      <w:pPr>
        <w:pStyle w:val="Heading2"/>
        <w:spacing w:after="120" w:before="280"/>
      </w:pPr>
      <w:r>
        <w:rPr>
          <w:rFonts w:ascii="Times New Roman" w:cs="Times New Roman" w:eastAsia="Times New Roman" w:hAnsi="Times New Roman"/>
          <w:b/>
          <w:bCs/>
          <w:color w:val="1F3864"/>
          <w:sz w:val="26"/>
          <w:szCs w:val="26"/>
        </w:rPr>
        <w:t xml:space="preserve">10.1 The work</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1200"/>
        <w:gridCol w:w="4600"/>
        <w:gridCol w:w="1400"/>
        <w:gridCol w:w="2160"/>
      </w:tblGrid>
      <w:tr>
        <w:trPr>
          <w:tblHeader/>
        </w:trPr>
        <w:tc>
          <w:tcPr>
            <w:tcW w:type="dxa" w:w="1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Step</w:t>
            </w:r>
          </w:p>
        </w:tc>
        <w:tc>
          <w:tcPr>
            <w:tcW w:type="dxa" w:w="46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Activity</w:t>
            </w:r>
          </w:p>
        </w:tc>
        <w:tc>
          <w:tcPr>
            <w:tcW w:type="dxa" w:w="14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Time</w:t>
            </w:r>
          </w:p>
        </w:tc>
        <w:tc>
          <w:tcPr>
            <w:tcW w:type="dxa" w:w="21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7"/>
                <w:szCs w:val="17"/>
              </w:rPr>
              <w:t xml:space="preserve">Cuttable?</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Setup, once only: Fabric environment (doc 30 §5), notebook and library (§4), the two optional desktop tools (§3)</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0:50</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Skip the first if doc 30 is already done</w:t>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0</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Get the project into Fabric</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0:20</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Once only</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1</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Notebook setup</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0:10</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Minutes on later runs</w:t>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2</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Model audit — run_model_bpa extended</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0:20</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No</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3</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Report audit — run_report_bpa and assertions</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0:40</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No</w:t>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4</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Verify the numbers — evaluate_dax assertions</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0:15</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No</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5</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Performance — monitoring plus Desktop capture</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0:25</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Yes, first</w:t>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6</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Hygiene — unused objects</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0:15</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Yes, second</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A–C</w:t>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Dashboard: generate the stock BPA model, write the four tables, build the model and measures</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0:50</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No</w:t>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D–F</w:t>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Dashboard: Page 1, then Pages 2 and 3, then theme and sync</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0:55</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Pages 2–3 can follow later</w:t>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Evaluation only (Phases 0–6)</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2:25</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
            </w:r>
          </w:p>
        </w:tc>
      </w:tr>
      <w:tr>
        <w:trPr>
          <w:tblHeader w:val="false"/>
        </w:trPr>
        <w:tc>
          <w:tcPr>
            <w:tcW w:type="dxa" w:w="1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
            </w:r>
          </w:p>
        </w:tc>
        <w:tc>
          <w:tcPr>
            <w:tcW w:type="dxa" w:w="46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Evaluation and dashboard</w:t>
            </w:r>
          </w:p>
        </w:tc>
        <w:tc>
          <w:tcPr>
            <w:tcW w:type="dxa" w:w="14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4:10</w:t>
            </w:r>
          </w:p>
        </w:tc>
        <w:tc>
          <w:tcPr>
            <w:tcW w:type="dxa" w:w="2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
            </w:r>
          </w:p>
        </w:tc>
      </w:tr>
      <w:tr>
        <w:trPr>
          <w:tblHeader w:val="false"/>
        </w:trPr>
        <w:tc>
          <w:tcPr>
            <w:tcW w:type="dxa" w:w="1200"/>
            <w:tcMar>
              <w:top w:type="dxa" w:w="60"/>
              <w:left w:type="dxa" w:w="100"/>
              <w:bottom w:type="dxa" w:w="60"/>
              <w:right w:type="dxa" w:w="100"/>
            </w:tcMar>
          </w:tcPr>
          <w:p>
            <w:pPr>
              <w:spacing w:after="0" w:line="240"/>
            </w:pPr>
            <w:r>
              <w:rPr>
                <w:rFonts w:ascii="Times New Roman" w:cs="Times New Roman" w:eastAsia="Times New Roman" w:hAnsi="Times New Roman"/>
                <w:b/>
                <w:bCs/>
                <w:sz w:val="17"/>
                <w:szCs w:val="17"/>
              </w:rPr>
              <w:t xml:space="preserve"/>
            </w:r>
          </w:p>
        </w:tc>
        <w:tc>
          <w:tcPr>
            <w:tcW w:type="dxa" w:w="46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Second and subsequent runs</w:t>
            </w:r>
          </w:p>
        </w:tc>
        <w:tc>
          <w:tcPr>
            <w:tcW w:type="dxa" w:w="140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~0:30</w:t>
            </w:r>
          </w:p>
        </w:tc>
        <w:tc>
          <w:tcPr>
            <w:tcW w:type="dxa" w:w="2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7"/>
                <w:szCs w:val="17"/>
              </w:rPr>
              <w:t xml:space="preserve">The dashboard updates itself</w:t>
            </w:r>
          </w:p>
        </w:tc>
      </w:tr>
    </w:tbl>
    <w:p>
      <w:pPr>
        <w:spacing w:after="120" w:line="276"/>
      </w:pPr>
      <w:r>
        <w:rPr>
          <w:rFonts w:ascii="Times New Roman" w:cs="Times New Roman" w:eastAsia="Times New Roman" w:hAnsi="Times New Roman"/>
          <w:sz w:val="22"/>
          <w:szCs w:val="22"/>
        </w:rPr>
        <w:t xml:space="preserve">The second-run figure is the point of the whole exercise. The desktop plan cost roughly three hours every time. This costs a working day once and half an hour thereafter, and the difference is entirely because the evaluation was written down as code instead of performed as a sequence of clicks.</w:t>
      </w:r>
    </w:p>
    <w:p>
      <w:pPr>
        <w:spacing w:after="120" w:line="276"/>
      </w:pPr>
      <w:r>
        <w:rPr>
          <w:rFonts w:ascii="Times New Roman" w:cs="Times New Roman" w:eastAsia="Times New Roman" w:hAnsi="Times New Roman"/>
          <w:sz w:val="22"/>
          <w:szCs w:val="22"/>
        </w:rPr>
        <w:t xml:space="preserve">If time is short, the minimum defensible run is Phases 2, 3 and 4 plus Page 1 — model conformance, report conformance, whether the numbers are true, and one page that says so. Roughly two hours.</w:t>
      </w:r>
    </w:p>
    <w:p>
      <w:pPr>
        <w:pStyle w:val="Heading2"/>
        <w:spacing w:after="120" w:before="280"/>
      </w:pPr>
      <w:r>
        <w:rPr>
          <w:rFonts w:ascii="Times New Roman" w:cs="Times New Roman" w:eastAsia="Times New Roman" w:hAnsi="Times New Roman"/>
          <w:b/>
          <w:bCs/>
          <w:color w:val="1F3864"/>
          <w:sz w:val="26"/>
          <w:szCs w:val="26"/>
        </w:rPr>
        <w:t xml:space="preserve">10.2 Why this matters beyond the audit</w:t>
      </w:r>
    </w:p>
    <w:p>
      <w:pPr>
        <w:spacing w:after="120" w:line="276"/>
      </w:pPr>
      <w:r>
        <w:rPr>
          <w:rFonts w:ascii="Times New Roman" w:cs="Times New Roman" w:eastAsia="Times New Roman" w:hAnsi="Times New Roman"/>
          <w:sz w:val="22"/>
          <w:szCs w:val="22"/>
        </w:rPr>
        <w:t xml:space="preserve">This project exists to demonstrate BI engineering judgement to people hiring for it. A plan built around external tools demonstrates that you know which external tools exist. This one demonstrates something scarcer: that you can express a specification as executable tests, run them against a live semantic model, and publish the results as data.</w:t>
      </w:r>
    </w:p>
    <w:p>
      <w:pPr>
        <w:spacing w:after="120" w:line="276"/>
      </w:pPr>
      <w:r>
        <w:rPr>
          <w:rFonts w:ascii="Times New Roman" w:cs="Times New Roman" w:eastAsia="Times New Roman" w:hAnsi="Times New Roman"/>
          <w:sz w:val="22"/>
          <w:szCs w:val="22"/>
        </w:rPr>
        <w:t xml:space="preserve">The concrete artefact is a notebook that audits a semantic model and a report against a written specification, with the reasoning behind each accepted exception recorded inline, and a dashboard that shows the defect count falling across successive runs. That is closer to what a senior BI role actually looks like than any dashboard screenshot, and almost nobody has one in their portfolio.</w:t>
      </w:r>
    </w:p>
    <w:p>
      <w:r>
        <w:br w:type="page"/>
      </w:r>
    </w:p>
    <w:p>
      <w:pPr>
        <w:pStyle w:val="Heading1"/>
        <w:spacing w:after="160" w:before="360"/>
      </w:pPr>
      <w:r>
        <w:rPr>
          <w:rFonts w:ascii="Times New Roman" w:cs="Times New Roman" w:eastAsia="Times New Roman" w:hAnsi="Times New Roman"/>
          <w:b/>
          <w:bCs/>
          <w:color w:val="1F3864"/>
          <w:sz w:val="32"/>
          <w:szCs w:val="32"/>
        </w:rPr>
        <w:t xml:space="preserve">11. Sources</w:t>
      </w:r>
    </w:p>
    <w:p>
      <w:pPr>
        <w:pStyle w:val="ListParagraph"/>
        <w:numPr>
          <w:ilvl w:val="0"/>
          <w:numId w:val="2"/>
        </w:numPr>
        <w:spacing w:after="80" w:line="276"/>
      </w:pPr>
      <w:r>
        <w:rPr>
          <w:rFonts w:ascii="Times New Roman" w:cs="Times New Roman" w:eastAsia="Times New Roman" w:hAnsi="Times New Roman"/>
          <w:sz w:val="22"/>
          <w:szCs w:val="22"/>
        </w:rPr>
        <w:t xml:space="preserve">semantic-link-labs — code examples and function reference (github.com/microsoft/semantic-link-labs, semantic-link-labs.readthedocs.io)</w:t>
      </w:r>
    </w:p>
    <w:p>
      <w:pPr>
        <w:pStyle w:val="ListParagraph"/>
        <w:numPr>
          <w:ilvl w:val="0"/>
          <w:numId w:val="2"/>
        </w:numPr>
        <w:spacing w:after="80" w:line="276"/>
      </w:pPr>
      <w:r>
        <w:rPr>
          <w:rFonts w:ascii="Times New Roman" w:cs="Times New Roman" w:eastAsia="Times New Roman" w:hAnsi="Times New Roman"/>
          <w:sz w:val="22"/>
          <w:szCs w:val="22"/>
        </w:rPr>
        <w:t xml:space="preserve">semantic-link-labs — Best Practice Analyzer Report notebook (github.com/microsoft/semantic-link-labs/blob/main/notebooks)</w:t>
      </w:r>
    </w:p>
    <w:p>
      <w:pPr>
        <w:pStyle w:val="ListParagraph"/>
        <w:numPr>
          <w:ilvl w:val="0"/>
          <w:numId w:val="2"/>
        </w:numPr>
        <w:spacing w:after="80" w:line="276"/>
      </w:pPr>
      <w:r>
        <w:rPr>
          <w:rFonts w:ascii="Times New Roman" w:cs="Times New Roman" w:eastAsia="Times New Roman" w:hAnsi="Times New Roman"/>
          <w:sz w:val="22"/>
          <w:szCs w:val="22"/>
        </w:rPr>
        <w:t xml:space="preserve">sempy_labs function reference — create_model_bpa_semantic_model, run_model_bpa_bulk (semantic-link-labs.readthedocs.io)</w:t>
      </w:r>
    </w:p>
    <w:p>
      <w:pPr>
        <w:pStyle w:val="ListParagraph"/>
        <w:numPr>
          <w:ilvl w:val="0"/>
          <w:numId w:val="2"/>
        </w:numPr>
        <w:spacing w:after="80" w:line="276"/>
      </w:pPr>
      <w:r>
        <w:rPr>
          <w:rFonts w:ascii="Times New Roman" w:cs="Times New Roman" w:eastAsia="Times New Roman" w:hAnsi="Times New Roman"/>
          <w:sz w:val="22"/>
          <w:szCs w:val="22"/>
        </w:rPr>
        <w:t xml:space="preserve">Workspace monitoring and the semantic model Real-Time Dashboard template (Microsoft Fabric blog; learn.microsoft.com/fabric/fundamentals/sample-gallery-workspace-monitoring)</w:t>
      </w:r>
    </w:p>
    <w:p>
      <w:pPr>
        <w:pStyle w:val="ListParagraph"/>
        <w:numPr>
          <w:ilvl w:val="0"/>
          <w:numId w:val="2"/>
        </w:numPr>
        <w:spacing w:after="80" w:line="276"/>
      </w:pPr>
      <w:r>
        <w:rPr>
          <w:rFonts w:ascii="Times New Roman" w:cs="Times New Roman" w:eastAsia="Times New Roman" w:hAnsi="Times New Roman"/>
          <w:sz w:val="22"/>
          <w:szCs w:val="22"/>
        </w:rPr>
        <w:t xml:space="preserve">Fabric trial capacity — duration, extension and expiry behaviour (learn.microsoft.com/fabric/fundamentals/fabric-trial)</w:t>
      </w:r>
    </w:p>
    <w:p>
      <w:pPr>
        <w:pStyle w:val="ListParagraph"/>
        <w:numPr>
          <w:ilvl w:val="0"/>
          <w:numId w:val="2"/>
        </w:numPr>
        <w:spacing w:after="80" w:line="276"/>
      </w:pPr>
      <w:r>
        <w:rPr>
          <w:rFonts w:ascii="Times New Roman" w:cs="Times New Roman" w:eastAsia="Times New Roman" w:hAnsi="Times New Roman"/>
          <w:sz w:val="22"/>
          <w:szCs w:val="22"/>
        </w:rPr>
        <w:t xml:space="preserve">Managing Power BI reports or models using semantic-link-labs — Data Goblins</w:t>
      </w:r>
    </w:p>
    <w:p>
      <w:pPr>
        <w:pStyle w:val="ListParagraph"/>
        <w:numPr>
          <w:ilvl w:val="0"/>
          <w:numId w:val="2"/>
        </w:numPr>
        <w:spacing w:after="80" w:line="276"/>
      </w:pPr>
      <w:r>
        <w:rPr>
          <w:rFonts w:ascii="Times New Roman" w:cs="Times New Roman" w:eastAsia="Times New Roman" w:hAnsi="Times New Roman"/>
          <w:sz w:val="22"/>
          <w:szCs w:val="22"/>
        </w:rPr>
        <w:t xml:space="preserve">Finding fields used in a PBIR report with Semantic Link Labs — Data Savvy</w:t>
      </w:r>
    </w:p>
    <w:p>
      <w:pPr>
        <w:spacing w:after="120"/>
      </w:pPr>
      <w:r>
        <w:rPr>
          <w:sz w:val="10"/>
          <w:szCs w:val="10"/>
        </w:rPr>
        <w:t xml:space="preserve"/>
      </w:r>
    </w:p>
    <w:p>
      <w:pPr>
        <w:pStyle w:val="Heading2"/>
        <w:spacing w:after="120" w:before="280"/>
      </w:pPr>
      <w:r>
        <w:rPr>
          <w:rFonts w:ascii="Times New Roman" w:cs="Times New Roman" w:eastAsia="Times New Roman" w:hAnsi="Times New Roman"/>
          <w:b/>
          <w:bCs/>
          <w:color w:val="1F3864"/>
          <w:sz w:val="26"/>
          <w:szCs w:val="26"/>
        </w:rPr>
        <w:t xml:space="preserve">Internal references</w:t>
      </w:r>
    </w:p>
    <w:tbl>
      <w:tblPr>
        <w:tblW w:type="dxa" w:w="9360"/>
        <w:tblBorders>
          <w:top w:val="single" w:color="BFBFBF" w:sz="2"/>
          <w:left w:val="single" w:color="BFBFBF" w:sz="2"/>
          <w:bottom w:val="single" w:color="BFBFBF" w:sz="2"/>
          <w:right w:val="single" w:color="BFBFBF" w:sz="2"/>
          <w:insideH w:val="single" w:color="BFBFBF" w:sz="1"/>
          <w:insideV w:val="single" w:color="BFBFBF" w:sz="1"/>
        </w:tblBorders>
      </w:tblPr>
      <w:tblGrid>
        <w:gridCol w:w="2200"/>
        <w:gridCol w:w="7160"/>
      </w:tblGrid>
      <w:tr>
        <w:trPr>
          <w:tblHeader/>
        </w:trPr>
        <w:tc>
          <w:tcPr>
            <w:tcW w:type="dxa" w:w="220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Document</w:t>
            </w:r>
          </w:p>
        </w:tc>
        <w:tc>
          <w:tcPr>
            <w:tcW w:type="dxa" w:w="7160"/>
            <w:shd w:fill="1F3864" w:val="clear"/>
            <w:tcMar>
              <w:top w:type="dxa" w:w="60"/>
              <w:left w:type="dxa" w:w="100"/>
              <w:bottom w:type="dxa" w:w="60"/>
              <w:right w:type="dxa" w:w="100"/>
            </w:tcMar>
          </w:tcPr>
          <w:p>
            <w:pPr>
              <w:spacing w:after="0" w:line="240"/>
            </w:pPr>
            <w:r>
              <w:rPr>
                <w:rFonts w:ascii="Times New Roman" w:cs="Times New Roman" w:eastAsia="Times New Roman" w:hAnsi="Times New Roman"/>
                <w:b/>
                <w:bCs/>
                <w:color w:val="FFFFFF"/>
                <w:sz w:val="19"/>
                <w:szCs w:val="19"/>
              </w:rPr>
              <w:t xml:space="preserve">Used here for</w:t>
            </w:r>
          </w:p>
        </w:tc>
      </w:tr>
      <w:tr>
        <w:trPr>
          <w:tblHeader w:val="false"/>
        </w:trP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13 Visual Build Instructions</w:t>
            </w:r>
          </w:p>
        </w:tc>
        <w:tc>
          <w:tcPr>
            <w:tcW w:type="dxa" w:w="7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source specification restated as the twenty assertions in Section 6</w:t>
            </w:r>
          </w:p>
        </w:tc>
      </w:tr>
      <w:tr>
        <w:trPr>
          <w:tblHeader w:val="false"/>
        </w:trPr>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21 Model Evaluation Report</w:t>
            </w:r>
          </w:p>
        </w:tc>
        <w:tc>
          <w:tcPr>
            <w:tcW w:type="dxa" w:w="7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control totals asserted in Sections 5.5 and 7.4, and the unused-object precedent in Section 5.7</w:t>
            </w:r>
          </w:p>
        </w:tc>
      </w:tr>
      <w:tr>
        <w:trPr>
          <w:tblHeader w:val="false"/>
        </w:trP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24 Evaluation Dashboard Mockup</w:t>
            </w:r>
          </w:p>
        </w:tc>
        <w:tc>
          <w:tcPr>
            <w:tcW w:type="dxa" w:w="7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The static visual reference for the three pages specified in Section 8</w:t>
            </w:r>
          </w:p>
        </w:tc>
      </w:tr>
      <w:tr>
        <w:trPr>
          <w:tblHeader w:val="false"/>
        </w:trPr>
        <w:tc>
          <w:tcPr>
            <w:tcW w:type="dxa" w:w="220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30 Fabric Lakehouse Migration Guide</w:t>
            </w:r>
          </w:p>
        </w:tc>
        <w:tc>
          <w:tcPr>
            <w:tcW w:type="dxa" w:w="7160"/>
            <w:shd w:fill="F4F6FA" w:val="clear"/>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Fabric concepts and environment setup (§3, §5), and the shared troubleshooting catalogue (§14)</w:t>
            </w:r>
          </w:p>
        </w:tc>
      </w:tr>
      <w:tr>
        <w:trPr>
          <w:tblHeader w:val="false"/>
        </w:trPr>
        <w:tc>
          <w:tcPr>
            <w:tcW w:type="dxa" w:w="2200"/>
            <w:tcMar>
              <w:top w:type="dxa" w:w="60"/>
              <w:left w:type="dxa" w:w="100"/>
              <w:bottom w:type="dxa" w:w="60"/>
              <w:right w:type="dxa" w:w="100"/>
            </w:tcMar>
          </w:tcPr>
          <w:p>
            <w:pPr>
              <w:spacing w:after="0" w:line="240"/>
            </w:pPr>
            <w:r>
              <w:rPr>
                <w:rFonts w:ascii="Times New Roman" w:cs="Times New Roman" w:eastAsia="Times New Roman" w:hAnsi="Times New Roman"/>
                <w:b/>
                <w:bCs/>
                <w:sz w:val="19"/>
                <w:szCs w:val="19"/>
              </w:rPr>
              <w:t xml:space="preserve">08 GitHub Repository Setup Guide</w:t>
            </w:r>
          </w:p>
        </w:tc>
        <w:tc>
          <w:tcPr>
            <w:tcW w:type="dxa" w:w="7160"/>
            <w:tcMar>
              <w:top w:type="dxa" w:w="60"/>
              <w:left w:type="dxa" w:w="100"/>
              <w:bottom w:type="dxa" w:w="60"/>
              <w:right w:type="dxa" w:w="100"/>
            </w:tcMar>
          </w:tcPr>
          <w:p>
            <w:pPr>
              <w:spacing w:after="0" w:line="240"/>
            </w:pPr>
            <w:r>
              <w:rPr>
                <w:rFonts w:ascii="Times New Roman" w:cs="Times New Roman" w:eastAsia="Times New Roman" w:hAnsi="Times New Roman"/>
                <w:b w:val="false"/>
                <w:bCs w:val="false"/>
                <w:sz w:val="19"/>
                <w:szCs w:val="19"/>
              </w:rPr>
              <w:t xml:space="preserve">Where the notebook is committed — evaluation/ — and the Fabric Git alternative noted in its §7</w:t>
            </w:r>
          </w:p>
        </w:tc>
      </w:tr>
    </w:tbl>
    <w:p>
      <w:pPr>
        <w:spacing w:after="300"/>
      </w:pPr>
      <w:r>
        <w:rPr>
          <w:sz w:val="10"/>
          <w:szCs w:val="10"/>
        </w:rPr>
        <w:t xml:space="preserve"/>
      </w:r>
    </w:p>
    <w:p>
      <w:pPr>
        <w:pBdr>
          <w:top w:val="single" w:color="BFBFBF" w:sz="6" w:space="8"/>
        </w:pBdr>
        <w:spacing w:before="300"/>
      </w:pPr>
      <w:r>
        <w:rPr>
          <w:rFonts w:ascii="Times New Roman" w:cs="Times New Roman" w:eastAsia="Times New Roman" w:hAnsi="Times New Roman"/>
          <w:i/>
          <w:iCs/>
          <w:color w:val="595959"/>
          <w:sz w:val="18"/>
          <w:szCs w:val="18"/>
        </w:rPr>
        <w:t xml:space="preserve">End of document 22, revision 3. Supersedes document 22 revision 2 and document 23 in full.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Page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r>
      <w:rPr>
        <w:rFonts w:ascii="Times New Roman" w:cs="Times New Roman" w:eastAsia="Times New Roman" w:hAnsi="Times New Roman"/>
        <w:color w:val="808080"/>
        <w:sz w:val="16"/>
        <w:szCs w:val="16"/>
      </w:rPr>
      <w:t xml:space="preserve"> of </w:t>
    </w:r>
    <w:r>
      <w:rPr>
        <w:rFonts w:ascii="Times New Roman" w:cs="Times New Roman" w:eastAsia="Times New Roman" w:hAnsi="Times New Roman"/>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4" w:space="6"/>
      </w:pBdr>
      <w:spacing w:after="60"/>
      <w:jc w:val="right"/>
    </w:pPr>
    <w:r>
      <w:rPr>
        <w:rFonts w:ascii="Times New Roman" w:cs="Times New Roman" w:eastAsia="Times New Roman" w:hAnsi="Times New Roman"/>
        <w:color w:val="808080"/>
        <w:sz w:val="16"/>
        <w:szCs w:val="16"/>
      </w:rPr>
      <w:t xml:space="preserve">Document 22 rev 3 · Evaluation Framework · Retail Sales Forecasting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1F3864"/>
      <w:sz w:val="26"/>
      <w:szCs w:val="26"/>
    </w:rPr>
  </w:style>
  <w:style w:type="paragraph" w:styleId="Heading3">
    <w:name w:val="Heading 3"/>
    <w:basedOn w:val="Normal"/>
    <w:next w:val="Normal"/>
    <w:qFormat/>
    <w:rPr>
      <w:rFonts w:ascii="Times New Roman" w:cs="Times New Roman" w:eastAsia="Times New Roman" w:hAnsi="Times New Roman"/>
      <w:b/>
      <w:bCs/>
      <w:color w:val="2E2E2E"/>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Framework — Runbook and Dashboard</dc:title>
  <dc:creator>Evelyn Livant</dc:creator>
  <dc:description>Document 22 revision 3 — consolidated evaluation runbook and dashboard build specification for the Superstore Retail Sales Analysis &amp; Forecasting project. Supersedes document 22 revision 2 and document 23.</dc:description>
  <cp:lastModifiedBy>Un-named</cp:lastModifiedBy>
  <cp:revision>1</cp:revision>
  <dcterms:created xsi:type="dcterms:W3CDTF">2026-07-31T21:10:35.397Z</dcterms:created>
  <dcterms:modified xsi:type="dcterms:W3CDTF">2026-07-31T21:10:35.398Z</dcterms:modified>
</cp:coreProperties>
</file>

<file path=docProps/custom.xml><?xml version="1.0" encoding="utf-8"?>
<Properties xmlns="http://schemas.openxmlformats.org/officeDocument/2006/custom-properties" xmlns:vt="http://schemas.openxmlformats.org/officeDocument/2006/docPropsVTypes"/>
</file>