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70E8" w14:textId="77777777" w:rsidR="006D7CC8" w:rsidRDefault="00550485">
      <w:pPr>
        <w:spacing w:before="900" w:after="120"/>
        <w:jc w:val="center"/>
      </w:pPr>
      <w:r>
        <w:rPr>
          <w:b/>
          <w:bCs/>
          <w:color w:val="595959"/>
          <w:sz w:val="26"/>
          <w:szCs w:val="26"/>
        </w:rPr>
        <w:t>DOCUMENT 13</w:t>
      </w:r>
    </w:p>
    <w:p w14:paraId="48E16460" w14:textId="77777777" w:rsidR="006D7CC8" w:rsidRDefault="00550485">
      <w:pPr>
        <w:spacing w:after="160"/>
        <w:jc w:val="center"/>
      </w:pPr>
      <w:r>
        <w:rPr>
          <w:b/>
          <w:bCs/>
          <w:color w:val="1F3864"/>
          <w:sz w:val="48"/>
          <w:szCs w:val="48"/>
        </w:rPr>
        <w:t>Visual Build Instructions</w:t>
      </w:r>
    </w:p>
    <w:p w14:paraId="09D48687" w14:textId="77777777" w:rsidR="006D7CC8" w:rsidRDefault="00550485">
      <w:pPr>
        <w:spacing w:after="160"/>
        <w:jc w:val="center"/>
      </w:pPr>
      <w:r>
        <w:rPr>
          <w:color w:val="2E74B5"/>
          <w:sz w:val="26"/>
          <w:szCs w:val="26"/>
        </w:rPr>
        <w:t>Creating Every Visual in the Document 12 Mockup, Click by Click — No Prior Power BI Report Experience Assumed</w:t>
      </w:r>
    </w:p>
    <w:p w14:paraId="39399FBE" w14:textId="77777777" w:rsidR="006D7CC8" w:rsidRDefault="00550485">
      <w:pPr>
        <w:spacing w:after="120"/>
        <w:jc w:val="center"/>
      </w:pPr>
      <w:r>
        <w:rPr>
          <w:b/>
          <w:bCs/>
          <w:sz w:val="26"/>
          <w:szCs w:val="26"/>
        </w:rPr>
        <w:t>Superstore Retail Sales Analysis &amp; Forecasting Dashboard</w:t>
      </w:r>
    </w:p>
    <w:p w14:paraId="72B2066D" w14:textId="77777777" w:rsidR="006D7CC8" w:rsidRDefault="00550485">
      <w:pPr>
        <w:spacing w:after="60"/>
        <w:jc w:val="center"/>
      </w:pPr>
      <w:r>
        <w:rPr>
          <w:color w:val="595959"/>
        </w:rPr>
        <w:t>Report: Retail_Sales_Forecasting  ·  Expands Document 15 §5 (Block 3)</w:t>
      </w:r>
    </w:p>
    <w:p w14:paraId="32AD6B99" w14:textId="77777777" w:rsidR="006D7CC8" w:rsidRDefault="00550485">
      <w:pPr>
        <w:jc w:val="center"/>
      </w:pPr>
      <w:r>
        <w:rPr>
          <w:i/>
          <w:iCs/>
          <w:color w:val="595959"/>
          <w:sz w:val="20"/>
          <w:szCs w:val="20"/>
        </w:rPr>
        <w:t>Version 1.0 · July 2026 · Portfolio Project · Companion to Documents 01, 12, 15</w:t>
      </w:r>
    </w:p>
    <w:p w14:paraId="4205AAEB" w14:textId="77777777" w:rsidR="006D7CC8" w:rsidRDefault="00550485">
      <w:r>
        <w:br w:type="page"/>
      </w:r>
    </w:p>
    <w:p w14:paraId="6E7AC725" w14:textId="77777777" w:rsidR="006D7CC8" w:rsidRDefault="00550485">
      <w:pPr>
        <w:pStyle w:val="Heading1"/>
        <w:spacing w:before="300" w:after="140"/>
      </w:pPr>
      <w:bookmarkStart w:id="0" w:name="_Toc234820666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p w14:paraId="7736C51C" w14:textId="77777777" w:rsidR="006D7CC8" w:rsidRDefault="00550485">
      <w:pPr>
        <w:spacing w:after="100"/>
      </w:pPr>
      <w:r>
        <w:rPr>
          <w:i/>
          <w:iCs/>
          <w:color w:val="595959"/>
          <w:sz w:val="20"/>
          <w:szCs w:val="20"/>
        </w:rPr>
        <w:t>In Word: right-click the table and choose 'Update Field' (or press Ctrl+A then F9) to populate page numbers.</w:t>
      </w:r>
    </w:p>
    <w:sdt>
      <w:sdtPr>
        <w:alias w:val="Table of Contents"/>
        <w:id w:val="364871640"/>
      </w:sdtPr>
      <w:sdtContent>
        <w:p w14:paraId="0B34A7F4" w14:textId="77777777" w:rsidR="003D5BF1" w:rsidRDefault="0055048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820666" w:history="1">
            <w:r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BFAF4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67" w:history="1">
            <w:r>
              <w:rPr>
                <w:rStyle w:val="Hyperlink"/>
                <w:b/>
                <w:bCs/>
                <w:noProof/>
              </w:rPr>
              <w:t>1. Purpose and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74F24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68" w:history="1">
            <w:r>
              <w:rPr>
                <w:rStyle w:val="Hyperlink"/>
                <w:b/>
                <w:bCs/>
                <w:noProof/>
              </w:rPr>
              <w:t>2. Canvas Fundamentals (Read Once, First)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3CC28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69" w:history="1">
            <w:r>
              <w:rPr>
                <w:rStyle w:val="Hyperlink"/>
                <w:b/>
                <w:bCs/>
                <w:noProof/>
              </w:rPr>
              <w:t>2.1 The three panes you will live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5BD73A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0" w:history="1">
            <w:r>
              <w:rPr>
                <w:rStyle w:val="Hyperlink"/>
                <w:b/>
                <w:bCs/>
                <w:noProof/>
              </w:rPr>
              <w:t>2.2 The six mechanical skills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C847E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71" w:history="1">
            <w:r>
              <w:rPr>
                <w:rStyle w:val="Hyperlink"/>
                <w:b/>
                <w:bCs/>
                <w:noProof/>
              </w:rPr>
              <w:t>3. Shared Layout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3A6FE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2" w:history="1">
            <w:r>
              <w:rPr>
                <w:rStyle w:val="Hyperlink"/>
                <w:b/>
                <w:bCs/>
                <w:noProof/>
              </w:rPr>
              <w:t>3.1 The header band (build once on Page 1, copy to Pages 2–3)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A5A94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73" w:history="1">
            <w:r>
              <w:rPr>
                <w:rStyle w:val="Hyperlink"/>
                <w:b/>
                <w:bCs/>
                <w:noProof/>
              </w:rPr>
              <w:t>4. Page 1 — Sales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1C6CC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4" w:history="1">
            <w:r>
              <w:rPr>
                <w:rStyle w:val="Hyperlink"/>
                <w:b/>
                <w:bCs/>
                <w:noProof/>
              </w:rPr>
              <w:t>4.1 KPI card 1.1 — Total Sales (full detail; cards 1.2–1.4 repeat the pattern)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242A39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5" w:history="1">
            <w:r>
              <w:rPr>
                <w:rStyle w:val="Hyperlink"/>
                <w:b/>
                <w:bCs/>
                <w:noProof/>
              </w:rPr>
              <w:t>4.2 KPI cards 1.2–1.4 — copy and rewire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748355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6" w:history="1">
            <w:r>
              <w:rPr>
                <w:rStyle w:val="Hyperlink"/>
                <w:b/>
                <w:bCs/>
                <w:noProof/>
              </w:rPr>
              <w:t>4.3 Visual 1.5 — Monthly Sales vs Prior Year (line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F2E51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7" w:history="1">
            <w:r>
              <w:rPr>
                <w:rStyle w:val="Hyperlink"/>
                <w:b/>
                <w:bCs/>
                <w:noProof/>
              </w:rPr>
              <w:t>4.4 Visual 1.6 — Sales by Region vs Quota (clustered 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0BC7C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78" w:history="1">
            <w:r>
              <w:rPr>
                <w:rStyle w:val="Hyperlink"/>
                <w:b/>
                <w:bCs/>
                <w:noProof/>
              </w:rPr>
              <w:t>4.5 Visual 1.8 — Regional Detail (matrix)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B9977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79" w:history="1">
            <w:r>
              <w:rPr>
                <w:rStyle w:val="Hyperlink"/>
                <w:b/>
                <w:bCs/>
                <w:noProof/>
              </w:rPr>
              <w:t>5. Page 2 — Forecast &amp; Outlook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4B61D1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0" w:history="1">
            <w:r>
              <w:rPr>
                <w:rStyle w:val="Hyperlink"/>
                <w:b/>
                <w:bCs/>
                <w:noProof/>
              </w:rPr>
              <w:t>5.1 Visual 2.1 — Sales Forecast, 6-Month Outlook (the hero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F464DF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1" w:history="1">
            <w:r>
              <w:rPr>
                <w:rStyle w:val="Hyperlink"/>
                <w:b/>
                <w:bCs/>
                <w:noProof/>
              </w:rPr>
              <w:t>5.2 Visual 2.3 — Seasonality Profile (column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E7F99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2" w:history="1">
            <w:r>
              <w:rPr>
                <w:rStyle w:val="Hyperlink"/>
                <w:b/>
                <w:bCs/>
                <w:noProof/>
              </w:rPr>
              <w:t>5.3 Visuals 2.4–2.5 — Growth Scenario slider and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20072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3" w:history="1">
            <w:r>
              <w:rPr>
                <w:rStyle w:val="Hyperlink"/>
                <w:b/>
                <w:bCs/>
                <w:noProof/>
              </w:rPr>
              <w:t>5.4 Visual 2.6 — Methodology &amp; Caveats (text 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81CE3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84" w:history="1">
            <w:r>
              <w:rPr>
                <w:rStyle w:val="Hyperlink"/>
                <w:b/>
                <w:bCs/>
                <w:noProof/>
              </w:rPr>
              <w:t>6. Page 3 — Account &amp; Rep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8F387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5" w:history="1">
            <w:r>
              <w:rPr>
                <w:rStyle w:val="Hyperlink"/>
                <w:b/>
                <w:bCs/>
                <w:noProof/>
              </w:rPr>
              <w:t>6.1 Visual 3.1 — Top 10 Accounts by Revenue (bar chart)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034B53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6" w:history="1">
            <w:r>
              <w:rPr>
                <w:rStyle w:val="Hyperlink"/>
                <w:b/>
                <w:bCs/>
                <w:noProof/>
              </w:rPr>
              <w:t>6.2 Visual 3.2 — At-Risk &amp; Dormant Accounts (table)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D7B5B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7" w:history="1">
            <w:r>
              <w:rPr>
                <w:rStyle w:val="Hyperlink"/>
                <w:b/>
                <w:bCs/>
                <w:noProof/>
              </w:rPr>
              <w:t>6.3 Visual 3.3 — Discount vs Profit Diagnostic (scatter)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2217C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88" w:history="1">
            <w:r>
              <w:rPr>
                <w:rStyle w:val="Hyperlink"/>
                <w:b/>
                <w:bCs/>
                <w:noProof/>
              </w:rPr>
              <w:t>7. Spec-Only Visuals (in Document 01, Not Drawn in the Mockup)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B5A34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89" w:history="1">
            <w:r>
              <w:rPr>
                <w:rStyle w:val="Hyperlink"/>
                <w:b/>
                <w:bCs/>
                <w:noProof/>
              </w:rPr>
              <w:t>7.1 Visual 1.7 — Category Breakdown (stacked bar, Page 1 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7053A9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90" w:history="1">
            <w:r>
              <w:rPr>
                <w:rStyle w:val="Hyperlink"/>
                <w:b/>
                <w:bCs/>
                <w:noProof/>
              </w:rPr>
              <w:t>7.2 Visual 2.2 — Trend Smoothing (Page 2 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63AE8" w14:textId="77777777" w:rsidR="003D5BF1" w:rsidRDefault="003D5BF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20691" w:history="1">
            <w:r>
              <w:rPr>
                <w:rStyle w:val="Hyperlink"/>
                <w:b/>
                <w:bCs/>
                <w:noProof/>
              </w:rPr>
              <w:t>7.3 Visual 3.4 — Revenue Decomposition (Page 3 stretch)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EBF2F" w14:textId="77777777" w:rsidR="003D5BF1" w:rsidRDefault="003D5BF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20692" w:history="1">
            <w:r>
              <w:rPr>
                <w:rStyle w:val="Hyperlink"/>
                <w:b/>
                <w:bCs/>
                <w:noProof/>
              </w:rPr>
              <w:t>8. After the Visuals: Wiring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_Toc234820692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92CF1" w14:textId="77777777" w:rsidR="006D7CC8" w:rsidRDefault="00550485">
          <w:r>
            <w:fldChar w:fldCharType="end"/>
          </w:r>
        </w:p>
      </w:sdtContent>
    </w:sdt>
    <w:p w14:paraId="550DDC3D" w14:textId="77777777" w:rsidR="006D7CC8" w:rsidRDefault="00550485">
      <w:r>
        <w:br w:type="page"/>
      </w:r>
    </w:p>
    <w:p w14:paraId="0FC6F3F8" w14:textId="77777777" w:rsidR="006D7CC8" w:rsidRDefault="00550485">
      <w:pPr>
        <w:pStyle w:val="Heading1"/>
        <w:spacing w:before="300" w:after="140"/>
      </w:pPr>
      <w:bookmarkStart w:id="1" w:name="_Toc234820667"/>
      <w:r>
        <w:rPr>
          <w:b/>
          <w:bCs/>
          <w:color w:val="1F3864"/>
          <w:sz w:val="30"/>
          <w:szCs w:val="30"/>
        </w:rPr>
        <w:lastRenderedPageBreak/>
        <w:t>1. Purpose and Prerequisites</w:t>
      </w:r>
      <w:bookmarkEnd w:id="1"/>
    </w:p>
    <w:p w14:paraId="5E8A2278" w14:textId="77777777" w:rsidR="006D7CC8" w:rsidRDefault="00550485">
      <w:pPr>
        <w:spacing w:after="120"/>
      </w:pPr>
      <w:r>
        <w:t xml:space="preserve">Document 15 §5 gives the build order for the three report pages; this document gives the </w:t>
      </w:r>
      <w:r>
        <w:rPr>
          <w:b/>
          <w:bCs/>
        </w:rPr>
        <w:t>complete click-by-click instructions</w:t>
      </w:r>
      <w:r>
        <w:t xml:space="preserve"> for every visual shown in the document 12 mockup, assuming you have never placed a visual on a Power BI canvas. Open 12_PBI_Report_Mockup.html in a browser on a second screen (or print it) — each numbered visual below reproduces what you see there.</w:t>
      </w:r>
    </w:p>
    <w:p w14:paraId="74594A54" w14:textId="77777777" w:rsidR="006D7CC8" w:rsidRDefault="00550485">
      <w:pPr>
        <w:spacing w:after="120"/>
      </w:pPr>
      <w:r>
        <w:rPr>
          <w:b/>
          <w:bCs/>
        </w:rPr>
        <w:t>Before starting, all of these must be true</w:t>
      </w:r>
      <w:r>
        <w:t xml:space="preserve"> (they are the Block 1 and Block 2 checkpoints from document 15):</w:t>
      </w:r>
    </w:p>
    <w:p w14:paraId="20857892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The model is built: FactSales (9,994 rows), four dimensions, DimDate marked as a date table, SalesQuota (144 rows), five relationships.</w:t>
      </w:r>
    </w:p>
    <w:p w14:paraId="3B6F3CDA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All 35 measures compile with no error icons in the Data pane, organized in six display folders under _Measures.</w:t>
      </w:r>
    </w:p>
    <w:p w14:paraId="357E396F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Growth Rate what-if parameter exists</w:t>
      </w:r>
      <w:r>
        <w:t xml:space="preserve"> (document 15 §4.3). The Page 2 scenario visuals reference the 'Growth Rate' table it generates — measures against it fail with "Cannot find table 'Growth Rate'" until the parameter is created.</w:t>
      </w:r>
    </w:p>
    <w:p w14:paraId="466E20AE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The theme is applied: View ribbon → Themes gallery → dropdown arrow at the gallery's right edge → Browse for themes → select theme/superstore_theme.json from the repo clone → Open.</w:t>
      </w:r>
    </w:p>
    <w:p w14:paraId="09E88663" w14:textId="77777777" w:rsidR="006D7CC8" w:rsidRDefault="006D7CC8">
      <w:pPr>
        <w:spacing w:after="120"/>
      </w:pPr>
    </w:p>
    <w:p w14:paraId="387828E8" w14:textId="77777777" w:rsidR="006D7CC8" w:rsidRDefault="00550485">
      <w:pPr>
        <w:pStyle w:val="Heading1"/>
        <w:spacing w:before="300" w:after="140"/>
      </w:pPr>
      <w:bookmarkStart w:id="2" w:name="_Toc234820668"/>
      <w:r>
        <w:rPr>
          <w:b/>
          <w:bCs/>
          <w:color w:val="1F3864"/>
          <w:sz w:val="30"/>
          <w:szCs w:val="30"/>
        </w:rPr>
        <w:t>2. Canvas Fundamentals (Read Once, First)</w:t>
      </w:r>
      <w:bookmarkEnd w:id="2"/>
    </w:p>
    <w:p w14:paraId="74C614CF" w14:textId="77777777" w:rsidR="006D7CC8" w:rsidRDefault="00550485">
      <w:pPr>
        <w:pStyle w:val="Heading2"/>
        <w:spacing w:before="220" w:after="110"/>
      </w:pPr>
      <w:bookmarkStart w:id="3" w:name="_Toc234820669"/>
      <w:r>
        <w:rPr>
          <w:b/>
          <w:bCs/>
          <w:sz w:val="25"/>
          <w:szCs w:val="25"/>
        </w:rPr>
        <w:t>2.1 The three panes you will live in</w:t>
      </w:r>
      <w:bookmarkEnd w:id="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800"/>
      </w:tblGrid>
      <w:tr w:rsidR="006D7CC8" w14:paraId="5DF6DA87" w14:textId="77777777"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42CE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Pane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D18B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B350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6D7CC8" w14:paraId="58418DAF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E68" w14:textId="77777777" w:rsidR="006D7CC8" w:rsidRDefault="00550485">
            <w:r>
              <w:rPr>
                <w:color w:val="000000"/>
                <w:sz w:val="18"/>
                <w:szCs w:val="18"/>
              </w:rPr>
              <w:t>Data (fields)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B52B" w14:textId="77777777" w:rsidR="006D7CC8" w:rsidRDefault="00550485">
            <w:r>
              <w:rPr>
                <w:color w:val="000000"/>
                <w:sz w:val="18"/>
                <w:szCs w:val="18"/>
              </w:rPr>
              <w:t>Far right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EFFD" w14:textId="77777777" w:rsidR="006D7CC8" w:rsidRDefault="00550485">
            <w:r>
              <w:rPr>
                <w:color w:val="000000"/>
                <w:sz w:val="18"/>
                <w:szCs w:val="18"/>
              </w:rPr>
              <w:t>Your tables, columns, and measures. You drag items from here into a visual's field wells. Expand _Measures to see the six folders.</w:t>
            </w:r>
          </w:p>
        </w:tc>
      </w:tr>
      <w:tr w:rsidR="006D7CC8" w14:paraId="2781D5C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4511" w14:textId="77777777" w:rsidR="006D7CC8" w:rsidRDefault="00550485">
            <w:r>
              <w:rPr>
                <w:color w:val="000000"/>
                <w:sz w:val="18"/>
                <w:szCs w:val="18"/>
              </w:rPr>
              <w:t>Visualizations — Build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9CDB" w14:textId="77777777" w:rsidR="006D7CC8" w:rsidRDefault="00550485">
            <w:r>
              <w:rPr>
                <w:color w:val="000000"/>
                <w:sz w:val="18"/>
                <w:szCs w:val="18"/>
              </w:rPr>
              <w:t>Right of canvas; icon grid at top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44D0" w14:textId="77777777" w:rsidR="006D7CC8" w:rsidRDefault="00550485">
            <w:r>
              <w:rPr>
                <w:color w:val="000000"/>
                <w:sz w:val="18"/>
                <w:szCs w:val="18"/>
              </w:rPr>
              <w:t>The icon grid inserts a visual type; below it, the field wells (named boxes like 'X-axis', 'Values', 'Rows') receive the dragged fields. Hover any icon to see its name in a tooltip — this document refers to icons by those tooltip names.</w:t>
            </w:r>
          </w:p>
        </w:tc>
      </w:tr>
      <w:tr w:rsidR="006D7CC8" w14:paraId="71EC960A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3E53A" w14:textId="77777777" w:rsidR="006D7CC8" w:rsidRDefault="00550485">
            <w:r>
              <w:rPr>
                <w:color w:val="000000"/>
                <w:sz w:val="18"/>
                <w:szCs w:val="18"/>
              </w:rPr>
              <w:t>Visualizations — Format / Analytics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AE0C" w14:textId="77777777" w:rsidR="006D7CC8" w:rsidRDefault="00550485">
            <w:r>
              <w:rPr>
                <w:color w:val="000000"/>
                <w:sz w:val="18"/>
                <w:szCs w:val="18"/>
              </w:rPr>
              <w:t>Same pane; paintbrush = Format. The magnifier Analytics pane appears only when on-object interactions are turned off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E33E" w14:textId="77777777" w:rsidR="006D7CC8" w:rsidRDefault="00550485">
            <w:r>
              <w:rPr>
                <w:color w:val="000000"/>
                <w:sz w:val="18"/>
                <w:szCs w:val="18"/>
              </w:rPr>
              <w:t>Format has two tabs: Visual (settings specific to the chart type) and General (position, size, title, effects — identical for every visual). Analytics (forecast, reference/constant lines) now lives under Format → Visual (e.g. Reference lines) since on-object interactions became the default.</w:t>
            </w:r>
          </w:p>
        </w:tc>
      </w:tr>
    </w:tbl>
    <w:p w14:paraId="1C44F9A4" w14:textId="77777777" w:rsidR="006D7CC8" w:rsidRDefault="006D7CC8">
      <w:pPr>
        <w:spacing w:after="120"/>
      </w:pPr>
    </w:p>
    <w:p w14:paraId="1D29D3BC" w14:textId="77777777" w:rsidR="006D7CC8" w:rsidRDefault="00550485">
      <w:pPr>
        <w:pStyle w:val="Heading2"/>
        <w:spacing w:before="220" w:after="110"/>
      </w:pPr>
      <w:bookmarkStart w:id="4" w:name="_Toc234820670"/>
      <w:r>
        <w:rPr>
          <w:b/>
          <w:bCs/>
          <w:sz w:val="25"/>
          <w:szCs w:val="25"/>
        </w:rPr>
        <w:t>2.2 The six mechanical skills</w:t>
      </w:r>
      <w:bookmarkEnd w:id="4"/>
    </w:p>
    <w:p w14:paraId="68AC8DE3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Insert a visual:</w:t>
      </w:r>
      <w:r>
        <w:t xml:space="preserve"> click an empty spot on the canvas (so nothing is selected), then click the visual's icon in the Visualizations pane. An empty placeholder appears; it stays selected.</w:t>
      </w:r>
    </w:p>
    <w:p w14:paraId="3ECC3F51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Feed it fields:</w:t>
      </w:r>
      <w:r>
        <w:t xml:space="preserve"> with the visual selected, drag a column or measure from the Data pane into the named well in the Build section. Dropping onto the visual itself also works but Desktop guesses the well — use the wells to stay in control.</w:t>
      </w:r>
    </w:p>
    <w:p w14:paraId="3CA5D7F3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Position and size exactly:</w:t>
      </w:r>
      <w:r>
        <w:t xml:space="preserve"> select the visual → Format (paintbrush) → General tab → Properties → expand Position and Size → type the numbers. Horizontal position = X (pixels from left edge), Vertical position = Y (from top). Every visual in this document has exact X / Y / Width / Height values — type them rather than dragging, and the pages will match the mockup precisely.</w:t>
      </w:r>
    </w:p>
    <w:p w14:paraId="415A50BB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Title a visual:</w:t>
      </w:r>
      <w:r>
        <w:t xml:space="preserve"> Format → General tab → Title → toggle On → Text box: type the title. Title font size 12, bold, color #252423 unless stated otherwise.</w:t>
      </w:r>
    </w:p>
    <w:p w14:paraId="40D7EC67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Conditional formatting (the fx dialog):</w:t>
      </w:r>
      <w:r>
        <w:t xml:space="preserve"> wherever you see a small </w:t>
      </w:r>
      <w:r>
        <w:rPr>
          <w:b/>
          <w:bCs/>
        </w:rPr>
        <w:t>fx</w:t>
      </w:r>
      <w:r>
        <w:t xml:space="preserve"> button next to a color setting, clicking it opens the dialog: choose Format style (this document uses </w:t>
      </w:r>
      <w:r>
        <w:rPr>
          <w:b/>
          <w:bCs/>
        </w:rPr>
        <w:t>Rules</w:t>
      </w:r>
      <w:r>
        <w:t xml:space="preserve">), choose 'What field should we base this </w:t>
      </w:r>
      <w:r>
        <w:lastRenderedPageBreak/>
        <w:t>on?', then build rule rows reading 'If value &gt;= A and &lt; B then [color]'. Add rows with + New rule; enter colors as hex codes via More colors. Percentages are entered as decimals in rules (1 means 100%, 0.9 means 90%) — the single most common mistake in this build.</w:t>
      </w:r>
    </w:p>
    <w:p w14:paraId="3694F66C" w14:textId="77777777" w:rsidR="006D7CC8" w:rsidRDefault="0055048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Copy between pages:</w:t>
      </w:r>
      <w:r>
        <w:t xml:space="preserve"> select a visual (or Ctrl+click several) → Ctrl+C → switch page tab → Ctrl+V. Pasted visuals keep exact positions — this is how the header band replicates.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D7CC8" w14:paraId="7DF49484" w14:textId="77777777">
        <w:tc>
          <w:tcPr>
            <w:tcW w:w="9800" w:type="dxa"/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BE6042" w14:textId="77777777" w:rsidR="006D7CC8" w:rsidRDefault="00550485">
            <w:pPr>
              <w:spacing w:after="60"/>
            </w:pPr>
            <w:r>
              <w:rPr>
                <w:b/>
                <w:bCs/>
                <w:color w:val="1F3864"/>
              </w:rPr>
              <w:t>Two habits that prevent 90% of beginner confusion</w:t>
            </w:r>
          </w:p>
          <w:p w14:paraId="217F8158" w14:textId="77777777" w:rsidR="006D7CC8" w:rsidRDefault="00550485">
            <w:pPr>
              <w:spacing w:after="40"/>
            </w:pPr>
            <w:r>
              <w:rPr>
                <w:b/>
                <w:bCs/>
              </w:rPr>
              <w:t>Selection determines everything.</w:t>
            </w:r>
            <w:r>
              <w:t xml:space="preserve"> The Format pane always shows settings for whatever is selected; if the settings look wrong, check what is selected (the visual's border shows handles). Click empty canvas to deselect.</w:t>
            </w:r>
          </w:p>
          <w:p w14:paraId="3391DDBE" w14:textId="77777777" w:rsidR="006D7CC8" w:rsidRDefault="00550485">
            <w:pPr>
              <w:spacing w:after="40"/>
            </w:pPr>
            <w:r>
              <w:rPr>
                <w:b/>
                <w:bCs/>
              </w:rPr>
              <w:t>Visual vs General tab.</w:t>
            </w:r>
            <w:r>
              <w:t xml:space="preserve"> If you cannot find a setting, you are on the wrong tab. Position, size, title, background, shadow = General. Axes, colors, labels, slicer style = Visual.</w:t>
            </w:r>
          </w:p>
        </w:tc>
      </w:tr>
    </w:tbl>
    <w:p w14:paraId="2AF28BA2" w14:textId="77777777" w:rsidR="006D7CC8" w:rsidRDefault="006D7CC8">
      <w:pPr>
        <w:spacing w:after="120"/>
      </w:pPr>
    </w:p>
    <w:p w14:paraId="35E38D1C" w14:textId="77777777" w:rsidR="006D7CC8" w:rsidRDefault="00550485">
      <w:pPr>
        <w:pStyle w:val="Heading1"/>
        <w:spacing w:before="300" w:after="140"/>
      </w:pPr>
      <w:bookmarkStart w:id="5" w:name="_Toc234820671"/>
      <w:r>
        <w:rPr>
          <w:b/>
          <w:bCs/>
          <w:color w:val="1F3864"/>
          <w:sz w:val="30"/>
          <w:szCs w:val="30"/>
        </w:rPr>
        <w:t>3. Shared Layout System</w:t>
      </w:r>
      <w:bookmarkEnd w:id="5"/>
    </w:p>
    <w:p w14:paraId="75A93B0B" w14:textId="77777777" w:rsidR="006D7CC8" w:rsidRDefault="00550485">
      <w:pPr>
        <w:spacing w:after="120"/>
      </w:pPr>
      <w:r>
        <w:t>Canvas is the default 16:9 (1,280 × 720 px) — verify: click empty canvas → Format page → Canvas settings → Type: 16:9. All coordinates below assume it. The palette (matches theme JSON and mockup):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600"/>
      </w:tblGrid>
      <w:tr w:rsidR="006D7CC8" w14:paraId="2F3C21A3" w14:textId="77777777">
        <w:trPr>
          <w:tblHeader/>
        </w:trPr>
        <w:tc>
          <w:tcPr>
            <w:tcW w:w="6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06F5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EFD8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</w:tr>
      <w:tr w:rsidR="006D7CC8" w14:paraId="7667F275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40E8" w14:textId="77777777" w:rsidR="006D7CC8" w:rsidRDefault="00550485">
            <w:r>
              <w:rPr>
                <w:color w:val="000000"/>
                <w:sz w:val="18"/>
                <w:szCs w:val="18"/>
              </w:rPr>
              <w:t>Primary series, header band, columns ≥ average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E431" w14:textId="77777777" w:rsidR="006D7CC8" w:rsidRDefault="00550485">
            <w:r>
              <w:rPr>
                <w:color w:val="000000"/>
                <w:sz w:val="18"/>
                <w:szCs w:val="18"/>
              </w:rPr>
              <w:t>#1F3864 (navy)</w:t>
            </w:r>
          </w:p>
        </w:tc>
      </w:tr>
      <w:tr w:rsidR="006D7CC8" w14:paraId="747F03A2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575C" w14:textId="77777777" w:rsidR="006D7CC8" w:rsidRDefault="00550485">
            <w:r>
              <w:rPr>
                <w:color w:val="000000"/>
                <w:sz w:val="18"/>
                <w:szCs w:val="18"/>
              </w:rPr>
              <w:t>Secondary series, data bars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2AC8" w14:textId="77777777" w:rsidR="006D7CC8" w:rsidRDefault="00550485">
            <w:r>
              <w:rPr>
                <w:color w:val="000000"/>
                <w:sz w:val="18"/>
                <w:szCs w:val="18"/>
              </w:rPr>
              <w:t>#2E74B5 (blue)</w:t>
            </w:r>
          </w:p>
        </w:tc>
      </w:tr>
      <w:tr w:rsidR="006D7CC8" w14:paraId="57493C54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5AE8" w14:textId="77777777" w:rsidR="006D7CC8" w:rsidRDefault="00550485">
            <w:r>
              <w:rPr>
                <w:color w:val="000000"/>
                <w:sz w:val="18"/>
                <w:szCs w:val="18"/>
              </w:rPr>
              <w:t>Forecast line, scenario accent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5643" w14:textId="77777777" w:rsidR="006D7CC8" w:rsidRDefault="00550485">
            <w:r>
              <w:rPr>
                <w:color w:val="000000"/>
                <w:sz w:val="18"/>
                <w:szCs w:val="18"/>
              </w:rPr>
              <w:t>#1B9E8F (teal)</w:t>
            </w:r>
          </w:p>
        </w:tc>
      </w:tr>
      <w:tr w:rsidR="006D7CC8" w14:paraId="00422D45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4340" w14:textId="77777777" w:rsidR="006D7CC8" w:rsidRDefault="00550485">
            <w:r>
              <w:rPr>
                <w:color w:val="000000"/>
                <w:sz w:val="18"/>
                <w:szCs w:val="18"/>
              </w:rPr>
              <w:t>At Risk / warning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B4D6" w14:textId="77777777" w:rsidR="006D7CC8" w:rsidRDefault="00550485">
            <w:r>
              <w:rPr>
                <w:color w:val="000000"/>
                <w:sz w:val="18"/>
                <w:szCs w:val="18"/>
              </w:rPr>
              <w:t>#C8860A (amber)</w:t>
            </w:r>
          </w:p>
        </w:tc>
      </w:tr>
      <w:tr w:rsidR="006D7CC8" w14:paraId="52ECC304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5409" w14:textId="77777777" w:rsidR="006D7CC8" w:rsidRDefault="00550485">
            <w:r>
              <w:rPr>
                <w:color w:val="000000"/>
                <w:sz w:val="18"/>
                <w:szCs w:val="18"/>
              </w:rPr>
              <w:t>Missed / Dormant / negative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97F0" w14:textId="77777777" w:rsidR="006D7CC8" w:rsidRDefault="00550485">
            <w:r>
              <w:rPr>
                <w:color w:val="000000"/>
                <w:sz w:val="18"/>
                <w:szCs w:val="18"/>
              </w:rPr>
              <w:t>#C0392B (red)</w:t>
            </w:r>
          </w:p>
        </w:tc>
      </w:tr>
      <w:tr w:rsidR="006D7CC8" w14:paraId="5362272A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48A4" w14:textId="77777777" w:rsidR="006D7CC8" w:rsidRDefault="00550485">
            <w:r>
              <w:rPr>
                <w:color w:val="000000"/>
                <w:sz w:val="18"/>
                <w:szCs w:val="18"/>
              </w:rPr>
              <w:t>Met / positive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B3C3" w14:textId="77777777" w:rsidR="006D7CC8" w:rsidRDefault="00550485">
            <w:r>
              <w:rPr>
                <w:color w:val="000000"/>
                <w:sz w:val="18"/>
                <w:szCs w:val="18"/>
              </w:rPr>
              <w:t>#1E7B34 (green)</w:t>
            </w:r>
          </w:p>
        </w:tc>
      </w:tr>
      <w:tr w:rsidR="006D7CC8" w14:paraId="3F3A1092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629A" w14:textId="77777777" w:rsidR="006D7CC8" w:rsidRDefault="00550485">
            <w:r>
              <w:rPr>
                <w:color w:val="000000"/>
                <w:sz w:val="18"/>
                <w:szCs w:val="18"/>
              </w:rPr>
              <w:t>Prior-year series, below-average columns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A0CF" w14:textId="77777777" w:rsidR="006D7CC8" w:rsidRDefault="00550485">
            <w:r>
              <w:rPr>
                <w:color w:val="000000"/>
                <w:sz w:val="18"/>
                <w:szCs w:val="18"/>
              </w:rPr>
              <w:t>#B3B0AD (gray)</w:t>
            </w:r>
          </w:p>
        </w:tc>
      </w:tr>
      <w:tr w:rsidR="006D7CC8" w14:paraId="128E563F" w14:textId="77777777"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960B" w14:textId="77777777" w:rsidR="006D7CC8" w:rsidRDefault="00550485">
            <w:r>
              <w:rPr>
                <w:color w:val="000000"/>
                <w:sz w:val="18"/>
                <w:szCs w:val="18"/>
              </w:rPr>
              <w:t>Quota overlay bar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F825" w14:textId="77777777" w:rsidR="006D7CC8" w:rsidRDefault="00550485">
            <w:r>
              <w:rPr>
                <w:color w:val="000000"/>
                <w:sz w:val="18"/>
                <w:szCs w:val="18"/>
              </w:rPr>
              <w:t>#CBD8EC (light blue)</w:t>
            </w:r>
          </w:p>
        </w:tc>
      </w:tr>
    </w:tbl>
    <w:p w14:paraId="798F6834" w14:textId="77777777" w:rsidR="006D7CC8" w:rsidRDefault="006D7CC8">
      <w:pPr>
        <w:spacing w:after="120"/>
      </w:pPr>
    </w:p>
    <w:p w14:paraId="0D9D915F" w14:textId="77777777" w:rsidR="006D7CC8" w:rsidRDefault="00550485">
      <w:pPr>
        <w:pStyle w:val="Heading2"/>
        <w:spacing w:before="220" w:after="110"/>
      </w:pPr>
      <w:bookmarkStart w:id="6" w:name="_Toc234820672"/>
      <w:r>
        <w:rPr>
          <w:b/>
          <w:bCs/>
          <w:sz w:val="25"/>
          <w:szCs w:val="25"/>
        </w:rPr>
        <w:t>3.1 The header band (build once on Page 1, copy to Pages 2–3)</w:t>
      </w:r>
      <w:bookmarkEnd w:id="6"/>
    </w:p>
    <w:p w14:paraId="70DEB45D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t>Rename the page: double-click the 'Page 1' tab at the bottom → type Sales Performance.</w:t>
      </w:r>
    </w:p>
    <w:p w14:paraId="2ABA3F3C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t>Band rectangle: Insert ribbon → Shapes → Rectangle. Position X 0, Y 0, Size W 1280, H 72 (General → Properties). Format → Visual tab → Style → Fill: color #1F3864, transparency 0% → Border: Off. Rounded corners 6 px if the option is present (Shape → Rounded corners).</w:t>
      </w:r>
    </w:p>
    <w:p w14:paraId="4618A68E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t xml:space="preserve">Title: Insert → Text box. Type the page name on line 1 (font Segoe UI Semibold, 17 pt, white #FFFFFF) and the subtitle on line 2 (10 pt, #B9C7DE): Page 1 </w:t>
      </w:r>
      <w:r>
        <w:rPr>
          <w:b/>
          <w:bCs/>
        </w:rPr>
        <w:t>'Superstore · Regional Sales Review</w:t>
      </w:r>
      <w:r>
        <w:t xml:space="preserve">', Page 2 </w:t>
      </w:r>
      <w:r>
        <w:rPr>
          <w:b/>
          <w:bCs/>
        </w:rPr>
        <w:t>'Six-month sales outlook · exponential smoothing (ETS), 95% CI'</w:t>
      </w:r>
      <w:r>
        <w:t xml:space="preserve">, Page 3 </w:t>
      </w:r>
      <w:r>
        <w:rPr>
          <w:b/>
          <w:bCs/>
        </w:rPr>
        <w:t>'Prioritized lists for the week · drillthrough target from Page 1</w:t>
      </w:r>
      <w:r>
        <w:t>'. Position X 16, Y 8, W 460, H 56. Text box background: Format → General → Effects → Background Off.</w:t>
      </w:r>
    </w:p>
    <w:p w14:paraId="3ABA738C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t xml:space="preserve">Region slicer: click empty canvas → Slicer icon → drag DimGeography[Region] into the Field well. Format → Visual → Slicer settings → Options → Style: </w:t>
      </w:r>
      <w:r>
        <w:rPr>
          <w:b/>
          <w:bCs/>
        </w:rPr>
        <w:t>Tile</w:t>
      </w:r>
      <w:r>
        <w:t>. Selection: Multi-select with Ctrl On, Show 'Select all' Off. Values → Font color #CBD8EC, background #33507F (per-state styling appears under the Values card). Position X 600, Y 14, W 420, H 44. General → Effects → Background Off.</w:t>
      </w:r>
    </w:p>
    <w:p w14:paraId="1DEF9329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t xml:space="preserve">Date slicer: new Slicer → drag DimDate[Date] into Field. Style defaults to </w:t>
      </w:r>
      <w:r>
        <w:rPr>
          <w:b/>
          <w:bCs/>
        </w:rPr>
        <w:t>Between</w:t>
      </w:r>
      <w:r>
        <w:t xml:space="preserve"> for a date column (Slicer settings → Options → Style: Between if not). Position X 1032, Y 14, W 232, H 44. Background Off. The range handles show Jan 2014 – Dec 2017 automatically.</w:t>
      </w:r>
    </w:p>
    <w:p w14:paraId="0AED4272" w14:textId="77777777" w:rsidR="006D7CC8" w:rsidRDefault="00550485">
      <w:pPr>
        <w:pStyle w:val="ListParagraph"/>
        <w:numPr>
          <w:ilvl w:val="0"/>
          <w:numId w:val="4"/>
        </w:numPr>
        <w:spacing w:after="60"/>
      </w:pPr>
      <w:r>
        <w:lastRenderedPageBreak/>
        <w:t>Select all five header elements (Ctrl+click each) → Ctrl+C now; paste onto Pages 2 and 3 after creating them (Section 5 step 1, Section 6 step 1), then edit each page's title text.</w:t>
      </w:r>
    </w:p>
    <w:p w14:paraId="4B1ACBE1" w14:textId="77777777" w:rsidR="006D7CC8" w:rsidRDefault="00550485">
      <w:r>
        <w:br w:type="page"/>
      </w:r>
    </w:p>
    <w:p w14:paraId="5E0C66FB" w14:textId="77777777" w:rsidR="006D7CC8" w:rsidRDefault="00550485">
      <w:pPr>
        <w:pStyle w:val="Heading1"/>
        <w:spacing w:before="300" w:after="140"/>
      </w:pPr>
      <w:bookmarkStart w:id="7" w:name="_Toc234820673"/>
      <w:r>
        <w:rPr>
          <w:b/>
          <w:bCs/>
          <w:color w:val="1F3864"/>
          <w:sz w:val="30"/>
          <w:szCs w:val="30"/>
        </w:rPr>
        <w:lastRenderedPageBreak/>
        <w:t>4. Page 1 — Sales Performance</w:t>
      </w:r>
      <w:bookmarkEnd w:id="7"/>
    </w:p>
    <w:p w14:paraId="1CD788C6" w14:textId="77777777" w:rsidR="006D7CC8" w:rsidRDefault="00550485">
      <w:pPr>
        <w:spacing w:after="120"/>
      </w:pPr>
      <w:r>
        <w:t>Build order: KPI row left to right, then the trend chart, then the right column. Mockup reference: first tab of document 12.</w:t>
      </w:r>
    </w:p>
    <w:p w14:paraId="13A6C263" w14:textId="77777777" w:rsidR="006D7CC8" w:rsidRDefault="00550485">
      <w:pPr>
        <w:pStyle w:val="Heading2"/>
        <w:spacing w:before="220" w:after="110"/>
      </w:pPr>
      <w:bookmarkStart w:id="8" w:name="_Toc234820674"/>
      <w:r>
        <w:rPr>
          <w:b/>
          <w:bCs/>
          <w:sz w:val="25"/>
          <w:szCs w:val="25"/>
        </w:rPr>
        <w:t>4.1 KPI card 1.1 — Total Sales (full detail; cards 1.2–1.4 repeat the pattern)</w:t>
      </w:r>
      <w:bookmarkEnd w:id="8"/>
    </w:p>
    <w:p w14:paraId="7F7C1B1D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Click empty canvas → in the Visualizations icon grid click </w:t>
      </w:r>
      <w:r>
        <w:rPr>
          <w:b/>
          <w:bCs/>
        </w:rPr>
        <w:t>Card</w:t>
      </w:r>
      <w:r>
        <w:t xml:space="preserve"> (the icon showing a large number). Since the November 2025 release this is the standard Card visual — it replaced the old single-number and multi-row cards; if you ever need the legacy card, open the Visualizations pane’s ‘…’ menu → Restore default visuals.</w:t>
      </w:r>
    </w:p>
    <w:p w14:paraId="57292EDB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Data pane → expand _Measures → folder 01 Core → drag </w:t>
      </w:r>
      <w:r>
        <w:rPr>
          <w:b/>
          <w:bCs/>
        </w:rPr>
        <w:t>Total Sales</w:t>
      </w:r>
      <w:r>
        <w:t xml:space="preserve"> into the </w:t>
      </w:r>
      <w:r>
        <w:rPr>
          <w:b/>
          <w:bCs/>
        </w:rPr>
        <w:t>Values</w:t>
      </w:r>
      <w:r>
        <w:t xml:space="preserve"> field well.</w:t>
      </w:r>
    </w:p>
    <w:p w14:paraId="61F76332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Drag </w:t>
      </w:r>
      <w:r>
        <w:rPr>
          <w:b/>
          <w:bCs/>
        </w:rPr>
        <w:t>Sales YoY % Label</w:t>
      </w:r>
      <w:r>
        <w:t xml:space="preserve"> (folder 06 Card Labels) as a </w:t>
      </w:r>
      <w:r>
        <w:rPr>
          <w:b/>
          <w:bCs/>
        </w:rPr>
        <w:t>reference label</w:t>
      </w:r>
      <w:r>
        <w:t>. Since the November 2025 release, reference labels are set in the Format pane, not a field well: with the card selected → Format visual → Visual tab → expand Reference labels → Apply settings to: Total Sales → drag Sales YoY % Label into the Add label field, then pick it in the Add label dropdown. It renders as the small delta line under the big number — now prefixed with a ▲ or ▼, because the Sales YoY % Label measure bakes the arrow glyph into its text (the measure is defined in document 15 §4.2).</w:t>
      </w:r>
    </w:p>
    <w:p w14:paraId="6AA5549F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>Position: Format → General → Properties → X 16 (horizontal), Y (vertical) 88, W 302, H 112.</w:t>
      </w:r>
    </w:p>
    <w:p w14:paraId="63AC4155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Format → Visual tab → </w:t>
      </w:r>
      <w:r>
        <w:rPr>
          <w:b/>
          <w:bCs/>
        </w:rPr>
        <w:t>Callout value</w:t>
      </w:r>
      <w:r>
        <w:t xml:space="preserve">: font size 26, Bold on, color #252423. </w:t>
      </w:r>
      <w:r>
        <w:rPr>
          <w:b/>
          <w:bCs/>
        </w:rPr>
        <w:t>Callout label</w:t>
      </w:r>
      <w:r>
        <w:t xml:space="preserve"> (the word 'Total Sales'): size 11, color #605E5C, Position above value. General → Title: Off (the callout label is the title on cards).</w:t>
      </w:r>
    </w:p>
    <w:p w14:paraId="62535775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Color the YoY delta by sign: Format → Visual → </w:t>
      </w:r>
      <w:r>
        <w:rPr>
          <w:b/>
          <w:bCs/>
        </w:rPr>
        <w:t>Reference labels → Apply settings to Total Sales → Values → Color → fx</w:t>
      </w:r>
      <w:r>
        <w:t xml:space="preserve"> → Format style: Field value → based on field: Sales YoY % Color → OK. The reference label value is a text measure, so the Rules style offers no numeric ≥/&lt; comparisons; a Field value color measure returns the hex directly instead. Define it once (folder 06 Card Labels): Sales YoY % Color = IF ( ISBLANK ( [Sales YoY %] ), BLANK (), IF ( [Sales YoY %] &gt;= 0, "#1E7B34", "#C0392B" ) ). Positive years now show green (#1E7B34), negative red (#C0392B), coloring the ▲/▼ that Sales YoY % Label prints — the label measure supplies the glyph and text, this color measure supplies the color.</w:t>
      </w:r>
    </w:p>
    <w:p w14:paraId="324F0DD4" w14:textId="77777777" w:rsidR="006D7CC8" w:rsidRDefault="00550485">
      <w:pPr>
        <w:pStyle w:val="ListParagraph"/>
        <w:numPr>
          <w:ilvl w:val="0"/>
          <w:numId w:val="5"/>
        </w:numPr>
        <w:spacing w:after="60"/>
      </w:pPr>
      <w:r>
        <w:t xml:space="preserve">The mini sales trend under the number: the card visual does not draw sparklines, so overlay a tiny line chart. Click empty canvas → </w:t>
      </w:r>
      <w:r>
        <w:rPr>
          <w:b/>
          <w:bCs/>
        </w:rPr>
        <w:t>Line chart</w:t>
      </w:r>
      <w:r>
        <w:t xml:space="preserve"> icon → X-axis: DimDate[Year-Month Label], Y-axis: Total Sales. Position X 30, Y 166, W 270, H 28. Then strip it to a sparkline: Format → Visual → X-axis Off, Y-axis Off; Legend Off; General → Title Off, Effects → Background Off. Format → Lines → Width 2, Color #2E74B5. It now floats inside the card's footprint exactly as mocked.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D7CC8" w14:paraId="4CC1DAED" w14:textId="77777777">
        <w:tc>
          <w:tcPr>
            <w:tcW w:w="9800" w:type="dxa"/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24E31" w14:textId="77777777" w:rsidR="006D7CC8" w:rsidRDefault="00550485">
            <w:pPr>
              <w:spacing w:after="60"/>
            </w:pPr>
            <w:r>
              <w:rPr>
                <w:b/>
                <w:bCs/>
                <w:color w:val="1F3864"/>
              </w:rPr>
              <w:t>Alternative accepted by the spec</w:t>
            </w:r>
          </w:p>
          <w:p w14:paraId="280E6EEA" w14:textId="77777777" w:rsidR="006D7CC8" w:rsidRDefault="00550485">
            <w:pPr>
              <w:spacing w:after="40"/>
            </w:pPr>
            <w:r>
              <w:t xml:space="preserve">If the overlay feels fiddly, the built-in </w:t>
            </w:r>
            <w:r>
              <w:rPr>
                <w:b/>
                <w:bCs/>
              </w:rPr>
              <w:t>KPI</w:t>
            </w:r>
            <w:r>
              <w:t xml:space="preserve"> visual has a native trend axis (Value: Total Sales, Trend axis: Year-Month Label) — one visual instead of two, at the cost of the flexible reference labels. Either satisfies document 01 visual 1.1; the mockup was drawn with the overlay approach.</w:t>
            </w:r>
          </w:p>
        </w:tc>
      </w:tr>
    </w:tbl>
    <w:p w14:paraId="43F8A0B8" w14:textId="77777777" w:rsidR="006D7CC8" w:rsidRDefault="006D7CC8">
      <w:pPr>
        <w:spacing w:after="120"/>
      </w:pPr>
    </w:p>
    <w:p w14:paraId="343A9EE4" w14:textId="77777777" w:rsidR="006D7CC8" w:rsidRDefault="00550485">
      <w:pPr>
        <w:pStyle w:val="Heading2"/>
        <w:spacing w:before="220" w:after="110"/>
      </w:pPr>
      <w:bookmarkStart w:id="9" w:name="_Toc234820675"/>
      <w:r>
        <w:rPr>
          <w:b/>
          <w:bCs/>
          <w:sz w:val="25"/>
          <w:szCs w:val="25"/>
        </w:rPr>
        <w:t>4.2 KPI cards 1.2–1.4 — copy and rewire</w:t>
      </w:r>
      <w:bookmarkEnd w:id="9"/>
    </w:p>
    <w:p w14:paraId="47EE67D2" w14:textId="77777777" w:rsidR="006D7CC8" w:rsidRDefault="00550485">
      <w:pPr>
        <w:pStyle w:val="ListParagraph"/>
        <w:numPr>
          <w:ilvl w:val="0"/>
          <w:numId w:val="6"/>
        </w:numPr>
        <w:spacing w:after="60"/>
      </w:pPr>
      <w:r>
        <w:t>Select the Total Sales card → Ctrl+C, Ctrl+V three times. Set positions: card 1.2 X 338, card 1.3 X 660, card 1.4 X 982 (all Y 88, W 302, H 112).</w:t>
      </w:r>
    </w:p>
    <w:p w14:paraId="2011B8B6" w14:textId="77777777" w:rsidR="006D7CC8" w:rsidRDefault="00550485">
      <w:pPr>
        <w:pStyle w:val="ListParagraph"/>
        <w:numPr>
          <w:ilvl w:val="0"/>
          <w:numId w:val="6"/>
        </w:numPr>
        <w:spacing w:after="60"/>
      </w:pPr>
      <w:r>
        <w:t>Rewire each by dragging the new measure ONTO the existing field in the well (it replaces in place, keeping formatting):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2000"/>
        <w:gridCol w:w="3900"/>
      </w:tblGrid>
      <w:tr w:rsidR="006D7CC8" w14:paraId="528BBD05" w14:textId="77777777"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D44A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Card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013B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3947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Reference label (Format pane)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5AF2" w14:textId="77777777" w:rsidR="006D7CC8" w:rsidRDefault="00550485">
            <w:r>
              <w:rPr>
                <w:b/>
                <w:bCs/>
                <w:color w:val="FFFFFF"/>
                <w:sz w:val="18"/>
                <w:szCs w:val="18"/>
              </w:rPr>
              <w:t>Extra formatting</w:t>
            </w:r>
          </w:p>
        </w:tc>
      </w:tr>
      <w:tr w:rsidR="006D7CC8" w14:paraId="77B36FC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511E" w14:textId="77777777" w:rsidR="006D7CC8" w:rsidRDefault="00550485">
            <w:r>
              <w:rPr>
                <w:color w:val="000000"/>
                <w:sz w:val="18"/>
                <w:szCs w:val="18"/>
              </w:rPr>
              <w:t>1.2 Profit Margin %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BFBE" w14:textId="77777777" w:rsidR="006D7CC8" w:rsidRDefault="00550485">
            <w:r>
              <w:rPr>
                <w:color w:val="000000"/>
                <w:sz w:val="18"/>
                <w:szCs w:val="18"/>
              </w:rPr>
              <w:t>Profit Margin %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BFAE" w14:textId="77777777" w:rsidR="006D7CC8" w:rsidRDefault="00550485">
            <w:r>
              <w:rPr>
                <w:color w:val="000000"/>
                <w:sz w:val="18"/>
                <w:szCs w:val="18"/>
              </w:rPr>
              <w:t>Profit Margin YoY pts Label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402A" w14:textId="77777777" w:rsidR="006D7CC8" w:rsidRDefault="00550485">
            <w:r>
              <w:rPr>
                <w:color w:val="000000"/>
                <w:sz w:val="18"/>
                <w:szCs w:val="18"/>
              </w:rPr>
              <w:t>Callout value color fx → Rules on Profit Margin %: &gt;= 0.10 → #252423 · &gt;= 0.05 and &lt; 0.10 → #C8860A · &lt; 0.05 → #C0392B</w:t>
            </w:r>
          </w:p>
        </w:tc>
      </w:tr>
      <w:tr w:rsidR="006D7CC8" w14:paraId="711898F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4F43" w14:textId="77777777" w:rsidR="006D7CC8" w:rsidRDefault="00550485">
            <w:r>
              <w:rPr>
                <w:color w:val="000000"/>
                <w:sz w:val="18"/>
                <w:szCs w:val="18"/>
              </w:rPr>
              <w:lastRenderedPageBreak/>
              <w:t>1.3 Orders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88F1" w14:textId="77777777" w:rsidR="006D7CC8" w:rsidRDefault="00550485">
            <w:r>
              <w:rPr>
                <w:color w:val="000000"/>
                <w:sz w:val="18"/>
                <w:szCs w:val="18"/>
              </w:rPr>
              <w:t>Order Count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69F5" w14:textId="77777777" w:rsidR="006D7CC8" w:rsidRDefault="00550485">
            <w:r>
              <w:rPr>
                <w:color w:val="000000"/>
                <w:sz w:val="18"/>
                <w:szCs w:val="18"/>
              </w:rPr>
              <w:t>Avg Order Value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9EC4" w14:textId="77777777" w:rsidR="006D7CC8" w:rsidRDefault="00550485">
            <w:r>
              <w:rPr>
                <w:color w:val="000000"/>
                <w:sz w:val="18"/>
                <w:szCs w:val="18"/>
              </w:rPr>
              <w:t>No conditional color; reference label renders 'AOV $459'-style context</w:t>
            </w:r>
          </w:p>
        </w:tc>
      </w:tr>
      <w:tr w:rsidR="006D7CC8" w14:paraId="255E6AF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6524" w14:textId="77777777" w:rsidR="006D7CC8" w:rsidRDefault="00550485">
            <w:r>
              <w:rPr>
                <w:color w:val="000000"/>
                <w:sz w:val="18"/>
                <w:szCs w:val="18"/>
              </w:rPr>
              <w:t>1.4 Quota Attainment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0A71" w14:textId="77777777" w:rsidR="006D7CC8" w:rsidRDefault="00550485">
            <w:r>
              <w:rPr>
                <w:color w:val="000000"/>
                <w:sz w:val="18"/>
                <w:szCs w:val="18"/>
              </w:rPr>
              <w:t>Quota Attainment %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6E43" w14:textId="77777777" w:rsidR="006D7CC8" w:rsidRDefault="00550485">
            <w:r>
              <w:rPr>
                <w:color w:val="000000"/>
                <w:sz w:val="18"/>
                <w:szCs w:val="18"/>
              </w:rPr>
              <w:t>Quota Variance Label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D8AF" w14:textId="77777777" w:rsidR="006D7CC8" w:rsidRDefault="00550485">
            <w:r>
              <w:rPr>
                <w:color w:val="000000"/>
                <w:sz w:val="18"/>
                <w:szCs w:val="18"/>
              </w:rPr>
              <w:t>Callout value color fx → Rules on Quota Attainment %: &gt;= 1 → #1E7B34 · &gt;= 0.9 and &lt; 1 → #C8860A · &lt; 0.9 → #C0392B (decimals: 1 = 100%)</w:t>
            </w:r>
          </w:p>
        </w:tc>
      </w:tr>
    </w:tbl>
    <w:p w14:paraId="323A8B2E" w14:textId="77777777" w:rsidR="006D7CC8" w:rsidRDefault="006D7CC8">
      <w:pPr>
        <w:spacing w:after="120"/>
      </w:pPr>
    </w:p>
    <w:p w14:paraId="0AFA2A72" w14:textId="77777777" w:rsidR="006D7CC8" w:rsidRDefault="00550485">
      <w:pPr>
        <w:pStyle w:val="ListParagraph"/>
        <w:numPr>
          <w:ilvl w:val="0"/>
          <w:numId w:val="6"/>
        </w:numPr>
        <w:spacing w:after="60"/>
      </w:pPr>
      <w:r>
        <w:t>Delete the sparkline overlay copies if pasted along (cards 1.2–1.4 have no sparkline in the mockup).</w:t>
      </w:r>
    </w:p>
    <w:p w14:paraId="3A3B1CE0" w14:textId="77777777" w:rsidR="005A00D0" w:rsidRDefault="00000000">
      <w:pPr>
        <w:pStyle w:val="ListParagraph"/>
        <w:numPr>
          <w:ilvl w:val="0"/>
          <w:numId w:val="6"/>
        </w:numPr>
        <w:spacing w:after="60"/>
      </w:pPr>
      <w:r>
        <w:t>Add the arrow to cards 1.2 and 1.4 the same way as §4.1: the reference label you added (</w:t>
      </w:r>
      <w:r>
        <w:rPr>
          <w:b/>
          <w:bCs/>
        </w:rPr>
        <w:t>Profit Margin YoY pts Label</w:t>
      </w:r>
      <w:r>
        <w:t xml:space="preserve">, </w:t>
      </w:r>
      <w:r>
        <w:rPr>
          <w:b/>
          <w:bCs/>
        </w:rPr>
        <w:t>Quota Variance Label</w:t>
      </w:r>
      <w:r>
        <w:t>) already prints the ▲/▼ glyph, so color it with a Field value color measure (text reference labels can’t use numeric Rules) — Format → Visual → Reference labels → Apply settings to the card’s value → Values → Color → fx → Format style: Field value → based on field: Profit Margin % Color (card 1.2) or Quota Attainment % Color (card 1.4). Profit Margin % Color = IF ( [Profit YoY %] &gt;= 0, "#1E7B34", "#C0392B" ) — colors by whether profit grew YoY. Quota Attainment % Color is a three-tier rule matching card 1.</w:t>
      </w:r>
      <w:r>
        <w:t>4’s callout: IF ( [Quota Attainment %] &gt;= 1, "#1E7B34", IF ( [Quota Attainment %] &gt;= 0.9, "#C8860A", "#C0392B" ) ). Card 1.3 keeps Avg Order Value with no arrow and no reference-label color rule — it is a level, not a delta; if it was pasted with card 1.1’s rule, clear it (set the reference label Value color back to default). The three label measures live in folder 06 Card Labels; see document 15 §4.2.</w:t>
      </w:r>
    </w:p>
    <w:p w14:paraId="08CF7F77" w14:textId="77777777" w:rsidR="006D7CC8" w:rsidRDefault="00550485">
      <w:pPr>
        <w:pStyle w:val="Heading2"/>
        <w:spacing w:before="220" w:after="110"/>
      </w:pPr>
      <w:bookmarkStart w:id="10" w:name="_Toc234820676"/>
      <w:r>
        <w:rPr>
          <w:b/>
          <w:bCs/>
          <w:sz w:val="25"/>
          <w:szCs w:val="25"/>
        </w:rPr>
        <w:t>4.3 Visual 1.5 — Monthly Sales vs Prior Year (line chart)</w:t>
      </w:r>
      <w:bookmarkEnd w:id="10"/>
    </w:p>
    <w:p w14:paraId="1B59B3A7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 xml:space="preserve">Empty canvas → </w:t>
      </w:r>
      <w:r>
        <w:rPr>
          <w:b/>
          <w:bCs/>
        </w:rPr>
        <w:t>Line chart</w:t>
      </w:r>
      <w:r>
        <w:t xml:space="preserve"> icon. X-axis well: DimDate[Year-Month Label]. Y-axis well: Total Sales, then Sales PY (drag both; order sets legend order).</w:t>
      </w:r>
    </w:p>
    <w:p w14:paraId="5B4DC2B7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>Position X 16, Y 216, W 744, H 488. Title text: Monthly Sales vs Prior Year.</w:t>
      </w:r>
    </w:p>
    <w:p w14:paraId="5133D766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 xml:space="preserve">Style the PY series dashed gray: Format → Visual → </w:t>
      </w:r>
      <w:r>
        <w:rPr>
          <w:b/>
          <w:bCs/>
        </w:rPr>
        <w:t>Lines</w:t>
      </w:r>
      <w:r>
        <w:t xml:space="preserve"> → at the top of the card, 'Apply settings to → Series': choose </w:t>
      </w:r>
      <w:r>
        <w:rPr>
          <w:b/>
          <w:bCs/>
        </w:rPr>
        <w:t>Sales PY</w:t>
      </w:r>
      <w:r>
        <w:t xml:space="preserve"> → Line style: Dashed, Color #B3B0AD, Width 2. Switch Series to Total Sales → Solid, #1F3864, Width 3.</w:t>
      </w:r>
    </w:p>
    <w:p w14:paraId="4CDB33A1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>Markers: Format → Visual → Markers → On, size 4 (Apply to All). Data labels: Off. Legend: On, Position: Top, no title (Legend → Options/Title toggles).</w:t>
      </w:r>
    </w:p>
    <w:p w14:paraId="10587D96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>X-axis type check: with Year-Month Label (text, sorted by YearMonth) the axis is categorical — correct here. If months appear alphabetical, the sort-by column is missing (document 15 §7, first row).</w:t>
      </w:r>
    </w:p>
    <w:p w14:paraId="2DD68BA8" w14:textId="77777777" w:rsidR="006D7CC8" w:rsidRDefault="00550485">
      <w:pPr>
        <w:pStyle w:val="ListParagraph"/>
        <w:numPr>
          <w:ilvl w:val="0"/>
          <w:numId w:val="7"/>
        </w:numPr>
        <w:spacing w:after="60"/>
      </w:pPr>
      <w:r>
        <w:t>Zoom slider: Format → Visual → Zoom slider → On (X only) — matches the mockup's scrubbing affordance.</w:t>
      </w:r>
    </w:p>
    <w:p w14:paraId="1AB86D4C" w14:textId="77777777" w:rsidR="006D7CC8" w:rsidRDefault="00550485">
      <w:pPr>
        <w:pStyle w:val="Heading2"/>
        <w:spacing w:before="220" w:after="110"/>
      </w:pPr>
      <w:bookmarkStart w:id="11" w:name="_Toc234820677"/>
      <w:r>
        <w:rPr>
          <w:b/>
          <w:bCs/>
          <w:sz w:val="25"/>
          <w:szCs w:val="25"/>
        </w:rPr>
        <w:t>4.4 Visual 1.6 — Sales by Region vs Quota (clustered bar)</w:t>
      </w:r>
      <w:bookmarkEnd w:id="11"/>
    </w:p>
    <w:p w14:paraId="3045B81B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 xml:space="preserve">Empty canvas → </w:t>
      </w:r>
      <w:r>
        <w:rPr>
          <w:b/>
          <w:bCs/>
        </w:rPr>
        <w:t>Clustered bar chart</w:t>
      </w:r>
      <w:r>
        <w:t xml:space="preserve"> icon (horizontal bars). Y-axis well: DimGeography[Region]. X-axis well: Total Sales, then Quota Amount.</w:t>
      </w:r>
    </w:p>
    <w:p w14:paraId="7DB49FD3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>Position X 776, Y 216, W 488, H 232. Title: Sales by Region vs Quota.</w:t>
      </w:r>
    </w:p>
    <w:p w14:paraId="15644E73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 xml:space="preserve">Colors: Format → Visual → </w:t>
      </w:r>
      <w:r>
        <w:rPr>
          <w:b/>
          <w:bCs/>
        </w:rPr>
        <w:t>Bars → Colors</w:t>
      </w:r>
      <w:r>
        <w:t>: Total Sales #1F3864, Quota Amount #CBD8EC (two adjacent bars per region — Power BI’s clustered bar renders the series side by side, not overlaid).</w:t>
      </w:r>
    </w:p>
    <w:p w14:paraId="442261BA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>Sort by sales descending: hover the visual → '…' (More options) in its corner → Sort axis → Total Sales → Sort descending.</w:t>
      </w:r>
    </w:p>
    <w:p w14:paraId="760BEF23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>Data labels On (Values → Display units: Thousands, 0 decimals). Legend On, Top.</w:t>
      </w:r>
    </w:p>
    <w:p w14:paraId="42E2185C" w14:textId="77777777" w:rsidR="006D7CC8" w:rsidRDefault="00550485">
      <w:pPr>
        <w:pStyle w:val="ListParagraph"/>
        <w:numPr>
          <w:ilvl w:val="0"/>
          <w:numId w:val="8"/>
        </w:numPr>
        <w:spacing w:after="60"/>
      </w:pPr>
      <w:r>
        <w:t xml:space="preserve">Cross-FILTER instead of highlight: select this visual → </w:t>
      </w:r>
      <w:r>
        <w:rPr>
          <w:b/>
          <w:bCs/>
        </w:rPr>
        <w:t>Format ribbon</w:t>
      </w:r>
      <w:r>
        <w:t xml:space="preserve"> (top of window, not the pane) → </w:t>
      </w:r>
      <w:r>
        <w:rPr>
          <w:b/>
          <w:bCs/>
        </w:rPr>
        <w:t>Edit interactions</w:t>
      </w:r>
      <w:r>
        <w:t xml:space="preserve">. Small icons appear on every other visual: on visual 1.5 and the matrix 1.8, click the </w:t>
      </w:r>
      <w:r>
        <w:rPr>
          <w:b/>
          <w:bCs/>
        </w:rPr>
        <w:t>funnel</w:t>
      </w:r>
      <w:r>
        <w:t xml:space="preserve"> icon (Filter). Click Edit interactions again to exit the mode. Now clicking a region bar filters the trend and matrix rather than dimming them.</w:t>
      </w:r>
    </w:p>
    <w:p w14:paraId="76CD6AFE" w14:textId="77777777" w:rsidR="006D7CC8" w:rsidRDefault="00550485">
      <w:pPr>
        <w:pStyle w:val="Heading2"/>
        <w:spacing w:before="220" w:after="110"/>
      </w:pPr>
      <w:bookmarkStart w:id="12" w:name="_Toc234820678"/>
      <w:r>
        <w:rPr>
          <w:b/>
          <w:bCs/>
          <w:sz w:val="25"/>
          <w:szCs w:val="25"/>
        </w:rPr>
        <w:lastRenderedPageBreak/>
        <w:t>4.5 Visual 1.8 — Regional Detail (matrix)</w:t>
      </w:r>
      <w:bookmarkEnd w:id="12"/>
    </w:p>
    <w:p w14:paraId="418E8FDA" w14:textId="77777777" w:rsidR="006D7CC8" w:rsidRDefault="00550485">
      <w:pPr>
        <w:spacing w:after="120"/>
      </w:pPr>
      <w:r>
        <w:t>(Numbering note: the document 01 spec also lists a 1.7 Category Breakdown; the mockup omits it for space — build it from Section 7.1 if you want the full spec set.)</w:t>
      </w:r>
    </w:p>
    <w:p w14:paraId="15318886" w14:textId="77777777" w:rsidR="006D7CC8" w:rsidRDefault="00550485">
      <w:pPr>
        <w:pStyle w:val="ListParagraph"/>
        <w:numPr>
          <w:ilvl w:val="0"/>
          <w:numId w:val="9"/>
        </w:numPr>
        <w:spacing w:after="60"/>
      </w:pPr>
      <w:r>
        <w:t xml:space="preserve">Empty canvas → </w:t>
      </w:r>
      <w:r>
        <w:rPr>
          <w:b/>
          <w:bCs/>
        </w:rPr>
        <w:t>Matrix</w:t>
      </w:r>
      <w:r>
        <w:t xml:space="preserve"> icon. Rows well: DimGeography[Region], then DimGeography[State] beneath it (creates the ▸ expandable hierarchy). Values well, in order: Total Sales, Sales YoY %, Quota Attainment %, Profit Margin %.</w:t>
      </w:r>
    </w:p>
    <w:p w14:paraId="284F267E" w14:textId="77777777" w:rsidR="006D7CC8" w:rsidRDefault="00550485">
      <w:pPr>
        <w:pStyle w:val="ListParagraph"/>
        <w:numPr>
          <w:ilvl w:val="0"/>
          <w:numId w:val="9"/>
        </w:numPr>
        <w:spacing w:after="60"/>
      </w:pPr>
      <w:r>
        <w:t>Position X 776, Y 464, W 488, H 240. Title: Regional Detail.</w:t>
      </w:r>
    </w:p>
    <w:p w14:paraId="7F8470E2" w14:textId="77777777" w:rsidR="006D7CC8" w:rsidRDefault="00550485">
      <w:pPr>
        <w:pStyle w:val="ListParagraph"/>
        <w:numPr>
          <w:ilvl w:val="0"/>
          <w:numId w:val="9"/>
        </w:numPr>
        <w:spacing w:after="60"/>
      </w:pPr>
      <w:r>
        <w:t xml:space="preserve">Expand/collapse buttons: Format → Visual → Row headers → </w:t>
      </w:r>
      <w:r>
        <w:rPr>
          <w:b/>
          <w:bCs/>
        </w:rPr>
        <w:t>+/– icons: On</w:t>
      </w:r>
      <w:r>
        <w:t>. Leave everything collapsed to Region level (matches mockup); reviewers expand states themselves.</w:t>
      </w:r>
    </w:p>
    <w:p w14:paraId="16EB8863" w14:textId="5DAB0BFF" w:rsidR="006D7CC8" w:rsidRDefault="00550485">
      <w:pPr>
        <w:pStyle w:val="ListParagraph"/>
        <w:numPr>
          <w:ilvl w:val="0"/>
          <w:numId w:val="9"/>
        </w:numPr>
        <w:spacing w:after="60"/>
      </w:pPr>
      <w:r>
        <w:t xml:space="preserve">Data bars on attainment: in the </w:t>
      </w:r>
      <w:r>
        <w:rPr>
          <w:b/>
          <w:bCs/>
        </w:rPr>
        <w:t>Values well</w:t>
      </w:r>
      <w:r>
        <w:t xml:space="preserve"> (not the canvas), right-click </w:t>
      </w:r>
      <w:r>
        <w:rPr>
          <w:b/>
          <w:bCs/>
        </w:rPr>
        <w:t>Quota Attainment %</w:t>
      </w:r>
      <w:r>
        <w:t xml:space="preserve"> → Conditional formatting → </w:t>
      </w:r>
      <w:r>
        <w:rPr>
          <w:b/>
          <w:bCs/>
        </w:rPr>
        <w:t>Data bars</w:t>
      </w:r>
      <w:r>
        <w:t xml:space="preserve"> → Positive bar color </w:t>
      </w:r>
      <w:r w:rsidR="00DA3317" w:rsidRPr="00DA3317">
        <w:t>#ABC7E1</w:t>
      </w:r>
      <w:r>
        <w:t>→ OK.</w:t>
      </w:r>
    </w:p>
    <w:p w14:paraId="64DC0239" w14:textId="77777777" w:rsidR="006D7CC8" w:rsidRDefault="00550485">
      <w:pPr>
        <w:pStyle w:val="ListParagraph"/>
        <w:numPr>
          <w:ilvl w:val="0"/>
          <w:numId w:val="9"/>
        </w:numPr>
        <w:spacing w:after="60"/>
      </w:pPr>
      <w:r>
        <w:t xml:space="preserve">Up/down icons on YoY: right-click </w:t>
      </w:r>
      <w:r>
        <w:rPr>
          <w:b/>
          <w:bCs/>
        </w:rPr>
        <w:t>Sales YoY %</w:t>
      </w:r>
      <w:r>
        <w:t xml:space="preserve"> in the well → Conditional formatting → </w:t>
      </w:r>
      <w:r>
        <w:rPr>
          <w:b/>
          <w:bCs/>
        </w:rPr>
        <w:t>Icons</w:t>
      </w:r>
      <w:r>
        <w:t xml:space="preserve"> → Format style: Rules → Rule 1: If value &gt;= 0 then green up-arrow · Rule 2: If value &lt; 0 then red down-arrow (pick the arrow glyphs in each rule's icon dropdown) → OK.</w:t>
      </w:r>
    </w:p>
    <w:p w14:paraId="674E30C0" w14:textId="77777777" w:rsidR="006D7CC8" w:rsidRDefault="00550485">
      <w:pPr>
        <w:pStyle w:val="ListParagraph"/>
        <w:numPr>
          <w:ilvl w:val="0"/>
          <w:numId w:val="9"/>
        </w:numPr>
        <w:spacing w:after="60"/>
      </w:pPr>
      <w:r>
        <w:t>Compact styling: Format → Visual → Grid → Row padding 2; Values → Font size 9; Column headers → Font size 9, Bold.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D7CC8" w14:paraId="4165559B" w14:textId="77777777">
        <w:tc>
          <w:tcPr>
            <w:tcW w:w="9800" w:type="dxa"/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B1331B" w14:textId="77777777" w:rsidR="006D7CC8" w:rsidRDefault="00550485">
            <w:pPr>
              <w:spacing w:after="60"/>
            </w:pPr>
            <w:r>
              <w:rPr>
                <w:b/>
                <w:bCs/>
                <w:color w:val="1F3864"/>
              </w:rPr>
              <w:t>Page 1 done — compare against the mockup tab 1</w:t>
            </w:r>
          </w:p>
          <w:p w14:paraId="5202683A" w14:textId="77777777" w:rsidR="006D7CC8" w:rsidRDefault="00550485">
            <w:pPr>
              <w:spacing w:after="40"/>
            </w:pPr>
            <w:r>
              <w:t>Four KPI cards with a colored quota value · trend with dashed gray PY · region bars with pale quota overlays · collapsible matrix with data bars and arrows. Click the West bar: the trend and matrix should FILTER (reshape), not dim. Click it again to clear.</w:t>
            </w:r>
          </w:p>
        </w:tc>
      </w:tr>
    </w:tbl>
    <w:p w14:paraId="679201A9" w14:textId="77777777" w:rsidR="006D7CC8" w:rsidRDefault="00550485">
      <w:r>
        <w:br w:type="page"/>
      </w:r>
    </w:p>
    <w:p w14:paraId="67568EE1" w14:textId="77777777" w:rsidR="006D7CC8" w:rsidRDefault="00550485">
      <w:pPr>
        <w:pStyle w:val="Heading1"/>
        <w:spacing w:before="300" w:after="140"/>
      </w:pPr>
      <w:bookmarkStart w:id="13" w:name="_Toc234820679"/>
      <w:r>
        <w:rPr>
          <w:b/>
          <w:bCs/>
          <w:color w:val="1F3864"/>
          <w:sz w:val="30"/>
          <w:szCs w:val="30"/>
        </w:rPr>
        <w:lastRenderedPageBreak/>
        <w:t>5. Page 2 — Forecast &amp; Outlook</w:t>
      </w:r>
      <w:bookmarkEnd w:id="13"/>
    </w:p>
    <w:p w14:paraId="7EB42972" w14:textId="77777777" w:rsidR="006D7CC8" w:rsidRDefault="00550485">
      <w:pPr>
        <w:pStyle w:val="ListParagraph"/>
        <w:numPr>
          <w:ilvl w:val="0"/>
          <w:numId w:val="10"/>
        </w:numPr>
        <w:spacing w:after="60"/>
      </w:pPr>
      <w:r>
        <w:t xml:space="preserve">New page: click the </w:t>
      </w:r>
      <w:r>
        <w:rPr>
          <w:b/>
          <w:bCs/>
        </w:rPr>
        <w:t>+</w:t>
      </w:r>
      <w:r>
        <w:t xml:space="preserve"> next to the page tabs → rename Forecast &amp; Outlook → paste the header band (Ctrl+V) → edit the title text box per Section 3.1 step 3.</w:t>
      </w:r>
    </w:p>
    <w:p w14:paraId="60A70734" w14:textId="77777777" w:rsidR="006D7CC8" w:rsidRDefault="006D7CC8">
      <w:pPr>
        <w:spacing w:after="120"/>
      </w:pPr>
    </w:p>
    <w:p w14:paraId="02CC3B6C" w14:textId="77777777" w:rsidR="006D7CC8" w:rsidRDefault="00550485">
      <w:pPr>
        <w:pStyle w:val="Heading2"/>
        <w:spacing w:before="220" w:after="110"/>
      </w:pPr>
      <w:bookmarkStart w:id="14" w:name="_Toc234820680"/>
      <w:r>
        <w:rPr>
          <w:b/>
          <w:bCs/>
          <w:sz w:val="25"/>
          <w:szCs w:val="25"/>
        </w:rPr>
        <w:t>5.1 Visual 2.1 — Sales Forecast, 6-Month Outlook (the hero chart)</w:t>
      </w:r>
      <w:bookmarkEnd w:id="14"/>
    </w:p>
    <w:p w14:paraId="7010566E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 xml:space="preserve">Empty canvas → </w:t>
      </w:r>
      <w:r>
        <w:rPr>
          <w:b/>
          <w:bCs/>
        </w:rPr>
        <w:t>Line chart</w:t>
      </w:r>
      <w:r>
        <w:t xml:space="preserve">. X-axis: DimDate[MonthStart] — a Date column (if it drops in as a date hierarchy, switch the field to MonthStart itself), then set Format → X-axis → Type → Continuous, which is what unlocks Forecast (a continuous axis labels by date; format the X-axis to MMM YYYY for tidy month labels). Y-axis: </w:t>
      </w:r>
      <w:r>
        <w:rPr>
          <w:b/>
          <w:bCs/>
        </w:rPr>
        <w:t>Total Sales only</w:t>
      </w:r>
      <w:r>
        <w:t xml:space="preserve"> — the forecast feature requires a single series; adding Sales PY here would gray it out (the #2 troubleshooting row in document 15 §7).</w:t>
      </w:r>
    </w:p>
    <w:p w14:paraId="3DD09CA5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>Position X 16, Y 88, W 1248, H 360. Title: Sales Forecast — 6-Month Outlook. Line: Format → Lines → Color #1F3864, Width 3.</w:t>
      </w:r>
    </w:p>
    <w:p w14:paraId="071638E4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 xml:space="preserve">Open the </w:t>
      </w:r>
      <w:r>
        <w:rPr>
          <w:b/>
          <w:bCs/>
        </w:rPr>
        <w:t>Format pane → Visual tab</w:t>
      </w:r>
      <w:r>
        <w:t xml:space="preserve"> (with on-object interactions on, the default — or the classic Analytics pane via the magnifier if it is off) → find </w:t>
      </w:r>
      <w:r>
        <w:rPr>
          <w:b/>
          <w:bCs/>
        </w:rPr>
        <w:t>Forecast</w:t>
      </w:r>
      <w:r>
        <w:t xml:space="preserve"> → toggle On (or + Add). If Forecast is absent entirely, re-check: single series, line chart (not area), a continuous date axis (Format → X-axis → Type → Continuous) — a text/categorical axis disables Forecast.</w:t>
      </w:r>
    </w:p>
    <w:p w14:paraId="7A913939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 xml:space="preserve">Forecast settings: </w:t>
      </w:r>
      <w:r>
        <w:rPr>
          <w:b/>
          <w:bCs/>
        </w:rPr>
        <w:t>Units: Points · Forecast length: 6 · Ignore the last: 0 · Confidence interval: 95% · Seasonality: 12 points</w:t>
      </w:r>
      <w:r>
        <w:t xml:space="preserve"> (type 12 — leaving Auto on 48 months of history often flattens the seasonality; troubleshooting row 3) → </w:t>
      </w:r>
      <w:r>
        <w:rPr>
          <w:b/>
          <w:bCs/>
        </w:rPr>
        <w:t>Apply</w:t>
      </w:r>
      <w:r>
        <w:t>.</w:t>
      </w:r>
    </w:p>
    <w:p w14:paraId="304D3AF7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>Style the forecast to match the mockup: within the Forecast card → Options/formatting: Forecast line Color #1B9E8F, Style Dotted; Confidence band fill #BFE6E1, transparency ~30%. (Exact control names vary slightly by Desktop release; all live inside the Forecast card.)</w:t>
      </w:r>
    </w:p>
    <w:p w14:paraId="1DDBE7EE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>Read it before moving on: the dotted teal line should extend six months past Dec 2017 — Power BI’s native forecast auto-projects into future axis space, so no extra date rows are needed (the table ends Dec 2017), with the shaded band widening. Hover a forecast point: the tooltip shows the estimate plus upper/lower bounds.</w:t>
      </w:r>
    </w:p>
    <w:p w14:paraId="185D52E8" w14:textId="77777777" w:rsidR="006D7CC8" w:rsidRDefault="00550485">
      <w:pPr>
        <w:pStyle w:val="ListParagraph"/>
        <w:numPr>
          <w:ilvl w:val="0"/>
          <w:numId w:val="11"/>
        </w:numPr>
        <w:spacing w:after="60"/>
      </w:pPr>
      <w:r>
        <w:t>Slicer-context demo (the interview moment): click West in the header slicer — the history AND the forecast recompute for West only. Clear the slicer after admiring it.</w:t>
      </w:r>
    </w:p>
    <w:p w14:paraId="4F423FA9" w14:textId="77777777" w:rsidR="006D7CC8" w:rsidRDefault="00550485">
      <w:pPr>
        <w:pStyle w:val="Heading2"/>
        <w:spacing w:before="220" w:after="110"/>
      </w:pPr>
      <w:bookmarkStart w:id="15" w:name="_Toc234820681"/>
      <w:r>
        <w:rPr>
          <w:b/>
          <w:bCs/>
          <w:sz w:val="25"/>
          <w:szCs w:val="25"/>
        </w:rPr>
        <w:t>5.2 Visual 2.3 — Seasonality Profile (column chart)</w:t>
      </w:r>
      <w:bookmarkEnd w:id="15"/>
    </w:p>
    <w:p w14:paraId="3B9104C5" w14:textId="77777777" w:rsidR="006D7CC8" w:rsidRDefault="00550485">
      <w:pPr>
        <w:pStyle w:val="ListParagraph"/>
        <w:numPr>
          <w:ilvl w:val="0"/>
          <w:numId w:val="12"/>
        </w:numPr>
        <w:spacing w:after="60"/>
      </w:pPr>
      <w:r>
        <w:t xml:space="preserve">Empty canvas → </w:t>
      </w:r>
      <w:r>
        <w:rPr>
          <w:b/>
          <w:bCs/>
        </w:rPr>
        <w:t>Clustered column chart</w:t>
      </w:r>
      <w:r>
        <w:t xml:space="preserve"> (vertical). X-axis: DimDate[Month Name]. Y-axis: Seasonality Index (folder 05).</w:t>
      </w:r>
    </w:p>
    <w:p w14:paraId="4570D341" w14:textId="77777777" w:rsidR="006D7CC8" w:rsidRDefault="00550485">
      <w:pPr>
        <w:pStyle w:val="ListParagraph"/>
        <w:numPr>
          <w:ilvl w:val="0"/>
          <w:numId w:val="12"/>
        </w:numPr>
        <w:spacing w:after="60"/>
      </w:pPr>
      <w:r>
        <w:t>Position X 16, Y 464, W 560, H 240. Title: Seasonality Profile.</w:t>
      </w:r>
    </w:p>
    <w:p w14:paraId="14654EB7" w14:textId="77777777" w:rsidR="006D7CC8" w:rsidRDefault="00550485">
      <w:pPr>
        <w:pStyle w:val="ListParagraph"/>
        <w:numPr>
          <w:ilvl w:val="0"/>
          <w:numId w:val="12"/>
        </w:numPr>
        <w:spacing w:after="60"/>
      </w:pPr>
      <w:r>
        <w:t xml:space="preserve">Average line: Format pane → Visual → Reference lines → </w:t>
      </w:r>
      <w:r>
        <w:rPr>
          <w:b/>
          <w:bCs/>
        </w:rPr>
        <w:t>Constant line</w:t>
      </w:r>
      <w:r>
        <w:t xml:space="preserve"> → + Add → Value: 1 → Data label On, Text 'average month', position End; Line color #C8860A, Style Dashed.</w:t>
      </w:r>
    </w:p>
    <w:p w14:paraId="0D897DC1" w14:textId="77777777" w:rsidR="006D7CC8" w:rsidRDefault="00550485">
      <w:pPr>
        <w:pStyle w:val="ListParagraph"/>
        <w:numPr>
          <w:ilvl w:val="0"/>
          <w:numId w:val="12"/>
        </w:numPr>
        <w:spacing w:after="60"/>
      </w:pPr>
      <w:r>
        <w:t xml:space="preserve">Two-tone columns: Format → Visual → Columns → Colors → </w:t>
      </w:r>
      <w:r>
        <w:rPr>
          <w:b/>
          <w:bCs/>
        </w:rPr>
        <w:t>fx</w:t>
      </w:r>
      <w:r>
        <w:t xml:space="preserve"> → Rules → based on Seasonality Index → Rule 1: If value &gt;= 1 then #1F3864 · Rule 2: If value &lt; 1 then #C7C4C0 → OK. Sep/Nov/Dec should stand navy and tall; Jan/Feb short and gray.</w:t>
      </w:r>
    </w:p>
    <w:p w14:paraId="6EA9FC39" w14:textId="77777777" w:rsidR="006D7CC8" w:rsidRDefault="00550485">
      <w:pPr>
        <w:pStyle w:val="Heading2"/>
        <w:spacing w:before="220" w:after="110"/>
      </w:pPr>
      <w:bookmarkStart w:id="16" w:name="_Toc234820682"/>
      <w:r>
        <w:rPr>
          <w:b/>
          <w:bCs/>
          <w:sz w:val="25"/>
          <w:szCs w:val="25"/>
        </w:rPr>
        <w:t>5.3 Visuals 2.4–2.5 — Growth Scenario slider and card</w:t>
      </w:r>
      <w:bookmarkEnd w:id="16"/>
    </w:p>
    <w:p w14:paraId="0A3E0FDF" w14:textId="77777777" w:rsidR="006D7CC8" w:rsidRDefault="00550485">
      <w:pPr>
        <w:pStyle w:val="ListParagraph"/>
        <w:numPr>
          <w:ilvl w:val="0"/>
          <w:numId w:val="13"/>
        </w:numPr>
        <w:spacing w:after="60"/>
      </w:pPr>
      <w:r>
        <w:t xml:space="preserve">Slider: empty canvas → </w:t>
      </w:r>
      <w:r>
        <w:rPr>
          <w:b/>
          <w:bCs/>
        </w:rPr>
        <w:t>Slicer</w:t>
      </w:r>
      <w:r>
        <w:t xml:space="preserve"> → drag </w:t>
      </w:r>
      <w:r>
        <w:rPr>
          <w:b/>
          <w:bCs/>
        </w:rPr>
        <w:t>'Growth Rate'[Growth Rate]</w:t>
      </w:r>
      <w:r>
        <w:t xml:space="preserve"> (the parameter table's column, NOT the Growth Rate Value measure) into Field. Format → Visual → Slicer settings → Options → Style: </w:t>
      </w:r>
      <w:r>
        <w:rPr>
          <w:b/>
          <w:bCs/>
        </w:rPr>
        <w:t>Single value</w:t>
      </w:r>
      <w:r>
        <w:t xml:space="preserve"> (renders as a draggable slider with one handle). Position X 592, Y 464, W 300, H 110. Title On: Growth Scenario.</w:t>
      </w:r>
    </w:p>
    <w:p w14:paraId="09F3868D" w14:textId="77777777" w:rsidR="006D7CC8" w:rsidRDefault="00550485">
      <w:pPr>
        <w:pStyle w:val="ListParagraph"/>
        <w:numPr>
          <w:ilvl w:val="0"/>
          <w:numId w:val="13"/>
        </w:numPr>
        <w:spacing w:after="60"/>
      </w:pPr>
      <w:r>
        <w:t xml:space="preserve">Card: </w:t>
      </w:r>
      <w:r>
        <w:rPr>
          <w:b/>
          <w:bCs/>
        </w:rPr>
        <w:t>Card visual</w:t>
      </w:r>
      <w:r>
        <w:t xml:space="preserve"> → Values: </w:t>
      </w:r>
      <w:r>
        <w:rPr>
          <w:b/>
          <w:bCs/>
        </w:rPr>
        <w:t>Scenario Sales</w:t>
      </w:r>
      <w:r>
        <w:t xml:space="preserve"> → then in Format → Visual → Reference labels (Apply settings to Scenario Sales) add labels: </w:t>
      </w:r>
      <w:r>
        <w:rPr>
          <w:b/>
          <w:bCs/>
        </w:rPr>
        <w:t>Growth Rate Value</w:t>
      </w:r>
      <w:r>
        <w:t xml:space="preserve">, then </w:t>
      </w:r>
      <w:r>
        <w:rPr>
          <w:b/>
          <w:bCs/>
        </w:rPr>
        <w:t>Total Sales</w:t>
      </w:r>
      <w:r>
        <w:t xml:space="preserve"> (two reference lines: the assumed rate and the actual baseline). Position X 592, Y 590, W 300, H 114. Callout value color #1B9E8F, size 24. Title: Scenario Sales (next 12 mo).</w:t>
      </w:r>
    </w:p>
    <w:p w14:paraId="5E7D8CF6" w14:textId="77777777" w:rsidR="006D7CC8" w:rsidRDefault="00550485">
      <w:pPr>
        <w:pStyle w:val="ListParagraph"/>
        <w:numPr>
          <w:ilvl w:val="0"/>
          <w:numId w:val="13"/>
        </w:numPr>
        <w:spacing w:after="60"/>
      </w:pPr>
      <w:r>
        <w:lastRenderedPageBreak/>
        <w:t>Test: drag the slider from 5% to 12% — the card must move instantly. If the card errors instead, the parameter was renamed; the fix is the same as the 'Cannot find table' resolution (measure's quoted table name must equal the parameter table's name exactly).</w:t>
      </w:r>
    </w:p>
    <w:p w14:paraId="1195ACFC" w14:textId="77777777" w:rsidR="006D7CC8" w:rsidRDefault="00550485">
      <w:pPr>
        <w:pStyle w:val="Heading2"/>
        <w:spacing w:before="220" w:after="110"/>
      </w:pPr>
      <w:bookmarkStart w:id="17" w:name="_Toc234820683"/>
      <w:r>
        <w:rPr>
          <w:b/>
          <w:bCs/>
          <w:sz w:val="25"/>
          <w:szCs w:val="25"/>
        </w:rPr>
        <w:t>5.4 Visual 2.6 — Methodology &amp; Caveats (text box)</w:t>
      </w:r>
      <w:bookmarkEnd w:id="17"/>
    </w:p>
    <w:p w14:paraId="3619FD70" w14:textId="77777777" w:rsidR="006D7CC8" w:rsidRDefault="00550485">
      <w:pPr>
        <w:pStyle w:val="ListParagraph"/>
        <w:numPr>
          <w:ilvl w:val="0"/>
          <w:numId w:val="14"/>
        </w:numPr>
        <w:spacing w:after="60"/>
      </w:pPr>
      <w:r>
        <w:t>Insert ribbon → Text box. Position X 908, Y 464, W 356, H 240. Heading line 'Methodology &amp; Caveats' (11 pt bold), then paste this body (10 pt, #605E5C):</w:t>
      </w:r>
    </w:p>
    <w:p w14:paraId="1E1C8CE1" w14:textId="77777777" w:rsidR="006D7CC8" w:rsidRDefault="00550485">
      <w:pPr>
        <w:shd w:val="clear" w:color="auto" w:fill="F5F0E8"/>
        <w:ind w:left="240" w:right="240"/>
      </w:pPr>
      <w:r>
        <w:rPr>
          <w:rFonts w:ascii="Consolas" w:eastAsia="Consolas" w:hAnsi="Consolas" w:cs="Consolas"/>
          <w:sz w:val="18"/>
          <w:szCs w:val="18"/>
        </w:rPr>
        <w:t>Forecast uses Power BI's built-in exponential smoothing with</w:t>
      </w:r>
    </w:p>
    <w:p w14:paraId="48554963" w14:textId="77777777" w:rsidR="006D7CC8" w:rsidRDefault="00550485">
      <w:pPr>
        <w:shd w:val="clear" w:color="auto" w:fill="F5F0E8"/>
        <w:ind w:left="240" w:right="240"/>
      </w:pPr>
      <w:r>
        <w:rPr>
          <w:rFonts w:ascii="Consolas" w:eastAsia="Consolas" w:hAnsi="Consolas" w:cs="Consolas"/>
          <w:sz w:val="18"/>
          <w:szCs w:val="18"/>
        </w:rPr>
        <w:t>12-month seasonality and a 95% confidence interval. It assumes</w:t>
      </w:r>
    </w:p>
    <w:p w14:paraId="0AED36E8" w14:textId="77777777" w:rsidR="006D7CC8" w:rsidRDefault="00550485">
      <w:pPr>
        <w:shd w:val="clear" w:color="auto" w:fill="F5F0E8"/>
        <w:ind w:left="240" w:right="240"/>
      </w:pPr>
      <w:r>
        <w:rPr>
          <w:rFonts w:ascii="Consolas" w:eastAsia="Consolas" w:hAnsi="Consolas" w:cs="Consolas"/>
          <w:sz w:val="18"/>
          <w:szCs w:val="18"/>
        </w:rPr>
        <w:t>historical seasonality holds and includes no promotion or macro</w:t>
      </w:r>
    </w:p>
    <w:p w14:paraId="496010E3" w14:textId="77777777" w:rsidR="006D7CC8" w:rsidRDefault="00550485">
      <w:pPr>
        <w:shd w:val="clear" w:color="auto" w:fill="F5F0E8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drivers. The interval widens with horizon — treat the band, not</w:t>
      </w:r>
    </w:p>
    <w:p w14:paraId="0574AD8F" w14:textId="77777777" w:rsidR="006D7CC8" w:rsidRDefault="00550485">
      <w:pPr>
        <w:shd w:val="clear" w:color="auto" w:fill="F5F0E8"/>
        <w:ind w:left="240" w:right="240"/>
      </w:pPr>
      <w:r>
        <w:rPr>
          <w:rFonts w:ascii="Consolas" w:eastAsia="Consolas" w:hAnsi="Consolas" w:cs="Consolas"/>
          <w:sz w:val="18"/>
          <w:szCs w:val="18"/>
        </w:rPr>
        <w:t>the line, as the answer. Q4 (Sep/Nov/Dec) consistently runs</w:t>
      </w:r>
    </w:p>
    <w:p w14:paraId="6832F94D" w14:textId="77777777" w:rsidR="006D7CC8" w:rsidRDefault="00550485">
      <w:pPr>
        <w:shd w:val="clear" w:color="auto" w:fill="F5F0E8"/>
        <w:spacing w:after="16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~1.3–1.6× an average month.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D7CC8" w14:paraId="052F94B1" w14:textId="77777777">
        <w:tc>
          <w:tcPr>
            <w:tcW w:w="9800" w:type="dxa"/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2DB37" w14:textId="77777777" w:rsidR="006D7CC8" w:rsidRDefault="00550485">
            <w:pPr>
              <w:spacing w:after="60"/>
            </w:pPr>
            <w:r>
              <w:rPr>
                <w:b/>
                <w:bCs/>
                <w:color w:val="1F3864"/>
              </w:rPr>
              <w:t>Page 2 done — compare against mockup tab 2</w:t>
            </w:r>
          </w:p>
          <w:p w14:paraId="4AF07118" w14:textId="77777777" w:rsidR="006D7CC8" w:rsidRDefault="00550485">
            <w:pPr>
              <w:spacing w:after="40"/>
            </w:pPr>
            <w:r>
              <w:t>Hero chart with dotted teal forecast and shaded band past the orange 'forecast start' boundary (add that boundary as a second Constant line at the Dec 2017 category if you want the mockup's marker) · seasonality columns two-toned around the dashed 1.00 line · slider moves the scenario card live.</w:t>
            </w:r>
          </w:p>
        </w:tc>
      </w:tr>
    </w:tbl>
    <w:p w14:paraId="0D67FE28" w14:textId="77777777" w:rsidR="006D7CC8" w:rsidRDefault="006D7CC8">
      <w:pPr>
        <w:spacing w:after="120"/>
      </w:pPr>
    </w:p>
    <w:p w14:paraId="698DEC51" w14:textId="77777777" w:rsidR="006D7CC8" w:rsidRDefault="00550485">
      <w:r>
        <w:br w:type="page"/>
      </w:r>
    </w:p>
    <w:p w14:paraId="04AFCA94" w14:textId="77777777" w:rsidR="006D7CC8" w:rsidRDefault="00550485">
      <w:pPr>
        <w:pStyle w:val="Heading1"/>
        <w:spacing w:before="300" w:after="140"/>
      </w:pPr>
      <w:bookmarkStart w:id="18" w:name="_Toc234820684"/>
      <w:r>
        <w:rPr>
          <w:b/>
          <w:bCs/>
          <w:color w:val="1F3864"/>
          <w:sz w:val="30"/>
          <w:szCs w:val="30"/>
        </w:rPr>
        <w:lastRenderedPageBreak/>
        <w:t>6. Page 3 — Account &amp; Rep Actions</w:t>
      </w:r>
      <w:bookmarkEnd w:id="18"/>
    </w:p>
    <w:p w14:paraId="66FB3980" w14:textId="77777777" w:rsidR="006D7CC8" w:rsidRDefault="00550485">
      <w:pPr>
        <w:pStyle w:val="ListParagraph"/>
        <w:numPr>
          <w:ilvl w:val="0"/>
          <w:numId w:val="15"/>
        </w:numPr>
        <w:spacing w:after="60"/>
      </w:pPr>
      <w:r>
        <w:t>New page → rename Account &amp; Rep Actions → paste and edit the header band.</w:t>
      </w:r>
    </w:p>
    <w:p w14:paraId="4ED9C402" w14:textId="77777777" w:rsidR="006D7CC8" w:rsidRDefault="006D7CC8">
      <w:pPr>
        <w:spacing w:after="120"/>
      </w:pPr>
    </w:p>
    <w:p w14:paraId="134158C5" w14:textId="77777777" w:rsidR="006D7CC8" w:rsidRDefault="00550485">
      <w:pPr>
        <w:pStyle w:val="Heading2"/>
        <w:spacing w:before="220" w:after="110"/>
      </w:pPr>
      <w:bookmarkStart w:id="19" w:name="_Toc234820685"/>
      <w:r>
        <w:rPr>
          <w:b/>
          <w:bCs/>
          <w:sz w:val="25"/>
          <w:szCs w:val="25"/>
        </w:rPr>
        <w:t>6.1 Visual 3.1 — Top 10 Accounts by Revenue (bar chart)</w:t>
      </w:r>
      <w:bookmarkEnd w:id="19"/>
    </w:p>
    <w:p w14:paraId="4CF74173" w14:textId="77777777" w:rsidR="006D7CC8" w:rsidRDefault="00550485">
      <w:pPr>
        <w:pStyle w:val="ListParagraph"/>
        <w:numPr>
          <w:ilvl w:val="0"/>
          <w:numId w:val="16"/>
        </w:numPr>
        <w:spacing w:after="60"/>
      </w:pPr>
      <w:r>
        <w:t xml:space="preserve">Empty canvas → </w:t>
      </w:r>
      <w:r>
        <w:rPr>
          <w:b/>
          <w:bCs/>
        </w:rPr>
        <w:t>Clustered bar chart</w:t>
      </w:r>
      <w:r>
        <w:t>. Y-axis: DimCustomer[Customer Name]. X-axis: Total Sales.</w:t>
      </w:r>
    </w:p>
    <w:p w14:paraId="4496C858" w14:textId="77777777" w:rsidR="006D7CC8" w:rsidRDefault="00550485">
      <w:pPr>
        <w:pStyle w:val="ListParagraph"/>
        <w:numPr>
          <w:ilvl w:val="0"/>
          <w:numId w:val="16"/>
        </w:numPr>
        <w:spacing w:after="60"/>
      </w:pPr>
      <w:r>
        <w:t>Position X 16, Y 88, W 560, H 296. Title: Top 10 Accounts by Revenue. Bar color #2E74B5. Data labels On (Display units: Thousands, 1 decimal).</w:t>
      </w:r>
    </w:p>
    <w:p w14:paraId="6790C390" w14:textId="77777777" w:rsidR="006D7CC8" w:rsidRDefault="00550485">
      <w:pPr>
        <w:pStyle w:val="ListParagraph"/>
        <w:numPr>
          <w:ilvl w:val="0"/>
          <w:numId w:val="16"/>
        </w:numPr>
        <w:spacing w:after="60"/>
      </w:pPr>
      <w:r>
        <w:t xml:space="preserve">Top N filter: open the </w:t>
      </w:r>
      <w:r>
        <w:rPr>
          <w:b/>
          <w:bCs/>
        </w:rPr>
        <w:t>Filters pane</w:t>
      </w:r>
      <w:r>
        <w:t xml:space="preserve"> (left of Visualizations; click the arrow if collapsed) → under 'Filters on this visual' find the </w:t>
      </w:r>
      <w:r>
        <w:rPr>
          <w:b/>
          <w:bCs/>
        </w:rPr>
        <w:t>Customer Name</w:t>
      </w:r>
      <w:r>
        <w:t xml:space="preserve"> card → Filter type dropdown: </w:t>
      </w:r>
      <w:r>
        <w:rPr>
          <w:b/>
          <w:bCs/>
        </w:rPr>
        <w:t>Top N</w:t>
      </w:r>
      <w:r>
        <w:t xml:space="preserve"> → Show items: Top, 10 → 'By value': drag </w:t>
      </w:r>
      <w:r>
        <w:rPr>
          <w:b/>
          <w:bCs/>
        </w:rPr>
        <w:t>Total Sales</w:t>
      </w:r>
      <w:r>
        <w:t xml:space="preserve"> from the Data pane into that box → </w:t>
      </w:r>
      <w:r>
        <w:rPr>
          <w:b/>
          <w:bCs/>
        </w:rPr>
        <w:t>Apply filter</w:t>
      </w:r>
      <w:r>
        <w:t>. The bar list collapses to ten names.</w:t>
      </w:r>
    </w:p>
    <w:p w14:paraId="37AB6539" w14:textId="77777777" w:rsidR="006D7CC8" w:rsidRDefault="00550485">
      <w:pPr>
        <w:pStyle w:val="ListParagraph"/>
        <w:numPr>
          <w:ilvl w:val="0"/>
          <w:numId w:val="16"/>
        </w:numPr>
        <w:spacing w:after="60"/>
      </w:pPr>
      <w:r>
        <w:t xml:space="preserve">Tooltip context: drag Profit Margin %, Order Count, and Last Order Date into the </w:t>
      </w:r>
      <w:r>
        <w:rPr>
          <w:b/>
          <w:bCs/>
        </w:rPr>
        <w:t>Tooltips</w:t>
      </w:r>
      <w:r>
        <w:t xml:space="preserve"> well — hovering a bar now shows all three without cluttering the chart.</w:t>
      </w:r>
    </w:p>
    <w:p w14:paraId="4557037D" w14:textId="77777777" w:rsidR="006D7CC8" w:rsidRDefault="00550485">
      <w:pPr>
        <w:pStyle w:val="Heading2"/>
        <w:spacing w:before="220" w:after="110"/>
      </w:pPr>
      <w:bookmarkStart w:id="20" w:name="_Toc234820686"/>
      <w:r>
        <w:rPr>
          <w:b/>
          <w:bCs/>
          <w:sz w:val="25"/>
          <w:szCs w:val="25"/>
        </w:rPr>
        <w:t>6.2 Visual 3.2 — At-Risk &amp; Dormant Accounts (table)</w:t>
      </w:r>
      <w:bookmarkEnd w:id="20"/>
    </w:p>
    <w:p w14:paraId="362DACB3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 xml:space="preserve">Empty canvas → </w:t>
      </w:r>
      <w:r>
        <w:rPr>
          <w:b/>
          <w:bCs/>
        </w:rPr>
        <w:t>Table</w:t>
      </w:r>
      <w:r>
        <w:t xml:space="preserve"> icon. Drag into the Columns well, in order: Customer Name, Segment, Last Order Date, Days Since Last Order, Total Sales, Account Status.</w:t>
      </w:r>
    </w:p>
    <w:p w14:paraId="11472426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>Position X 16, Y 400, W 560, H 304. Title: At-Risk &amp; Dormant Accounts.</w:t>
      </w:r>
    </w:p>
    <w:p w14:paraId="71428677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 xml:space="preserve">Filter to non-active accounts: Filters pane → 'Add data fields here' under Filters on this visual → drag </w:t>
      </w:r>
      <w:r>
        <w:rPr>
          <w:b/>
          <w:bCs/>
        </w:rPr>
        <w:t>Days Since Last Order</w:t>
      </w:r>
      <w:r>
        <w:t xml:space="preserve"> → Filter type: Advanced filtering → 'is greater than or equal to' 90 → Apply filter. (Filtering on the numeric measure is more reliable for beginners than text-filtering the Account Status measure.)</w:t>
      </w:r>
    </w:p>
    <w:p w14:paraId="202D7A12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 xml:space="preserve">Sort by lapsed revenue: click the </w:t>
      </w:r>
      <w:r>
        <w:rPr>
          <w:b/>
          <w:bCs/>
        </w:rPr>
        <w:t>Total Sales column header</w:t>
      </w:r>
      <w:r>
        <w:t xml:space="preserve"> in the visual until its arrow points down (descending) — biggest at-risk money first.</w:t>
      </w:r>
    </w:p>
    <w:p w14:paraId="0BB0BB51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 xml:space="preserve">Status pill coloring: in the Columns well right-click </w:t>
      </w:r>
      <w:r>
        <w:rPr>
          <w:b/>
          <w:bCs/>
        </w:rPr>
        <w:t>Account Status</w:t>
      </w:r>
      <w:r>
        <w:t xml:space="preserve"> → Conditional formatting → </w:t>
      </w:r>
      <w:r>
        <w:rPr>
          <w:b/>
          <w:bCs/>
        </w:rPr>
        <w:t>Background color</w:t>
      </w:r>
      <w:r>
        <w:t xml:space="preserve"> → Format style: Rules → based on field: </w:t>
      </w:r>
      <w:r>
        <w:rPr>
          <w:b/>
          <w:bCs/>
        </w:rPr>
        <w:t>Days Since Last Order</w:t>
      </w:r>
      <w:r>
        <w:t xml:space="preserve"> → Rule 1: If value &gt;= 90 and &lt; 180 then #C8860A · Rule 2: If value &gt;= 180 then #C0392B → OK. Repeat the same two rules under Conditional formatting → </w:t>
      </w:r>
      <w:r>
        <w:rPr>
          <w:b/>
          <w:bCs/>
        </w:rPr>
        <w:t>Font color</w:t>
      </w:r>
      <w:r>
        <w:t xml:space="preserve"> with white #FFFFFF for both rules, so the text stays readable.</w:t>
      </w:r>
    </w:p>
    <w:p w14:paraId="160EBD70" w14:textId="77777777" w:rsidR="006D7CC8" w:rsidRDefault="00550485">
      <w:pPr>
        <w:pStyle w:val="ListParagraph"/>
        <w:numPr>
          <w:ilvl w:val="0"/>
          <w:numId w:val="17"/>
        </w:numPr>
        <w:spacing w:after="60"/>
      </w:pPr>
      <w:r>
        <w:t>Style: Format → Visual → Style presets: Minimal; Values font size 9; Grid → Row padding 2.</w:t>
      </w:r>
    </w:p>
    <w:p w14:paraId="4E862F34" w14:textId="77777777" w:rsidR="006D7CC8" w:rsidRDefault="00550485">
      <w:pPr>
        <w:pStyle w:val="Heading2"/>
        <w:spacing w:before="220" w:after="110"/>
      </w:pPr>
      <w:bookmarkStart w:id="21" w:name="_Toc234820687"/>
      <w:r>
        <w:rPr>
          <w:b/>
          <w:bCs/>
          <w:sz w:val="25"/>
          <w:szCs w:val="25"/>
        </w:rPr>
        <w:t>6.3 Visual 3.3 — Discount vs Profit Diagnostic (scatter)</w:t>
      </w:r>
      <w:bookmarkEnd w:id="21"/>
    </w:p>
    <w:p w14:paraId="0CCDBC9A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 xml:space="preserve">Empty canvas → </w:t>
      </w:r>
      <w:r>
        <w:rPr>
          <w:b/>
          <w:bCs/>
        </w:rPr>
        <w:t>Scatter chart</w:t>
      </w:r>
      <w:r>
        <w:t>. Values well: DimProduct[Sub-Category]. X-axis: Avg Discount %. Y-axis: Total Profit. Size: Total Sales.</w:t>
      </w:r>
    </w:p>
    <w:p w14:paraId="4BC92A33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>Position X 592, Y 88, W 672, H 616. Title: Discount vs Profit Diagnostic.</w:t>
      </w:r>
    </w:p>
    <w:p w14:paraId="7F64C096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 xml:space="preserve">Quadrant lines: Format pane → Visual → Reference lines → </w:t>
      </w:r>
      <w:r>
        <w:rPr>
          <w:b/>
          <w:bCs/>
        </w:rPr>
        <w:t>X-Axis Constant Line</w:t>
      </w:r>
      <w:r>
        <w:t xml:space="preserve"> → + Add → Value 0.2 (that is 20% as a decimal) → Style Dashed, color #B3B0AD. Then </w:t>
      </w:r>
      <w:r>
        <w:rPr>
          <w:b/>
          <w:bCs/>
        </w:rPr>
        <w:t>Y-Axis Constant Line</w:t>
      </w:r>
      <w:r>
        <w:t xml:space="preserve"> → + Add → Value 0 → same styling.</w:t>
      </w:r>
    </w:p>
    <w:p w14:paraId="573D476E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 xml:space="preserve">Label the dots: Format → Visual → </w:t>
      </w:r>
      <w:r>
        <w:rPr>
          <w:b/>
          <w:bCs/>
        </w:rPr>
        <w:t>Category labels: On</w:t>
      </w:r>
      <w:r>
        <w:t>, font size 9. Marker transparency ~25% so overlapping bubbles stay readable (Markers → Shape/transparency).</w:t>
      </w:r>
    </w:p>
    <w:p w14:paraId="64EA3A6C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>Optional mockup-matching color: Markers → Color → fx → Rules on Total Profit — three tiers matching the mockup’s navy/amber/red dots (each Rules row is a bounded range, so give both bounds): value &lt; 0 → #C0392B (red, unprofitable); 0 &lt;= value &lt; 5000 → #C8860A (amber — thin margin, the yellow dots, e.g. Machines); value &gt;= 5000 → #1F3864 (navy, healthy), or leave navy as the default color. Tune the 5000 cutoff to your data, or split on Profit Margin % instead (&lt; 0 red, 0–5% amber, &gt;= 5% navy). Tables, Bookcases, and Binders tell their story in red.</w:t>
      </w:r>
    </w:p>
    <w:p w14:paraId="08D03DEB" w14:textId="77777777" w:rsidR="006D7CC8" w:rsidRDefault="00550485">
      <w:pPr>
        <w:pStyle w:val="ListParagraph"/>
        <w:numPr>
          <w:ilvl w:val="0"/>
          <w:numId w:val="18"/>
        </w:numPr>
        <w:spacing w:after="60"/>
      </w:pPr>
      <w:r>
        <w:t>Sanity-read: Tables should sit far right (~26% avg discount) and below the zero line (≈ –$17.7K profit) — the 'discounting destroys margin' quadrant. If everything hugs the left edge, Discount loaded as whole numbers (locale trap, document 15 §7 row 6).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D7CC8" w14:paraId="49AB4942" w14:textId="77777777">
        <w:tc>
          <w:tcPr>
            <w:tcW w:w="9800" w:type="dxa"/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E41D70" w14:textId="77777777" w:rsidR="006D7CC8" w:rsidRDefault="00550485">
            <w:pPr>
              <w:spacing w:after="60"/>
            </w:pPr>
            <w:r>
              <w:rPr>
                <w:b/>
                <w:bCs/>
                <w:color w:val="1F3864"/>
              </w:rPr>
              <w:lastRenderedPageBreak/>
              <w:t>Page 3 done — compare against mockup tab 3</w:t>
            </w:r>
          </w:p>
          <w:p w14:paraId="454A2CF3" w14:textId="77777777" w:rsidR="006D7CC8" w:rsidRDefault="00550485">
            <w:pPr>
              <w:spacing w:after="40"/>
            </w:pPr>
            <w:r>
              <w:t>Ten labeled bars · a table whose Status cells glow amber/red on white text · a scatter with dashed crosshairs at 20% / $0 and negative sub-categories in the lower-right. The at-risk table and Top-10 chart intentionally cross-filter each other OFF next (Section 8).</w:t>
            </w:r>
          </w:p>
        </w:tc>
      </w:tr>
    </w:tbl>
    <w:p w14:paraId="4B2640CB" w14:textId="77777777" w:rsidR="006D7CC8" w:rsidRDefault="006D7CC8">
      <w:pPr>
        <w:spacing w:after="120"/>
      </w:pPr>
    </w:p>
    <w:p w14:paraId="15908118" w14:textId="77777777" w:rsidR="006D7CC8" w:rsidRDefault="00550485">
      <w:pPr>
        <w:pStyle w:val="Heading1"/>
        <w:spacing w:before="300" w:after="140"/>
      </w:pPr>
      <w:bookmarkStart w:id="22" w:name="_Toc234820688"/>
      <w:r>
        <w:rPr>
          <w:b/>
          <w:bCs/>
          <w:color w:val="1F3864"/>
          <w:sz w:val="30"/>
          <w:szCs w:val="30"/>
        </w:rPr>
        <w:t>7. Spec-Only Visuals (in Document 01, Not Drawn in the Mockup)</w:t>
      </w:r>
      <w:bookmarkEnd w:id="22"/>
    </w:p>
    <w:p w14:paraId="63B524EC" w14:textId="77777777" w:rsidR="006D7CC8" w:rsidRDefault="00550485">
      <w:pPr>
        <w:pStyle w:val="Heading2"/>
        <w:spacing w:before="220" w:after="110"/>
      </w:pPr>
      <w:bookmarkStart w:id="23" w:name="_Toc234820689"/>
      <w:r>
        <w:rPr>
          <w:b/>
          <w:bCs/>
          <w:sz w:val="25"/>
          <w:szCs w:val="25"/>
        </w:rPr>
        <w:t>7.1 Visual 1.7 — Category Breakdown (stacked bar, Page 1 optional)</w:t>
      </w:r>
      <w:bookmarkEnd w:id="23"/>
    </w:p>
    <w:p w14:paraId="37565C35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Stacked bar chart</w:t>
      </w:r>
      <w:r>
        <w:t xml:space="preserve"> → Y-axis: DimProduct[Category] · X-axis: Total Sales · Legend: Sub-Category. Enable drill: turn on the drill-down arrow (↓) in the visual header, with Category then Sub-Category both in the Y-axis well. Add Profit Margin % to Tooltips. Fit it by shrinking 1.5 to H 360 and placing 1.7 at X 16, Y 590, W 744, H 114.</w:t>
      </w:r>
    </w:p>
    <w:p w14:paraId="071C3B5E" w14:textId="77777777" w:rsidR="006D7CC8" w:rsidRDefault="00550485">
      <w:pPr>
        <w:pStyle w:val="Heading2"/>
        <w:spacing w:before="220" w:after="110"/>
      </w:pPr>
      <w:bookmarkStart w:id="24" w:name="_Toc234820690"/>
      <w:r>
        <w:rPr>
          <w:b/>
          <w:bCs/>
          <w:sz w:val="25"/>
          <w:szCs w:val="25"/>
        </w:rPr>
        <w:t>7.2 Visual 2.2 — Trend Smoothing (Page 2 optional)</w:t>
      </w:r>
      <w:bookmarkEnd w:id="24"/>
    </w:p>
    <w:p w14:paraId="611E3E04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Duplicate 2.1 (Ctrl+C/V) → Format → Visual → turn Forecast Off → add Sales 3M Rolling Avg as a second Y-axis series → Lines: Total Sales transparency 70% width 2; rolling average solid #1F3864 width 3. Place by splitting the hero row: 2.1 W 830, 2.2 X 862 Y 88 W 402 H 360.</w:t>
      </w:r>
    </w:p>
    <w:p w14:paraId="603E1A7C" w14:textId="77777777" w:rsidR="006D7CC8" w:rsidRDefault="00550485">
      <w:pPr>
        <w:pStyle w:val="Heading2"/>
        <w:spacing w:before="220" w:after="110"/>
      </w:pPr>
      <w:bookmarkStart w:id="25" w:name="_Toc234820691"/>
      <w:r>
        <w:rPr>
          <w:b/>
          <w:bCs/>
          <w:sz w:val="25"/>
          <w:szCs w:val="25"/>
        </w:rPr>
        <w:t>7.3 Visual 3.4 — Revenue Decomposition (Page 3 stretch)</w:t>
      </w:r>
      <w:bookmarkEnd w:id="25"/>
    </w:p>
    <w:p w14:paraId="498AEAA0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Decomposition tree</w:t>
      </w:r>
      <w:r>
        <w:t xml:space="preserve"> icon → Analyze: Total Sales → Explain by: Region, Segment, Category, Sub-Category (drag all four). Click the + at the root to expand interactively. Steal height from the scatter (3.3 H 380; tree X 592 Y 484 W 672 H 220).</w:t>
      </w:r>
    </w:p>
    <w:p w14:paraId="7157E552" w14:textId="77777777" w:rsidR="006D7CC8" w:rsidRDefault="006D7CC8">
      <w:pPr>
        <w:spacing w:after="120"/>
      </w:pPr>
    </w:p>
    <w:p w14:paraId="54057BE4" w14:textId="77777777" w:rsidR="006D7CC8" w:rsidRDefault="00550485">
      <w:pPr>
        <w:pStyle w:val="Heading1"/>
        <w:spacing w:before="300" w:after="140"/>
      </w:pPr>
      <w:bookmarkStart w:id="26" w:name="_Toc234820692"/>
      <w:r>
        <w:rPr>
          <w:b/>
          <w:bCs/>
          <w:color w:val="1F3864"/>
          <w:sz w:val="30"/>
          <w:szCs w:val="30"/>
        </w:rPr>
        <w:t>8. After the Visuals: Wiring Checklist</w:t>
      </w:r>
      <w:bookmarkEnd w:id="26"/>
    </w:p>
    <w:p w14:paraId="716EB277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 xml:space="preserve">Interactions: Page 1 visual 1.6 → Filter mode toward 1.5/1.8 (done in §4.4). Page 3: select 3.1 → Edit interactions → click the </w:t>
      </w:r>
      <w:r>
        <w:rPr>
          <w:b/>
          <w:bCs/>
        </w:rPr>
        <w:t>None</w:t>
      </w:r>
      <w:r>
        <w:t xml:space="preserve"> (no-entry) icon on 3.2, then select 3.2 → None toward 3.1 — the two lists stay independent per the spec.</w:t>
      </w:r>
    </w:p>
    <w:p w14:paraId="3EC17ADD" w14:textId="77777777" w:rsidR="005A00D0" w:rsidRDefault="00000000">
      <w:pPr>
        <w:pStyle w:val="ListParagraph"/>
        <w:numPr>
          <w:ilvl w:val="0"/>
          <w:numId w:val="2"/>
        </w:numPr>
        <w:spacing w:after="60"/>
      </w:pPr>
      <w:r>
        <w:t>Drillthrough</w:t>
      </w:r>
      <w:r>
        <w:t xml:space="preserve"> (Page 1 → Page 3): on Page 3 with no visual selected, open </w:t>
      </w:r>
      <w:r>
        <w:rPr>
          <w:b/>
          <w:bCs/>
        </w:rPr>
        <w:t>Format → Page information → Page type → Drillthrough</w:t>
      </w:r>
      <w:r>
        <w:t xml:space="preserve">, then set Keep all filters On, Drill through from: </w:t>
      </w:r>
      <w:r>
        <w:rPr>
          <w:b/>
          <w:bCs/>
        </w:rPr>
        <w:t>DimGeography[Region]</w:t>
      </w:r>
      <w:r>
        <w:t>, Drill through when: Used as category. The Drill-through-from selector only appears after Page type is set to Drillthrough; Power BI then adds a Back button automatically. On Page 1, right-click a Region bar (1.6) or Region row (1.8) → Drill through → Account &amp; Rep Actions.</w:t>
      </w:r>
    </w:p>
    <w:p w14:paraId="1F933F09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Sync the header slicers across pages, add the Reset bookmark button and the tooltip page — document 15 §6.1 covers each in four steps.</w:t>
      </w:r>
    </w:p>
    <w:p w14:paraId="6EE6126F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Compare every page against document 12 side by side at 100% zoom. The build is 'done' when a stranger cannot tell the mockup tab from a screenshot of the real page at a glance.</w:t>
      </w:r>
    </w:p>
    <w:p w14:paraId="0B5E282F" w14:textId="77777777" w:rsidR="006D7CC8" w:rsidRDefault="00550485">
      <w:pPr>
        <w:pStyle w:val="ListParagraph"/>
        <w:numPr>
          <w:ilvl w:val="0"/>
          <w:numId w:val="2"/>
        </w:numPr>
        <w:spacing w:after="60"/>
      </w:pPr>
      <w:r>
        <w:t>Save (the .pbip in the clone), commit 'Block 3: three report pages per doc 13', push — then Block 4 (document 15 §6).</w:t>
      </w:r>
    </w:p>
    <w:sectPr w:rsidR="006D7C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44D"/>
    <w:multiLevelType w:val="hybridMultilevel"/>
    <w:tmpl w:val="D0167C62"/>
    <w:lvl w:ilvl="0" w:tplc="32B6CB5C">
      <w:start w:val="1"/>
      <w:numFmt w:val="decimal"/>
      <w:lvlText w:val="%1."/>
      <w:lvlJc w:val="left"/>
      <w:pPr>
        <w:ind w:left="400" w:hanging="260"/>
      </w:pPr>
    </w:lvl>
    <w:lvl w:ilvl="1" w:tplc="03345FCE">
      <w:numFmt w:val="decimal"/>
      <w:lvlText w:val=""/>
      <w:lvlJc w:val="left"/>
    </w:lvl>
    <w:lvl w:ilvl="2" w:tplc="C99CF3B8">
      <w:numFmt w:val="decimal"/>
      <w:lvlText w:val=""/>
      <w:lvlJc w:val="left"/>
    </w:lvl>
    <w:lvl w:ilvl="3" w:tplc="7D5A505A">
      <w:numFmt w:val="decimal"/>
      <w:lvlText w:val=""/>
      <w:lvlJc w:val="left"/>
    </w:lvl>
    <w:lvl w:ilvl="4" w:tplc="E6A25A70">
      <w:numFmt w:val="decimal"/>
      <w:lvlText w:val=""/>
      <w:lvlJc w:val="left"/>
    </w:lvl>
    <w:lvl w:ilvl="5" w:tplc="153AC7A4">
      <w:numFmt w:val="decimal"/>
      <w:lvlText w:val=""/>
      <w:lvlJc w:val="left"/>
    </w:lvl>
    <w:lvl w:ilvl="6" w:tplc="6468563A">
      <w:numFmt w:val="decimal"/>
      <w:lvlText w:val=""/>
      <w:lvlJc w:val="left"/>
    </w:lvl>
    <w:lvl w:ilvl="7" w:tplc="53D22EC4">
      <w:numFmt w:val="decimal"/>
      <w:lvlText w:val=""/>
      <w:lvlJc w:val="left"/>
    </w:lvl>
    <w:lvl w:ilvl="8" w:tplc="6C9E60DC">
      <w:numFmt w:val="decimal"/>
      <w:lvlText w:val=""/>
      <w:lvlJc w:val="left"/>
    </w:lvl>
  </w:abstractNum>
  <w:abstractNum w:abstractNumId="1" w15:restartNumberingAfterBreak="0">
    <w:nsid w:val="0CEB5671"/>
    <w:multiLevelType w:val="hybridMultilevel"/>
    <w:tmpl w:val="FC76CF5C"/>
    <w:lvl w:ilvl="0" w:tplc="9BCC8236">
      <w:start w:val="1"/>
      <w:numFmt w:val="bullet"/>
      <w:lvlText w:val="●"/>
      <w:lvlJc w:val="left"/>
      <w:pPr>
        <w:ind w:left="720" w:hanging="360"/>
      </w:pPr>
    </w:lvl>
    <w:lvl w:ilvl="1" w:tplc="CE366A50">
      <w:start w:val="1"/>
      <w:numFmt w:val="bullet"/>
      <w:lvlText w:val="○"/>
      <w:lvlJc w:val="left"/>
      <w:pPr>
        <w:ind w:left="1440" w:hanging="360"/>
      </w:pPr>
    </w:lvl>
    <w:lvl w:ilvl="2" w:tplc="E4A65020">
      <w:start w:val="1"/>
      <w:numFmt w:val="bullet"/>
      <w:lvlText w:val="■"/>
      <w:lvlJc w:val="left"/>
      <w:pPr>
        <w:ind w:left="2160" w:hanging="360"/>
      </w:pPr>
    </w:lvl>
    <w:lvl w:ilvl="3" w:tplc="495A604E">
      <w:start w:val="1"/>
      <w:numFmt w:val="bullet"/>
      <w:lvlText w:val="●"/>
      <w:lvlJc w:val="left"/>
      <w:pPr>
        <w:ind w:left="2880" w:hanging="360"/>
      </w:pPr>
    </w:lvl>
    <w:lvl w:ilvl="4" w:tplc="1BF857B4">
      <w:start w:val="1"/>
      <w:numFmt w:val="bullet"/>
      <w:lvlText w:val="○"/>
      <w:lvlJc w:val="left"/>
      <w:pPr>
        <w:ind w:left="3600" w:hanging="360"/>
      </w:pPr>
    </w:lvl>
    <w:lvl w:ilvl="5" w:tplc="04663828">
      <w:start w:val="1"/>
      <w:numFmt w:val="bullet"/>
      <w:lvlText w:val="■"/>
      <w:lvlJc w:val="left"/>
      <w:pPr>
        <w:ind w:left="4320" w:hanging="360"/>
      </w:pPr>
    </w:lvl>
    <w:lvl w:ilvl="6" w:tplc="D8108AD8">
      <w:start w:val="1"/>
      <w:numFmt w:val="bullet"/>
      <w:lvlText w:val="●"/>
      <w:lvlJc w:val="left"/>
      <w:pPr>
        <w:ind w:left="5040" w:hanging="360"/>
      </w:pPr>
    </w:lvl>
    <w:lvl w:ilvl="7" w:tplc="19BA5550">
      <w:start w:val="1"/>
      <w:numFmt w:val="bullet"/>
      <w:lvlText w:val="●"/>
      <w:lvlJc w:val="left"/>
      <w:pPr>
        <w:ind w:left="5760" w:hanging="360"/>
      </w:pPr>
    </w:lvl>
    <w:lvl w:ilvl="8" w:tplc="53264F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327DED"/>
    <w:multiLevelType w:val="hybridMultilevel"/>
    <w:tmpl w:val="8D94C9F0"/>
    <w:lvl w:ilvl="0" w:tplc="A84CFD16">
      <w:start w:val="1"/>
      <w:numFmt w:val="decimal"/>
      <w:lvlText w:val="%1."/>
      <w:lvlJc w:val="left"/>
      <w:pPr>
        <w:ind w:left="400" w:hanging="260"/>
      </w:pPr>
    </w:lvl>
    <w:lvl w:ilvl="1" w:tplc="DFEE2FC4">
      <w:numFmt w:val="decimal"/>
      <w:lvlText w:val=""/>
      <w:lvlJc w:val="left"/>
    </w:lvl>
    <w:lvl w:ilvl="2" w:tplc="CFB4CB78">
      <w:numFmt w:val="decimal"/>
      <w:lvlText w:val=""/>
      <w:lvlJc w:val="left"/>
    </w:lvl>
    <w:lvl w:ilvl="3" w:tplc="682257D0">
      <w:numFmt w:val="decimal"/>
      <w:lvlText w:val=""/>
      <w:lvlJc w:val="left"/>
    </w:lvl>
    <w:lvl w:ilvl="4" w:tplc="19866C32">
      <w:numFmt w:val="decimal"/>
      <w:lvlText w:val=""/>
      <w:lvlJc w:val="left"/>
    </w:lvl>
    <w:lvl w:ilvl="5" w:tplc="17267CF2">
      <w:numFmt w:val="decimal"/>
      <w:lvlText w:val=""/>
      <w:lvlJc w:val="left"/>
    </w:lvl>
    <w:lvl w:ilvl="6" w:tplc="C1BCDD62">
      <w:numFmt w:val="decimal"/>
      <w:lvlText w:val=""/>
      <w:lvlJc w:val="left"/>
    </w:lvl>
    <w:lvl w:ilvl="7" w:tplc="A10854A6">
      <w:numFmt w:val="decimal"/>
      <w:lvlText w:val=""/>
      <w:lvlJc w:val="left"/>
    </w:lvl>
    <w:lvl w:ilvl="8" w:tplc="F34A1F6E">
      <w:numFmt w:val="decimal"/>
      <w:lvlText w:val=""/>
      <w:lvlJc w:val="left"/>
    </w:lvl>
  </w:abstractNum>
  <w:abstractNum w:abstractNumId="3" w15:restartNumberingAfterBreak="0">
    <w:nsid w:val="1B7B0250"/>
    <w:multiLevelType w:val="hybridMultilevel"/>
    <w:tmpl w:val="ACF23CCA"/>
    <w:lvl w:ilvl="0" w:tplc="68DAEF24">
      <w:start w:val="1"/>
      <w:numFmt w:val="decimal"/>
      <w:lvlText w:val="%1."/>
      <w:lvlJc w:val="left"/>
      <w:pPr>
        <w:ind w:left="400" w:hanging="260"/>
      </w:pPr>
    </w:lvl>
    <w:lvl w:ilvl="1" w:tplc="D31A3AF2">
      <w:numFmt w:val="decimal"/>
      <w:lvlText w:val=""/>
      <w:lvlJc w:val="left"/>
    </w:lvl>
    <w:lvl w:ilvl="2" w:tplc="9EFA6908">
      <w:numFmt w:val="decimal"/>
      <w:lvlText w:val=""/>
      <w:lvlJc w:val="left"/>
    </w:lvl>
    <w:lvl w:ilvl="3" w:tplc="B8FABC9A">
      <w:numFmt w:val="decimal"/>
      <w:lvlText w:val=""/>
      <w:lvlJc w:val="left"/>
    </w:lvl>
    <w:lvl w:ilvl="4" w:tplc="E39A3040">
      <w:numFmt w:val="decimal"/>
      <w:lvlText w:val=""/>
      <w:lvlJc w:val="left"/>
    </w:lvl>
    <w:lvl w:ilvl="5" w:tplc="661013C6">
      <w:numFmt w:val="decimal"/>
      <w:lvlText w:val=""/>
      <w:lvlJc w:val="left"/>
    </w:lvl>
    <w:lvl w:ilvl="6" w:tplc="1B1C4328">
      <w:numFmt w:val="decimal"/>
      <w:lvlText w:val=""/>
      <w:lvlJc w:val="left"/>
    </w:lvl>
    <w:lvl w:ilvl="7" w:tplc="C82260EE">
      <w:numFmt w:val="decimal"/>
      <w:lvlText w:val=""/>
      <w:lvlJc w:val="left"/>
    </w:lvl>
    <w:lvl w:ilvl="8" w:tplc="EF588D18">
      <w:numFmt w:val="decimal"/>
      <w:lvlText w:val=""/>
      <w:lvlJc w:val="left"/>
    </w:lvl>
  </w:abstractNum>
  <w:abstractNum w:abstractNumId="4" w15:restartNumberingAfterBreak="0">
    <w:nsid w:val="1FF362C2"/>
    <w:multiLevelType w:val="hybridMultilevel"/>
    <w:tmpl w:val="D4AE9720"/>
    <w:lvl w:ilvl="0" w:tplc="5058A0E4">
      <w:start w:val="1"/>
      <w:numFmt w:val="decimal"/>
      <w:lvlText w:val="%1."/>
      <w:lvlJc w:val="left"/>
      <w:pPr>
        <w:ind w:left="400" w:hanging="260"/>
      </w:pPr>
    </w:lvl>
    <w:lvl w:ilvl="1" w:tplc="CF2A0E50">
      <w:numFmt w:val="decimal"/>
      <w:lvlText w:val=""/>
      <w:lvlJc w:val="left"/>
    </w:lvl>
    <w:lvl w:ilvl="2" w:tplc="76FAC252">
      <w:numFmt w:val="decimal"/>
      <w:lvlText w:val=""/>
      <w:lvlJc w:val="left"/>
    </w:lvl>
    <w:lvl w:ilvl="3" w:tplc="46FEF53C">
      <w:numFmt w:val="decimal"/>
      <w:lvlText w:val=""/>
      <w:lvlJc w:val="left"/>
    </w:lvl>
    <w:lvl w:ilvl="4" w:tplc="C908ACB6">
      <w:numFmt w:val="decimal"/>
      <w:lvlText w:val=""/>
      <w:lvlJc w:val="left"/>
    </w:lvl>
    <w:lvl w:ilvl="5" w:tplc="43684F9C">
      <w:numFmt w:val="decimal"/>
      <w:lvlText w:val=""/>
      <w:lvlJc w:val="left"/>
    </w:lvl>
    <w:lvl w:ilvl="6" w:tplc="8384F43A">
      <w:numFmt w:val="decimal"/>
      <w:lvlText w:val=""/>
      <w:lvlJc w:val="left"/>
    </w:lvl>
    <w:lvl w:ilvl="7" w:tplc="FF6C9BD6">
      <w:numFmt w:val="decimal"/>
      <w:lvlText w:val=""/>
      <w:lvlJc w:val="left"/>
    </w:lvl>
    <w:lvl w:ilvl="8" w:tplc="EBFE113E">
      <w:numFmt w:val="decimal"/>
      <w:lvlText w:val=""/>
      <w:lvlJc w:val="left"/>
    </w:lvl>
  </w:abstractNum>
  <w:abstractNum w:abstractNumId="5" w15:restartNumberingAfterBreak="0">
    <w:nsid w:val="31F837C5"/>
    <w:multiLevelType w:val="hybridMultilevel"/>
    <w:tmpl w:val="7E667330"/>
    <w:lvl w:ilvl="0" w:tplc="7A2C9102">
      <w:start w:val="1"/>
      <w:numFmt w:val="decimal"/>
      <w:lvlText w:val="%1."/>
      <w:lvlJc w:val="left"/>
      <w:pPr>
        <w:ind w:left="400" w:hanging="260"/>
      </w:pPr>
    </w:lvl>
    <w:lvl w:ilvl="1" w:tplc="799E3B96">
      <w:numFmt w:val="decimal"/>
      <w:lvlText w:val=""/>
      <w:lvlJc w:val="left"/>
    </w:lvl>
    <w:lvl w:ilvl="2" w:tplc="3B1049EC">
      <w:numFmt w:val="decimal"/>
      <w:lvlText w:val=""/>
      <w:lvlJc w:val="left"/>
    </w:lvl>
    <w:lvl w:ilvl="3" w:tplc="33603248">
      <w:numFmt w:val="decimal"/>
      <w:lvlText w:val=""/>
      <w:lvlJc w:val="left"/>
    </w:lvl>
    <w:lvl w:ilvl="4" w:tplc="503A3A6C">
      <w:numFmt w:val="decimal"/>
      <w:lvlText w:val=""/>
      <w:lvlJc w:val="left"/>
    </w:lvl>
    <w:lvl w:ilvl="5" w:tplc="C5061692">
      <w:numFmt w:val="decimal"/>
      <w:lvlText w:val=""/>
      <w:lvlJc w:val="left"/>
    </w:lvl>
    <w:lvl w:ilvl="6" w:tplc="5DC613C0">
      <w:numFmt w:val="decimal"/>
      <w:lvlText w:val=""/>
      <w:lvlJc w:val="left"/>
    </w:lvl>
    <w:lvl w:ilvl="7" w:tplc="03BCC6A2">
      <w:numFmt w:val="decimal"/>
      <w:lvlText w:val=""/>
      <w:lvlJc w:val="left"/>
    </w:lvl>
    <w:lvl w:ilvl="8" w:tplc="EA601BFC">
      <w:numFmt w:val="decimal"/>
      <w:lvlText w:val=""/>
      <w:lvlJc w:val="left"/>
    </w:lvl>
  </w:abstractNum>
  <w:abstractNum w:abstractNumId="6" w15:restartNumberingAfterBreak="0">
    <w:nsid w:val="35F3659B"/>
    <w:multiLevelType w:val="hybridMultilevel"/>
    <w:tmpl w:val="745EA8C4"/>
    <w:lvl w:ilvl="0" w:tplc="D1FAD96C">
      <w:start w:val="1"/>
      <w:numFmt w:val="decimal"/>
      <w:lvlText w:val="%1."/>
      <w:lvlJc w:val="left"/>
      <w:pPr>
        <w:ind w:left="400" w:hanging="260"/>
      </w:pPr>
    </w:lvl>
    <w:lvl w:ilvl="1" w:tplc="A5A66BD0">
      <w:numFmt w:val="decimal"/>
      <w:lvlText w:val=""/>
      <w:lvlJc w:val="left"/>
    </w:lvl>
    <w:lvl w:ilvl="2" w:tplc="76FAF642">
      <w:numFmt w:val="decimal"/>
      <w:lvlText w:val=""/>
      <w:lvlJc w:val="left"/>
    </w:lvl>
    <w:lvl w:ilvl="3" w:tplc="D46CCFD0">
      <w:numFmt w:val="decimal"/>
      <w:lvlText w:val=""/>
      <w:lvlJc w:val="left"/>
    </w:lvl>
    <w:lvl w:ilvl="4" w:tplc="DB141C74">
      <w:numFmt w:val="decimal"/>
      <w:lvlText w:val=""/>
      <w:lvlJc w:val="left"/>
    </w:lvl>
    <w:lvl w:ilvl="5" w:tplc="06425DA0">
      <w:numFmt w:val="decimal"/>
      <w:lvlText w:val=""/>
      <w:lvlJc w:val="left"/>
    </w:lvl>
    <w:lvl w:ilvl="6" w:tplc="3048B976">
      <w:numFmt w:val="decimal"/>
      <w:lvlText w:val=""/>
      <w:lvlJc w:val="left"/>
    </w:lvl>
    <w:lvl w:ilvl="7" w:tplc="64266B50">
      <w:numFmt w:val="decimal"/>
      <w:lvlText w:val=""/>
      <w:lvlJc w:val="left"/>
    </w:lvl>
    <w:lvl w:ilvl="8" w:tplc="663A5F34">
      <w:numFmt w:val="decimal"/>
      <w:lvlText w:val=""/>
      <w:lvlJc w:val="left"/>
    </w:lvl>
  </w:abstractNum>
  <w:abstractNum w:abstractNumId="7" w15:restartNumberingAfterBreak="0">
    <w:nsid w:val="36AA500C"/>
    <w:multiLevelType w:val="hybridMultilevel"/>
    <w:tmpl w:val="50369EB2"/>
    <w:lvl w:ilvl="0" w:tplc="96E67888">
      <w:start w:val="1"/>
      <w:numFmt w:val="decimal"/>
      <w:lvlText w:val="%1."/>
      <w:lvlJc w:val="left"/>
      <w:pPr>
        <w:ind w:left="400" w:hanging="260"/>
      </w:pPr>
    </w:lvl>
    <w:lvl w:ilvl="1" w:tplc="824E69CE">
      <w:numFmt w:val="decimal"/>
      <w:lvlText w:val=""/>
      <w:lvlJc w:val="left"/>
    </w:lvl>
    <w:lvl w:ilvl="2" w:tplc="5F7450B4">
      <w:numFmt w:val="decimal"/>
      <w:lvlText w:val=""/>
      <w:lvlJc w:val="left"/>
    </w:lvl>
    <w:lvl w:ilvl="3" w:tplc="6A1E909A">
      <w:numFmt w:val="decimal"/>
      <w:lvlText w:val=""/>
      <w:lvlJc w:val="left"/>
    </w:lvl>
    <w:lvl w:ilvl="4" w:tplc="CF1CF98A">
      <w:numFmt w:val="decimal"/>
      <w:lvlText w:val=""/>
      <w:lvlJc w:val="left"/>
    </w:lvl>
    <w:lvl w:ilvl="5" w:tplc="C52CC4BE">
      <w:numFmt w:val="decimal"/>
      <w:lvlText w:val=""/>
      <w:lvlJc w:val="left"/>
    </w:lvl>
    <w:lvl w:ilvl="6" w:tplc="5DE45FA2">
      <w:numFmt w:val="decimal"/>
      <w:lvlText w:val=""/>
      <w:lvlJc w:val="left"/>
    </w:lvl>
    <w:lvl w:ilvl="7" w:tplc="5F06FDD0">
      <w:numFmt w:val="decimal"/>
      <w:lvlText w:val=""/>
      <w:lvlJc w:val="left"/>
    </w:lvl>
    <w:lvl w:ilvl="8" w:tplc="CEF05736">
      <w:numFmt w:val="decimal"/>
      <w:lvlText w:val=""/>
      <w:lvlJc w:val="left"/>
    </w:lvl>
  </w:abstractNum>
  <w:abstractNum w:abstractNumId="8" w15:restartNumberingAfterBreak="0">
    <w:nsid w:val="37B37A81"/>
    <w:multiLevelType w:val="hybridMultilevel"/>
    <w:tmpl w:val="143C9A5C"/>
    <w:lvl w:ilvl="0" w:tplc="37BA6A4A">
      <w:start w:val="1"/>
      <w:numFmt w:val="decimal"/>
      <w:lvlText w:val="%1."/>
      <w:lvlJc w:val="left"/>
      <w:pPr>
        <w:ind w:left="400" w:hanging="260"/>
      </w:pPr>
    </w:lvl>
    <w:lvl w:ilvl="1" w:tplc="162CE866">
      <w:numFmt w:val="decimal"/>
      <w:lvlText w:val=""/>
      <w:lvlJc w:val="left"/>
    </w:lvl>
    <w:lvl w:ilvl="2" w:tplc="407C4E62">
      <w:numFmt w:val="decimal"/>
      <w:lvlText w:val=""/>
      <w:lvlJc w:val="left"/>
    </w:lvl>
    <w:lvl w:ilvl="3" w:tplc="89D8C7FC">
      <w:numFmt w:val="decimal"/>
      <w:lvlText w:val=""/>
      <w:lvlJc w:val="left"/>
    </w:lvl>
    <w:lvl w:ilvl="4" w:tplc="85C42BD2">
      <w:numFmt w:val="decimal"/>
      <w:lvlText w:val=""/>
      <w:lvlJc w:val="left"/>
    </w:lvl>
    <w:lvl w:ilvl="5" w:tplc="8728AB92">
      <w:numFmt w:val="decimal"/>
      <w:lvlText w:val=""/>
      <w:lvlJc w:val="left"/>
    </w:lvl>
    <w:lvl w:ilvl="6" w:tplc="738ADB96">
      <w:numFmt w:val="decimal"/>
      <w:lvlText w:val=""/>
      <w:lvlJc w:val="left"/>
    </w:lvl>
    <w:lvl w:ilvl="7" w:tplc="A38C9C12">
      <w:numFmt w:val="decimal"/>
      <w:lvlText w:val=""/>
      <w:lvlJc w:val="left"/>
    </w:lvl>
    <w:lvl w:ilvl="8" w:tplc="EF52ADBA">
      <w:numFmt w:val="decimal"/>
      <w:lvlText w:val=""/>
      <w:lvlJc w:val="left"/>
    </w:lvl>
  </w:abstractNum>
  <w:abstractNum w:abstractNumId="9" w15:restartNumberingAfterBreak="0">
    <w:nsid w:val="3A2320C9"/>
    <w:multiLevelType w:val="hybridMultilevel"/>
    <w:tmpl w:val="D7D8F2B4"/>
    <w:lvl w:ilvl="0" w:tplc="AD78821A">
      <w:start w:val="1"/>
      <w:numFmt w:val="decimal"/>
      <w:lvlText w:val="%1."/>
      <w:lvlJc w:val="left"/>
      <w:pPr>
        <w:ind w:left="400" w:hanging="260"/>
      </w:pPr>
    </w:lvl>
    <w:lvl w:ilvl="1" w:tplc="A9E8C726">
      <w:numFmt w:val="decimal"/>
      <w:lvlText w:val=""/>
      <w:lvlJc w:val="left"/>
    </w:lvl>
    <w:lvl w:ilvl="2" w:tplc="9AF073E4">
      <w:numFmt w:val="decimal"/>
      <w:lvlText w:val=""/>
      <w:lvlJc w:val="left"/>
    </w:lvl>
    <w:lvl w:ilvl="3" w:tplc="4CD4F56E">
      <w:numFmt w:val="decimal"/>
      <w:lvlText w:val=""/>
      <w:lvlJc w:val="left"/>
    </w:lvl>
    <w:lvl w:ilvl="4" w:tplc="2564E2C0">
      <w:numFmt w:val="decimal"/>
      <w:lvlText w:val=""/>
      <w:lvlJc w:val="left"/>
    </w:lvl>
    <w:lvl w:ilvl="5" w:tplc="907A2796">
      <w:numFmt w:val="decimal"/>
      <w:lvlText w:val=""/>
      <w:lvlJc w:val="left"/>
    </w:lvl>
    <w:lvl w:ilvl="6" w:tplc="02BA1864">
      <w:numFmt w:val="decimal"/>
      <w:lvlText w:val=""/>
      <w:lvlJc w:val="left"/>
    </w:lvl>
    <w:lvl w:ilvl="7" w:tplc="3E2800D2">
      <w:numFmt w:val="decimal"/>
      <w:lvlText w:val=""/>
      <w:lvlJc w:val="left"/>
    </w:lvl>
    <w:lvl w:ilvl="8" w:tplc="F830ECB8">
      <w:numFmt w:val="decimal"/>
      <w:lvlText w:val=""/>
      <w:lvlJc w:val="left"/>
    </w:lvl>
  </w:abstractNum>
  <w:abstractNum w:abstractNumId="10" w15:restartNumberingAfterBreak="0">
    <w:nsid w:val="4FFA77A0"/>
    <w:multiLevelType w:val="hybridMultilevel"/>
    <w:tmpl w:val="0EC63CD2"/>
    <w:lvl w:ilvl="0" w:tplc="A8404402">
      <w:start w:val="1"/>
      <w:numFmt w:val="decimal"/>
      <w:lvlText w:val="%1."/>
      <w:lvlJc w:val="left"/>
      <w:pPr>
        <w:ind w:left="400" w:hanging="260"/>
      </w:pPr>
    </w:lvl>
    <w:lvl w:ilvl="1" w:tplc="55FAD412">
      <w:numFmt w:val="decimal"/>
      <w:lvlText w:val=""/>
      <w:lvlJc w:val="left"/>
    </w:lvl>
    <w:lvl w:ilvl="2" w:tplc="424A7E8A">
      <w:numFmt w:val="decimal"/>
      <w:lvlText w:val=""/>
      <w:lvlJc w:val="left"/>
    </w:lvl>
    <w:lvl w:ilvl="3" w:tplc="DC345B28">
      <w:numFmt w:val="decimal"/>
      <w:lvlText w:val=""/>
      <w:lvlJc w:val="left"/>
    </w:lvl>
    <w:lvl w:ilvl="4" w:tplc="80828FF8">
      <w:numFmt w:val="decimal"/>
      <w:lvlText w:val=""/>
      <w:lvlJc w:val="left"/>
    </w:lvl>
    <w:lvl w:ilvl="5" w:tplc="B5422D84">
      <w:numFmt w:val="decimal"/>
      <w:lvlText w:val=""/>
      <w:lvlJc w:val="left"/>
    </w:lvl>
    <w:lvl w:ilvl="6" w:tplc="82685734">
      <w:numFmt w:val="decimal"/>
      <w:lvlText w:val=""/>
      <w:lvlJc w:val="left"/>
    </w:lvl>
    <w:lvl w:ilvl="7" w:tplc="C13C8B90">
      <w:numFmt w:val="decimal"/>
      <w:lvlText w:val=""/>
      <w:lvlJc w:val="left"/>
    </w:lvl>
    <w:lvl w:ilvl="8" w:tplc="BA72394A">
      <w:numFmt w:val="decimal"/>
      <w:lvlText w:val=""/>
      <w:lvlJc w:val="left"/>
    </w:lvl>
  </w:abstractNum>
  <w:abstractNum w:abstractNumId="11" w15:restartNumberingAfterBreak="0">
    <w:nsid w:val="66813392"/>
    <w:multiLevelType w:val="hybridMultilevel"/>
    <w:tmpl w:val="309AF47C"/>
    <w:lvl w:ilvl="0" w:tplc="ED3CBCA0">
      <w:start w:val="1"/>
      <w:numFmt w:val="decimal"/>
      <w:lvlText w:val="%1."/>
      <w:lvlJc w:val="left"/>
      <w:pPr>
        <w:ind w:left="400" w:hanging="260"/>
      </w:pPr>
    </w:lvl>
    <w:lvl w:ilvl="1" w:tplc="F02A14C8">
      <w:numFmt w:val="decimal"/>
      <w:lvlText w:val=""/>
      <w:lvlJc w:val="left"/>
    </w:lvl>
    <w:lvl w:ilvl="2" w:tplc="B4687C2E">
      <w:numFmt w:val="decimal"/>
      <w:lvlText w:val=""/>
      <w:lvlJc w:val="left"/>
    </w:lvl>
    <w:lvl w:ilvl="3" w:tplc="8EFA8228">
      <w:numFmt w:val="decimal"/>
      <w:lvlText w:val=""/>
      <w:lvlJc w:val="left"/>
    </w:lvl>
    <w:lvl w:ilvl="4" w:tplc="CE1E0856">
      <w:numFmt w:val="decimal"/>
      <w:lvlText w:val=""/>
      <w:lvlJc w:val="left"/>
    </w:lvl>
    <w:lvl w:ilvl="5" w:tplc="0F0C8B74">
      <w:numFmt w:val="decimal"/>
      <w:lvlText w:val=""/>
      <w:lvlJc w:val="left"/>
    </w:lvl>
    <w:lvl w:ilvl="6" w:tplc="61D48F0C">
      <w:numFmt w:val="decimal"/>
      <w:lvlText w:val=""/>
      <w:lvlJc w:val="left"/>
    </w:lvl>
    <w:lvl w:ilvl="7" w:tplc="21F41722">
      <w:numFmt w:val="decimal"/>
      <w:lvlText w:val=""/>
      <w:lvlJc w:val="left"/>
    </w:lvl>
    <w:lvl w:ilvl="8" w:tplc="F1D6281E">
      <w:numFmt w:val="decimal"/>
      <w:lvlText w:val=""/>
      <w:lvlJc w:val="left"/>
    </w:lvl>
  </w:abstractNum>
  <w:abstractNum w:abstractNumId="12" w15:restartNumberingAfterBreak="0">
    <w:nsid w:val="68380622"/>
    <w:multiLevelType w:val="hybridMultilevel"/>
    <w:tmpl w:val="F202E6D0"/>
    <w:lvl w:ilvl="0" w:tplc="51DCD1BE">
      <w:start w:val="1"/>
      <w:numFmt w:val="decimal"/>
      <w:lvlText w:val="%1."/>
      <w:lvlJc w:val="left"/>
      <w:pPr>
        <w:ind w:left="400" w:hanging="260"/>
      </w:pPr>
    </w:lvl>
    <w:lvl w:ilvl="1" w:tplc="DD1AC6BC">
      <w:numFmt w:val="decimal"/>
      <w:lvlText w:val=""/>
      <w:lvlJc w:val="left"/>
    </w:lvl>
    <w:lvl w:ilvl="2" w:tplc="976EFCC2">
      <w:numFmt w:val="decimal"/>
      <w:lvlText w:val=""/>
      <w:lvlJc w:val="left"/>
    </w:lvl>
    <w:lvl w:ilvl="3" w:tplc="4F60A5C2">
      <w:numFmt w:val="decimal"/>
      <w:lvlText w:val=""/>
      <w:lvlJc w:val="left"/>
    </w:lvl>
    <w:lvl w:ilvl="4" w:tplc="A4E6B95C">
      <w:numFmt w:val="decimal"/>
      <w:lvlText w:val=""/>
      <w:lvlJc w:val="left"/>
    </w:lvl>
    <w:lvl w:ilvl="5" w:tplc="84DED6B6">
      <w:numFmt w:val="decimal"/>
      <w:lvlText w:val=""/>
      <w:lvlJc w:val="left"/>
    </w:lvl>
    <w:lvl w:ilvl="6" w:tplc="87F421DE">
      <w:numFmt w:val="decimal"/>
      <w:lvlText w:val=""/>
      <w:lvlJc w:val="left"/>
    </w:lvl>
    <w:lvl w:ilvl="7" w:tplc="B3C87EFA">
      <w:numFmt w:val="decimal"/>
      <w:lvlText w:val=""/>
      <w:lvlJc w:val="left"/>
    </w:lvl>
    <w:lvl w:ilvl="8" w:tplc="9C8E6E96">
      <w:numFmt w:val="decimal"/>
      <w:lvlText w:val=""/>
      <w:lvlJc w:val="left"/>
    </w:lvl>
  </w:abstractNum>
  <w:abstractNum w:abstractNumId="13" w15:restartNumberingAfterBreak="0">
    <w:nsid w:val="6BA7259D"/>
    <w:multiLevelType w:val="hybridMultilevel"/>
    <w:tmpl w:val="7C80A21C"/>
    <w:lvl w:ilvl="0" w:tplc="7BE0B496">
      <w:start w:val="1"/>
      <w:numFmt w:val="decimal"/>
      <w:lvlText w:val="%1."/>
      <w:lvlJc w:val="left"/>
      <w:pPr>
        <w:ind w:left="400" w:hanging="260"/>
      </w:pPr>
    </w:lvl>
    <w:lvl w:ilvl="1" w:tplc="972CED2C">
      <w:numFmt w:val="decimal"/>
      <w:lvlText w:val=""/>
      <w:lvlJc w:val="left"/>
    </w:lvl>
    <w:lvl w:ilvl="2" w:tplc="70D2B206">
      <w:numFmt w:val="decimal"/>
      <w:lvlText w:val=""/>
      <w:lvlJc w:val="left"/>
    </w:lvl>
    <w:lvl w:ilvl="3" w:tplc="21229B2C">
      <w:numFmt w:val="decimal"/>
      <w:lvlText w:val=""/>
      <w:lvlJc w:val="left"/>
    </w:lvl>
    <w:lvl w:ilvl="4" w:tplc="7116C242">
      <w:numFmt w:val="decimal"/>
      <w:lvlText w:val=""/>
      <w:lvlJc w:val="left"/>
    </w:lvl>
    <w:lvl w:ilvl="5" w:tplc="EEFE447E">
      <w:numFmt w:val="decimal"/>
      <w:lvlText w:val=""/>
      <w:lvlJc w:val="left"/>
    </w:lvl>
    <w:lvl w:ilvl="6" w:tplc="F3A22030">
      <w:numFmt w:val="decimal"/>
      <w:lvlText w:val=""/>
      <w:lvlJc w:val="left"/>
    </w:lvl>
    <w:lvl w:ilvl="7" w:tplc="504003DE">
      <w:numFmt w:val="decimal"/>
      <w:lvlText w:val=""/>
      <w:lvlJc w:val="left"/>
    </w:lvl>
    <w:lvl w:ilvl="8" w:tplc="B10C92BA">
      <w:numFmt w:val="decimal"/>
      <w:lvlText w:val=""/>
      <w:lvlJc w:val="left"/>
    </w:lvl>
  </w:abstractNum>
  <w:abstractNum w:abstractNumId="14" w15:restartNumberingAfterBreak="0">
    <w:nsid w:val="6F26590A"/>
    <w:multiLevelType w:val="hybridMultilevel"/>
    <w:tmpl w:val="188AE788"/>
    <w:lvl w:ilvl="0" w:tplc="D5C20758">
      <w:start w:val="1"/>
      <w:numFmt w:val="decimal"/>
      <w:lvlText w:val="%1."/>
      <w:lvlJc w:val="left"/>
      <w:pPr>
        <w:ind w:left="400" w:hanging="260"/>
      </w:pPr>
    </w:lvl>
    <w:lvl w:ilvl="1" w:tplc="F4BA23EE">
      <w:numFmt w:val="decimal"/>
      <w:lvlText w:val=""/>
      <w:lvlJc w:val="left"/>
    </w:lvl>
    <w:lvl w:ilvl="2" w:tplc="A76A2CA0">
      <w:numFmt w:val="decimal"/>
      <w:lvlText w:val=""/>
      <w:lvlJc w:val="left"/>
    </w:lvl>
    <w:lvl w:ilvl="3" w:tplc="6262B4AC">
      <w:numFmt w:val="decimal"/>
      <w:lvlText w:val=""/>
      <w:lvlJc w:val="left"/>
    </w:lvl>
    <w:lvl w:ilvl="4" w:tplc="B2CCDCDA">
      <w:numFmt w:val="decimal"/>
      <w:lvlText w:val=""/>
      <w:lvlJc w:val="left"/>
    </w:lvl>
    <w:lvl w:ilvl="5" w:tplc="455E9300">
      <w:numFmt w:val="decimal"/>
      <w:lvlText w:val=""/>
      <w:lvlJc w:val="left"/>
    </w:lvl>
    <w:lvl w:ilvl="6" w:tplc="03484E38">
      <w:numFmt w:val="decimal"/>
      <w:lvlText w:val=""/>
      <w:lvlJc w:val="left"/>
    </w:lvl>
    <w:lvl w:ilvl="7" w:tplc="39FE27F8">
      <w:numFmt w:val="decimal"/>
      <w:lvlText w:val=""/>
      <w:lvlJc w:val="left"/>
    </w:lvl>
    <w:lvl w:ilvl="8" w:tplc="C5782CCE">
      <w:numFmt w:val="decimal"/>
      <w:lvlText w:val=""/>
      <w:lvlJc w:val="left"/>
    </w:lvl>
  </w:abstractNum>
  <w:abstractNum w:abstractNumId="15" w15:restartNumberingAfterBreak="0">
    <w:nsid w:val="734E547A"/>
    <w:multiLevelType w:val="hybridMultilevel"/>
    <w:tmpl w:val="36FE0CE0"/>
    <w:lvl w:ilvl="0" w:tplc="4B6286EC">
      <w:start w:val="1"/>
      <w:numFmt w:val="bullet"/>
      <w:lvlText w:val="•"/>
      <w:lvlJc w:val="left"/>
      <w:pPr>
        <w:ind w:left="360" w:hanging="200"/>
      </w:pPr>
    </w:lvl>
    <w:lvl w:ilvl="1" w:tplc="A3348B2E">
      <w:numFmt w:val="decimal"/>
      <w:lvlText w:val=""/>
      <w:lvlJc w:val="left"/>
    </w:lvl>
    <w:lvl w:ilvl="2" w:tplc="CC94021A">
      <w:numFmt w:val="decimal"/>
      <w:lvlText w:val=""/>
      <w:lvlJc w:val="left"/>
    </w:lvl>
    <w:lvl w:ilvl="3" w:tplc="1BC84F88">
      <w:numFmt w:val="decimal"/>
      <w:lvlText w:val=""/>
      <w:lvlJc w:val="left"/>
    </w:lvl>
    <w:lvl w:ilvl="4" w:tplc="76A63188">
      <w:numFmt w:val="decimal"/>
      <w:lvlText w:val=""/>
      <w:lvlJc w:val="left"/>
    </w:lvl>
    <w:lvl w:ilvl="5" w:tplc="AB9AA39E">
      <w:numFmt w:val="decimal"/>
      <w:lvlText w:val=""/>
      <w:lvlJc w:val="left"/>
    </w:lvl>
    <w:lvl w:ilvl="6" w:tplc="6FDE3994">
      <w:numFmt w:val="decimal"/>
      <w:lvlText w:val=""/>
      <w:lvlJc w:val="left"/>
    </w:lvl>
    <w:lvl w:ilvl="7" w:tplc="3496E548">
      <w:numFmt w:val="decimal"/>
      <w:lvlText w:val=""/>
      <w:lvlJc w:val="left"/>
    </w:lvl>
    <w:lvl w:ilvl="8" w:tplc="BE821F54">
      <w:numFmt w:val="decimal"/>
      <w:lvlText w:val=""/>
      <w:lvlJc w:val="left"/>
    </w:lvl>
  </w:abstractNum>
  <w:abstractNum w:abstractNumId="16" w15:restartNumberingAfterBreak="0">
    <w:nsid w:val="753714F3"/>
    <w:multiLevelType w:val="hybridMultilevel"/>
    <w:tmpl w:val="DF04259E"/>
    <w:lvl w:ilvl="0" w:tplc="7094797A">
      <w:start w:val="1"/>
      <w:numFmt w:val="decimal"/>
      <w:lvlText w:val="%1."/>
      <w:lvlJc w:val="left"/>
      <w:pPr>
        <w:ind w:left="400" w:hanging="260"/>
      </w:pPr>
    </w:lvl>
    <w:lvl w:ilvl="1" w:tplc="C7CC635A">
      <w:numFmt w:val="decimal"/>
      <w:lvlText w:val=""/>
      <w:lvlJc w:val="left"/>
    </w:lvl>
    <w:lvl w:ilvl="2" w:tplc="E7FAFDE0">
      <w:numFmt w:val="decimal"/>
      <w:lvlText w:val=""/>
      <w:lvlJc w:val="left"/>
    </w:lvl>
    <w:lvl w:ilvl="3" w:tplc="2CF4F864">
      <w:numFmt w:val="decimal"/>
      <w:lvlText w:val=""/>
      <w:lvlJc w:val="left"/>
    </w:lvl>
    <w:lvl w:ilvl="4" w:tplc="A09271D8">
      <w:numFmt w:val="decimal"/>
      <w:lvlText w:val=""/>
      <w:lvlJc w:val="left"/>
    </w:lvl>
    <w:lvl w:ilvl="5" w:tplc="CF1871D0">
      <w:numFmt w:val="decimal"/>
      <w:lvlText w:val=""/>
      <w:lvlJc w:val="left"/>
    </w:lvl>
    <w:lvl w:ilvl="6" w:tplc="D5C0A1F8">
      <w:numFmt w:val="decimal"/>
      <w:lvlText w:val=""/>
      <w:lvlJc w:val="left"/>
    </w:lvl>
    <w:lvl w:ilvl="7" w:tplc="2424E002">
      <w:numFmt w:val="decimal"/>
      <w:lvlText w:val=""/>
      <w:lvlJc w:val="left"/>
    </w:lvl>
    <w:lvl w:ilvl="8" w:tplc="69264618">
      <w:numFmt w:val="decimal"/>
      <w:lvlText w:val=""/>
      <w:lvlJc w:val="left"/>
    </w:lvl>
  </w:abstractNum>
  <w:abstractNum w:abstractNumId="17" w15:restartNumberingAfterBreak="0">
    <w:nsid w:val="7E555020"/>
    <w:multiLevelType w:val="hybridMultilevel"/>
    <w:tmpl w:val="3A56458A"/>
    <w:lvl w:ilvl="0" w:tplc="46FCBED4">
      <w:start w:val="1"/>
      <w:numFmt w:val="decimal"/>
      <w:lvlText w:val="%1."/>
      <w:lvlJc w:val="left"/>
      <w:pPr>
        <w:ind w:left="400" w:hanging="260"/>
      </w:pPr>
    </w:lvl>
    <w:lvl w:ilvl="1" w:tplc="7AD6DC6C">
      <w:numFmt w:val="decimal"/>
      <w:lvlText w:val=""/>
      <w:lvlJc w:val="left"/>
    </w:lvl>
    <w:lvl w:ilvl="2" w:tplc="CCB24DD6">
      <w:numFmt w:val="decimal"/>
      <w:lvlText w:val=""/>
      <w:lvlJc w:val="left"/>
    </w:lvl>
    <w:lvl w:ilvl="3" w:tplc="7048D664">
      <w:numFmt w:val="decimal"/>
      <w:lvlText w:val=""/>
      <w:lvlJc w:val="left"/>
    </w:lvl>
    <w:lvl w:ilvl="4" w:tplc="346EE2C6">
      <w:numFmt w:val="decimal"/>
      <w:lvlText w:val=""/>
      <w:lvlJc w:val="left"/>
    </w:lvl>
    <w:lvl w:ilvl="5" w:tplc="44E09C2A">
      <w:numFmt w:val="decimal"/>
      <w:lvlText w:val=""/>
      <w:lvlJc w:val="left"/>
    </w:lvl>
    <w:lvl w:ilvl="6" w:tplc="92D46638">
      <w:numFmt w:val="decimal"/>
      <w:lvlText w:val=""/>
      <w:lvlJc w:val="left"/>
    </w:lvl>
    <w:lvl w:ilvl="7" w:tplc="0E32D7EC">
      <w:numFmt w:val="decimal"/>
      <w:lvlText w:val=""/>
      <w:lvlJc w:val="left"/>
    </w:lvl>
    <w:lvl w:ilvl="8" w:tplc="3A46E700">
      <w:numFmt w:val="decimal"/>
      <w:lvlText w:val=""/>
      <w:lvlJc w:val="left"/>
    </w:lvl>
  </w:abstractNum>
  <w:num w:numId="1" w16cid:durableId="1311866769">
    <w:abstractNumId w:val="1"/>
    <w:lvlOverride w:ilvl="0">
      <w:startOverride w:val="1"/>
    </w:lvlOverride>
  </w:num>
  <w:num w:numId="2" w16cid:durableId="1082339477">
    <w:abstractNumId w:val="15"/>
    <w:lvlOverride w:ilvl="0">
      <w:startOverride w:val="1"/>
    </w:lvlOverride>
  </w:num>
  <w:num w:numId="3" w16cid:durableId="1995068229">
    <w:abstractNumId w:val="4"/>
    <w:lvlOverride w:ilvl="0">
      <w:startOverride w:val="1"/>
    </w:lvlOverride>
  </w:num>
  <w:num w:numId="4" w16cid:durableId="910507249">
    <w:abstractNumId w:val="10"/>
    <w:lvlOverride w:ilvl="0">
      <w:startOverride w:val="1"/>
    </w:lvlOverride>
  </w:num>
  <w:num w:numId="5" w16cid:durableId="979842555">
    <w:abstractNumId w:val="2"/>
    <w:lvlOverride w:ilvl="0">
      <w:startOverride w:val="1"/>
    </w:lvlOverride>
  </w:num>
  <w:num w:numId="6" w16cid:durableId="898635919">
    <w:abstractNumId w:val="13"/>
    <w:lvlOverride w:ilvl="0">
      <w:startOverride w:val="1"/>
    </w:lvlOverride>
  </w:num>
  <w:num w:numId="7" w16cid:durableId="1686251276">
    <w:abstractNumId w:val="7"/>
    <w:lvlOverride w:ilvl="0">
      <w:startOverride w:val="1"/>
    </w:lvlOverride>
  </w:num>
  <w:num w:numId="8" w16cid:durableId="1607734165">
    <w:abstractNumId w:val="9"/>
    <w:lvlOverride w:ilvl="0">
      <w:startOverride w:val="1"/>
    </w:lvlOverride>
  </w:num>
  <w:num w:numId="9" w16cid:durableId="54738925">
    <w:abstractNumId w:val="5"/>
    <w:lvlOverride w:ilvl="0">
      <w:startOverride w:val="1"/>
    </w:lvlOverride>
  </w:num>
  <w:num w:numId="10" w16cid:durableId="711156758">
    <w:abstractNumId w:val="11"/>
    <w:lvlOverride w:ilvl="0">
      <w:startOverride w:val="1"/>
    </w:lvlOverride>
  </w:num>
  <w:num w:numId="11" w16cid:durableId="1339188310">
    <w:abstractNumId w:val="16"/>
    <w:lvlOverride w:ilvl="0">
      <w:startOverride w:val="1"/>
    </w:lvlOverride>
  </w:num>
  <w:num w:numId="12" w16cid:durableId="687948102">
    <w:abstractNumId w:val="14"/>
    <w:lvlOverride w:ilvl="0">
      <w:startOverride w:val="1"/>
    </w:lvlOverride>
  </w:num>
  <w:num w:numId="13" w16cid:durableId="2110739046">
    <w:abstractNumId w:val="3"/>
    <w:lvlOverride w:ilvl="0">
      <w:startOverride w:val="1"/>
    </w:lvlOverride>
  </w:num>
  <w:num w:numId="14" w16cid:durableId="678459644">
    <w:abstractNumId w:val="12"/>
    <w:lvlOverride w:ilvl="0">
      <w:startOverride w:val="1"/>
    </w:lvlOverride>
  </w:num>
  <w:num w:numId="15" w16cid:durableId="1254901972">
    <w:abstractNumId w:val="0"/>
    <w:lvlOverride w:ilvl="0">
      <w:startOverride w:val="1"/>
    </w:lvlOverride>
  </w:num>
  <w:num w:numId="16" w16cid:durableId="727799323">
    <w:abstractNumId w:val="6"/>
    <w:lvlOverride w:ilvl="0">
      <w:startOverride w:val="1"/>
    </w:lvlOverride>
  </w:num>
  <w:num w:numId="17" w16cid:durableId="872572620">
    <w:abstractNumId w:val="17"/>
    <w:lvlOverride w:ilvl="0">
      <w:startOverride w:val="1"/>
    </w:lvlOverride>
  </w:num>
  <w:num w:numId="18" w16cid:durableId="130103786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CC8"/>
    <w:rsid w:val="00206A1E"/>
    <w:rsid w:val="003D5BF1"/>
    <w:rsid w:val="004C3235"/>
    <w:rsid w:val="00550485"/>
    <w:rsid w:val="005A00D0"/>
    <w:rsid w:val="006D7CC8"/>
    <w:rsid w:val="00762789"/>
    <w:rsid w:val="009A1908"/>
    <w:rsid w:val="00CF1A57"/>
    <w:rsid w:val="00DA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7EB7"/>
  <w15:docId w15:val="{1B4B517B-2CFE-469E-A459-1FBCC2A1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5B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5BF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4400</Words>
  <Characters>25081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Visual Build Instructions — Superstore Retail Sales Analysis &amp; Forecasting</vt:lpstr>
    </vt:vector>
  </TitlesOfParts>
  <Company/>
  <LinksUpToDate>false</LinksUpToDate>
  <CharactersWithSpaces>29423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Build Instructions — Superstore Retail Sales Analysis &amp; Forecasting</dc:title>
  <dc:creator>Evy</dc:creator>
  <cp:lastModifiedBy>Evelyn Livant</cp:lastModifiedBy>
  <cp:revision>3</cp:revision>
  <dcterms:created xsi:type="dcterms:W3CDTF">2026-07-29T22:58:00Z</dcterms:created>
  <dcterms:modified xsi:type="dcterms:W3CDTF">2026-07-30T22:07:00Z</dcterms:modified>
</cp:coreProperties>
</file>