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6EE" w:rsidRPr="001346EE" w:rsidRDefault="001346EE" w:rsidP="001346EE">
      <w:pPr>
        <w:rPr>
          <w:u w:val="single"/>
          <w:lang w:val="nl-BE"/>
        </w:rPr>
      </w:pPr>
      <w:r w:rsidRPr="001346EE">
        <w:rPr>
          <w:u w:val="single"/>
          <w:lang w:val="nl-BE"/>
        </w:rPr>
        <w:t>FOSB WG Metadata en Standaardisatie</w:t>
      </w:r>
    </w:p>
    <w:p w:rsidR="001346EE" w:rsidRPr="001346EE" w:rsidRDefault="001346EE" w:rsidP="001346EE">
      <w:pPr>
        <w:rPr>
          <w:i/>
          <w:lang w:val="nl-BE"/>
        </w:rPr>
      </w:pPr>
      <w:r w:rsidRPr="001346EE">
        <w:rPr>
          <w:i/>
          <w:lang w:val="nl-BE"/>
        </w:rPr>
        <w:t xml:space="preserve">Sense of </w:t>
      </w:r>
      <w:proofErr w:type="spellStart"/>
      <w:r w:rsidRPr="001346EE">
        <w:rPr>
          <w:i/>
          <w:lang w:val="nl-BE"/>
        </w:rPr>
        <w:t>urgency</w:t>
      </w:r>
      <w:proofErr w:type="spellEnd"/>
    </w:p>
    <w:p w:rsidR="00252104" w:rsidRDefault="001346EE" w:rsidP="00F3145D">
      <w:pPr>
        <w:jc w:val="both"/>
        <w:rPr>
          <w:lang w:val="nl-BE"/>
        </w:rPr>
      </w:pPr>
      <w:r w:rsidRPr="001346EE">
        <w:rPr>
          <w:lang w:val="nl-BE"/>
        </w:rPr>
        <w:t xml:space="preserve">Anno 2020 is het Vlaamse </w:t>
      </w:r>
      <w:proofErr w:type="spellStart"/>
      <w:r w:rsidRPr="001346EE">
        <w:rPr>
          <w:lang w:val="nl-BE"/>
        </w:rPr>
        <w:t>onderzoekslandschap</w:t>
      </w:r>
      <w:proofErr w:type="spellEnd"/>
      <w:r w:rsidRPr="001346EE">
        <w:rPr>
          <w:lang w:val="nl-BE"/>
        </w:rPr>
        <w:t xml:space="preserve"> vrij divers</w:t>
      </w:r>
      <w:r w:rsidR="00957E86">
        <w:rPr>
          <w:lang w:val="nl-BE"/>
        </w:rPr>
        <w:t xml:space="preserve"> inzake</w:t>
      </w:r>
      <w:r w:rsidRPr="001346EE">
        <w:rPr>
          <w:lang w:val="nl-BE"/>
        </w:rPr>
        <w:t xml:space="preserve"> de identiteit en de kenmerken van de onderzoek</w:t>
      </w:r>
      <w:r>
        <w:rPr>
          <w:lang w:val="nl-BE"/>
        </w:rPr>
        <w:t xml:space="preserve"> </w:t>
      </w:r>
      <w:r w:rsidRPr="001346EE">
        <w:rPr>
          <w:lang w:val="nl-BE"/>
        </w:rPr>
        <w:t>uitvoerende organisaties (</w:t>
      </w:r>
      <w:proofErr w:type="spellStart"/>
      <w:r w:rsidRPr="001346EE">
        <w:rPr>
          <w:lang w:val="nl-BE"/>
        </w:rPr>
        <w:t>RPO's</w:t>
      </w:r>
      <w:proofErr w:type="spellEnd"/>
      <w:r w:rsidRPr="001346EE">
        <w:rPr>
          <w:lang w:val="nl-BE"/>
        </w:rPr>
        <w:t xml:space="preserve">), alsook </w:t>
      </w:r>
      <w:r>
        <w:rPr>
          <w:lang w:val="nl-BE"/>
        </w:rPr>
        <w:t>de wijze van organisatie en</w:t>
      </w:r>
      <w:r w:rsidRPr="001346EE">
        <w:rPr>
          <w:lang w:val="nl-BE"/>
        </w:rPr>
        <w:t xml:space="preserve"> maturiteit van elke </w:t>
      </w:r>
      <w:r w:rsidR="00F05FEE">
        <w:rPr>
          <w:lang w:val="nl-BE"/>
        </w:rPr>
        <w:t>RPO</w:t>
      </w:r>
      <w:r w:rsidRPr="001346EE">
        <w:rPr>
          <w:lang w:val="nl-BE"/>
        </w:rPr>
        <w:t xml:space="preserve"> met betrekking tot het beheer van onderzoeksgegevens. Deze diversiteit en het verschil in maturiteit geldt ook binnen en tussen de verschillende </w:t>
      </w:r>
      <w:proofErr w:type="spellStart"/>
      <w:r w:rsidRPr="001346EE">
        <w:rPr>
          <w:lang w:val="nl-BE"/>
        </w:rPr>
        <w:t>onderzoeksdisciplines</w:t>
      </w:r>
      <w:proofErr w:type="spellEnd"/>
      <w:r w:rsidRPr="001346EE">
        <w:rPr>
          <w:lang w:val="nl-BE"/>
        </w:rPr>
        <w:t xml:space="preserve"> waarin de Vlaamse </w:t>
      </w:r>
      <w:proofErr w:type="spellStart"/>
      <w:r w:rsidRPr="001346EE">
        <w:rPr>
          <w:lang w:val="nl-BE"/>
        </w:rPr>
        <w:t>RPO's</w:t>
      </w:r>
      <w:proofErr w:type="spellEnd"/>
      <w:r w:rsidRPr="001346EE">
        <w:rPr>
          <w:lang w:val="nl-BE"/>
        </w:rPr>
        <w:t xml:space="preserve"> actief zijn. </w:t>
      </w:r>
      <w:r w:rsidR="00F05FEE">
        <w:rPr>
          <w:lang w:val="nl-BE"/>
        </w:rPr>
        <w:t>Momenteel</w:t>
      </w:r>
      <w:r w:rsidRPr="001346EE">
        <w:rPr>
          <w:lang w:val="nl-BE"/>
        </w:rPr>
        <w:t xml:space="preserve"> worden alle Vlaamse </w:t>
      </w:r>
      <w:proofErr w:type="spellStart"/>
      <w:r w:rsidRPr="001346EE">
        <w:rPr>
          <w:lang w:val="nl-BE"/>
        </w:rPr>
        <w:t>RPO's</w:t>
      </w:r>
      <w:proofErr w:type="spellEnd"/>
      <w:r w:rsidRPr="001346EE">
        <w:rPr>
          <w:lang w:val="nl-BE"/>
        </w:rPr>
        <w:t xml:space="preserve"> door middel van decreten en overeenkomsten gevraagd om metadata informatie te verstrekken aan het FRIS-</w:t>
      </w:r>
      <w:proofErr w:type="spellStart"/>
      <w:r w:rsidR="004B7898">
        <w:rPr>
          <w:lang w:val="nl-BE"/>
        </w:rPr>
        <w:t>onderzoeks</w:t>
      </w:r>
      <w:r w:rsidRPr="001346EE">
        <w:rPr>
          <w:lang w:val="nl-BE"/>
        </w:rPr>
        <w:t>portaal</w:t>
      </w:r>
      <w:proofErr w:type="spellEnd"/>
      <w:r w:rsidR="001F5E7F">
        <w:rPr>
          <w:lang w:val="nl-BE"/>
        </w:rPr>
        <w:t xml:space="preserve"> (researchportal.be)</w:t>
      </w:r>
      <w:r w:rsidRPr="001346EE">
        <w:rPr>
          <w:lang w:val="nl-BE"/>
        </w:rPr>
        <w:t xml:space="preserve">. Dit wordt formeel uitgedrukt binnen het BOF- en IOF-decreet (van toepassing op de Vlaamse Universiteiten), overeenkomsten (DOSP voor de hogescholen, convenanten voor de strategische onderzoekscentra, ...). </w:t>
      </w:r>
    </w:p>
    <w:p w:rsidR="001346EE" w:rsidRDefault="00252104" w:rsidP="00F3145D">
      <w:pPr>
        <w:jc w:val="both"/>
        <w:rPr>
          <w:lang w:val="nl-BE"/>
        </w:rPr>
      </w:pPr>
      <w:r>
        <w:rPr>
          <w:lang w:val="nl-BE"/>
        </w:rPr>
        <w:t xml:space="preserve">Het FRIS-portaal ontsluit </w:t>
      </w:r>
      <w:r>
        <w:rPr>
          <w:lang w:val="nl-BE"/>
        </w:rPr>
        <w:t xml:space="preserve">momenteel </w:t>
      </w:r>
      <w:r>
        <w:rPr>
          <w:lang w:val="nl-BE"/>
        </w:rPr>
        <w:t xml:space="preserve">informatie over </w:t>
      </w:r>
      <w:r>
        <w:rPr>
          <w:lang w:val="nl-BE"/>
        </w:rPr>
        <w:t>onderzoekers, onderzoeksgroepen, publiek gefinancierde projecten en alle publicaties</w:t>
      </w:r>
      <w:r>
        <w:rPr>
          <w:lang w:val="nl-BE"/>
        </w:rPr>
        <w:t xml:space="preserve"> vanaf 2008 en is toegankelijk voor iedereen.</w:t>
      </w:r>
      <w:r>
        <w:rPr>
          <w:lang w:val="nl-BE"/>
        </w:rPr>
        <w:t xml:space="preserve"> </w:t>
      </w:r>
      <w:r w:rsidR="001346EE" w:rsidRPr="001346EE">
        <w:rPr>
          <w:lang w:val="nl-BE"/>
        </w:rPr>
        <w:t xml:space="preserve">Indien het FRIS-portaal </w:t>
      </w:r>
      <w:r w:rsidR="00CC4A81">
        <w:rPr>
          <w:lang w:val="nl-BE"/>
        </w:rPr>
        <w:t xml:space="preserve">ook </w:t>
      </w:r>
      <w:r w:rsidR="001346EE" w:rsidRPr="001346EE">
        <w:rPr>
          <w:lang w:val="nl-BE"/>
        </w:rPr>
        <w:t xml:space="preserve">de metadata informatie over onderzoeksgegevens </w:t>
      </w:r>
      <w:r>
        <w:rPr>
          <w:lang w:val="nl-BE"/>
        </w:rPr>
        <w:t xml:space="preserve">wil ontsluiten </w:t>
      </w:r>
      <w:r w:rsidR="001346EE" w:rsidRPr="001346EE">
        <w:rPr>
          <w:lang w:val="nl-BE"/>
        </w:rPr>
        <w:t xml:space="preserve">op een eenduidige manier, is het van het grootste belang dat alle </w:t>
      </w:r>
      <w:proofErr w:type="spellStart"/>
      <w:r w:rsidR="001346EE" w:rsidRPr="001346EE">
        <w:rPr>
          <w:lang w:val="nl-BE"/>
        </w:rPr>
        <w:t>RPO</w:t>
      </w:r>
      <w:r w:rsidR="00F05FEE">
        <w:rPr>
          <w:lang w:val="nl-BE"/>
        </w:rPr>
        <w:t>’</w:t>
      </w:r>
      <w:r w:rsidR="001346EE" w:rsidRPr="001346EE">
        <w:rPr>
          <w:lang w:val="nl-BE"/>
        </w:rPr>
        <w:t>s</w:t>
      </w:r>
      <w:proofErr w:type="spellEnd"/>
      <w:r w:rsidR="001346EE" w:rsidRPr="001346EE">
        <w:rPr>
          <w:lang w:val="nl-BE"/>
        </w:rPr>
        <w:t xml:space="preserve"> </w:t>
      </w:r>
      <w:r w:rsidR="00F05FEE">
        <w:rPr>
          <w:lang w:val="nl-BE"/>
        </w:rPr>
        <w:t xml:space="preserve">gebruik maken van eenzelfde </w:t>
      </w:r>
      <w:proofErr w:type="spellStart"/>
      <w:r w:rsidR="00F05FEE">
        <w:rPr>
          <w:lang w:val="nl-BE"/>
        </w:rPr>
        <w:t>metadatavelden</w:t>
      </w:r>
      <w:proofErr w:type="spellEnd"/>
      <w:r w:rsidR="00F05FEE">
        <w:rPr>
          <w:lang w:val="nl-BE"/>
        </w:rPr>
        <w:t xml:space="preserve"> die semantisch op eenzelfde manier ingevuld worden door alle stakeholders</w:t>
      </w:r>
      <w:r w:rsidR="001346EE" w:rsidRPr="001346EE">
        <w:rPr>
          <w:lang w:val="nl-BE"/>
        </w:rPr>
        <w:t xml:space="preserve">. </w:t>
      </w:r>
      <w:r w:rsidR="00F05FEE">
        <w:rPr>
          <w:lang w:val="nl-BE"/>
        </w:rPr>
        <w:t xml:space="preserve">Hierdoor wordt </w:t>
      </w:r>
      <w:r w:rsidR="001346EE" w:rsidRPr="001346EE">
        <w:rPr>
          <w:lang w:val="nl-BE"/>
        </w:rPr>
        <w:t xml:space="preserve">een perfect begrip van de informatie op het </w:t>
      </w:r>
      <w:r w:rsidR="00F05FEE">
        <w:rPr>
          <w:lang w:val="nl-BE"/>
        </w:rPr>
        <w:t>FRIS-</w:t>
      </w:r>
      <w:r w:rsidR="001346EE" w:rsidRPr="001346EE">
        <w:rPr>
          <w:lang w:val="nl-BE"/>
        </w:rPr>
        <w:t>portaal</w:t>
      </w:r>
      <w:r w:rsidR="00F05FEE">
        <w:rPr>
          <w:lang w:val="nl-BE"/>
        </w:rPr>
        <w:t xml:space="preserve"> mogelijk, wat zorgt </w:t>
      </w:r>
      <w:r w:rsidR="00482784">
        <w:rPr>
          <w:lang w:val="nl-BE"/>
        </w:rPr>
        <w:t>voor een hoge</w:t>
      </w:r>
      <w:r w:rsidR="001346EE" w:rsidRPr="001346EE">
        <w:rPr>
          <w:lang w:val="nl-BE"/>
        </w:rPr>
        <w:t>r her</w:t>
      </w:r>
      <w:r w:rsidR="00F05FEE">
        <w:rPr>
          <w:lang w:val="nl-BE"/>
        </w:rPr>
        <w:t>gebruik</w:t>
      </w:r>
      <w:r w:rsidR="001346EE" w:rsidRPr="001346EE">
        <w:rPr>
          <w:lang w:val="nl-BE"/>
        </w:rPr>
        <w:t xml:space="preserve"> van de onderzoeksgegevens, wa</w:t>
      </w:r>
      <w:r w:rsidR="00F05FEE">
        <w:rPr>
          <w:lang w:val="nl-BE"/>
        </w:rPr>
        <w:t>t</w:t>
      </w:r>
      <w:r w:rsidR="001346EE" w:rsidRPr="001346EE">
        <w:rPr>
          <w:lang w:val="nl-BE"/>
        </w:rPr>
        <w:t xml:space="preserve"> </w:t>
      </w:r>
      <w:r w:rsidR="00F05FEE">
        <w:rPr>
          <w:lang w:val="nl-BE"/>
        </w:rPr>
        <w:t>de return on investment voor</w:t>
      </w:r>
      <w:r w:rsidR="001346EE" w:rsidRPr="001346EE">
        <w:rPr>
          <w:lang w:val="nl-BE"/>
        </w:rPr>
        <w:t xml:space="preserve"> het creëren van de onderzoeksgegevens verhoogd. Op dit moment hebben sommige </w:t>
      </w:r>
      <w:proofErr w:type="spellStart"/>
      <w:r w:rsidR="001346EE" w:rsidRPr="001346EE">
        <w:rPr>
          <w:lang w:val="nl-BE"/>
        </w:rPr>
        <w:t>RPO's</w:t>
      </w:r>
      <w:proofErr w:type="spellEnd"/>
      <w:r w:rsidR="001346EE" w:rsidRPr="001346EE">
        <w:rPr>
          <w:lang w:val="nl-BE"/>
        </w:rPr>
        <w:t xml:space="preserve"> hun </w:t>
      </w:r>
      <w:proofErr w:type="spellStart"/>
      <w:r w:rsidR="001346EE" w:rsidRPr="001346EE">
        <w:rPr>
          <w:lang w:val="nl-BE"/>
        </w:rPr>
        <w:t>metadatamodellen</w:t>
      </w:r>
      <w:proofErr w:type="spellEnd"/>
      <w:r w:rsidR="001346EE" w:rsidRPr="001346EE">
        <w:rPr>
          <w:lang w:val="nl-BE"/>
        </w:rPr>
        <w:t xml:space="preserve"> al in gebruik, maar veel </w:t>
      </w:r>
      <w:proofErr w:type="spellStart"/>
      <w:r w:rsidR="001346EE" w:rsidRPr="001346EE">
        <w:rPr>
          <w:lang w:val="nl-BE"/>
        </w:rPr>
        <w:t>RPO's</w:t>
      </w:r>
      <w:proofErr w:type="spellEnd"/>
      <w:r w:rsidR="001346EE" w:rsidRPr="001346EE">
        <w:rPr>
          <w:lang w:val="nl-BE"/>
        </w:rPr>
        <w:t xml:space="preserve"> zijn op dit moment </w:t>
      </w:r>
      <w:r w:rsidR="00F05FEE">
        <w:rPr>
          <w:lang w:val="nl-BE"/>
        </w:rPr>
        <w:t xml:space="preserve">nog </w:t>
      </w:r>
      <w:r w:rsidR="001346EE" w:rsidRPr="001346EE">
        <w:rPr>
          <w:lang w:val="nl-BE"/>
        </w:rPr>
        <w:t xml:space="preserve">op zoek welk </w:t>
      </w:r>
      <w:proofErr w:type="spellStart"/>
      <w:r w:rsidR="001346EE" w:rsidRPr="001346EE">
        <w:rPr>
          <w:lang w:val="nl-BE"/>
        </w:rPr>
        <w:t>metadatamodel</w:t>
      </w:r>
      <w:proofErr w:type="spellEnd"/>
      <w:r w:rsidR="001346EE" w:rsidRPr="001346EE">
        <w:rPr>
          <w:lang w:val="nl-BE"/>
        </w:rPr>
        <w:t xml:space="preserve"> en welke </w:t>
      </w:r>
      <w:r w:rsidR="00F05FEE">
        <w:rPr>
          <w:lang w:val="nl-BE"/>
        </w:rPr>
        <w:t xml:space="preserve">disciplinaire </w:t>
      </w:r>
      <w:r w:rsidR="001346EE" w:rsidRPr="001346EE">
        <w:rPr>
          <w:lang w:val="nl-BE"/>
        </w:rPr>
        <w:t xml:space="preserve">standaarden </w:t>
      </w:r>
      <w:r w:rsidR="00F05FEE">
        <w:rPr>
          <w:lang w:val="nl-BE"/>
        </w:rPr>
        <w:t xml:space="preserve">bij voorkeur </w:t>
      </w:r>
      <w:r w:rsidR="001346EE" w:rsidRPr="001346EE">
        <w:rPr>
          <w:lang w:val="nl-BE"/>
        </w:rPr>
        <w:t>gebruikt worden. Het is dan ook het momentum om een gem</w:t>
      </w:r>
      <w:r w:rsidR="00F05FEE">
        <w:rPr>
          <w:lang w:val="nl-BE"/>
        </w:rPr>
        <w:t xml:space="preserve">eenschappelijk </w:t>
      </w:r>
      <w:proofErr w:type="spellStart"/>
      <w:r w:rsidR="00F05FEE">
        <w:rPr>
          <w:lang w:val="nl-BE"/>
        </w:rPr>
        <w:t>metadatamodel</w:t>
      </w:r>
      <w:proofErr w:type="spellEnd"/>
      <w:r w:rsidR="00F05FEE">
        <w:rPr>
          <w:lang w:val="nl-BE"/>
        </w:rPr>
        <w:t xml:space="preserve"> te bepalen</w:t>
      </w:r>
      <w:r w:rsidR="001346EE" w:rsidRPr="001346EE">
        <w:rPr>
          <w:lang w:val="nl-BE"/>
        </w:rPr>
        <w:t xml:space="preserve"> dat semantisch </w:t>
      </w:r>
      <w:r w:rsidR="00F05FEE">
        <w:rPr>
          <w:lang w:val="nl-BE"/>
        </w:rPr>
        <w:t>op eenzelfde manier wordt ingevuld door</w:t>
      </w:r>
      <w:r w:rsidR="001346EE" w:rsidRPr="001346EE">
        <w:rPr>
          <w:lang w:val="nl-BE"/>
        </w:rPr>
        <w:t xml:space="preserve"> alle Vlaamse stakeholders.</w:t>
      </w:r>
    </w:p>
    <w:p w:rsidR="00F3145D" w:rsidRPr="001346EE" w:rsidRDefault="00F3145D" w:rsidP="00F3145D">
      <w:pPr>
        <w:jc w:val="both"/>
        <w:rPr>
          <w:lang w:val="nl-BE"/>
        </w:rPr>
      </w:pPr>
      <w:bookmarkStart w:id="0" w:name="_GoBack"/>
      <w:bookmarkEnd w:id="0"/>
    </w:p>
    <w:p w:rsidR="001346EE" w:rsidRPr="0095201D" w:rsidRDefault="001346EE" w:rsidP="001346EE">
      <w:pPr>
        <w:rPr>
          <w:i/>
          <w:lang w:val="nl-BE"/>
        </w:rPr>
      </w:pPr>
      <w:r w:rsidRPr="0095201D">
        <w:rPr>
          <w:i/>
          <w:lang w:val="nl-BE"/>
        </w:rPr>
        <w:t>Strategische doelstellingen</w:t>
      </w:r>
    </w:p>
    <w:p w:rsidR="00482784" w:rsidRDefault="001346EE" w:rsidP="00F3145D">
      <w:pPr>
        <w:jc w:val="both"/>
        <w:rPr>
          <w:lang w:val="nl-BE"/>
        </w:rPr>
      </w:pPr>
      <w:r w:rsidRPr="001346EE">
        <w:rPr>
          <w:lang w:val="nl-BE"/>
        </w:rPr>
        <w:t xml:space="preserve">De FOSB WG Metadata en Standaardisatie richt zich daarom op de ontwikkeling van een semantisch beschreven generiek </w:t>
      </w:r>
      <w:proofErr w:type="spellStart"/>
      <w:r w:rsidRPr="001346EE">
        <w:rPr>
          <w:lang w:val="nl-BE"/>
        </w:rPr>
        <w:t>metadatamodel</w:t>
      </w:r>
      <w:proofErr w:type="spellEnd"/>
      <w:r w:rsidRPr="001346EE">
        <w:rPr>
          <w:lang w:val="nl-BE"/>
        </w:rPr>
        <w:t xml:space="preserve"> voor onderzoeksgegevens, dat gebaseerd is op bestaande </w:t>
      </w:r>
      <w:proofErr w:type="spellStart"/>
      <w:r w:rsidRPr="001346EE">
        <w:rPr>
          <w:lang w:val="nl-BE"/>
        </w:rPr>
        <w:t>metadatamodellen</w:t>
      </w:r>
      <w:proofErr w:type="spellEnd"/>
      <w:r w:rsidRPr="001346EE">
        <w:rPr>
          <w:lang w:val="nl-BE"/>
        </w:rPr>
        <w:t xml:space="preserve"> (bv. </w:t>
      </w:r>
      <w:proofErr w:type="spellStart"/>
      <w:r w:rsidRPr="001346EE">
        <w:rPr>
          <w:lang w:val="nl-BE"/>
        </w:rPr>
        <w:t>OpenAire</w:t>
      </w:r>
      <w:proofErr w:type="spellEnd"/>
      <w:r w:rsidRPr="001346EE">
        <w:rPr>
          <w:lang w:val="nl-BE"/>
        </w:rPr>
        <w:t xml:space="preserve">, </w:t>
      </w:r>
      <w:proofErr w:type="spellStart"/>
      <w:r w:rsidRPr="001346EE">
        <w:rPr>
          <w:lang w:val="nl-BE"/>
        </w:rPr>
        <w:t>DataCite</w:t>
      </w:r>
      <w:proofErr w:type="spellEnd"/>
      <w:r w:rsidRPr="001346EE">
        <w:rPr>
          <w:lang w:val="nl-BE"/>
        </w:rPr>
        <w:t xml:space="preserve">, ...) en rekening houdt met de aanbevelingen van de RDA. Tegelijkertijd worden de </w:t>
      </w:r>
      <w:proofErr w:type="spellStart"/>
      <w:r w:rsidRPr="001346EE">
        <w:rPr>
          <w:lang w:val="nl-BE"/>
        </w:rPr>
        <w:t>metadatavelden</w:t>
      </w:r>
      <w:proofErr w:type="spellEnd"/>
      <w:r w:rsidRPr="001346EE">
        <w:rPr>
          <w:lang w:val="nl-BE"/>
        </w:rPr>
        <w:t xml:space="preserve"> die de onderzoeksgegevens beschrijven, getoetst aan de FAIR-gegevensprincipes (Force11), zodat de metadata vindbaar, toegankelijk, </w:t>
      </w:r>
      <w:proofErr w:type="spellStart"/>
      <w:r w:rsidRPr="001346EE">
        <w:rPr>
          <w:lang w:val="nl-BE"/>
        </w:rPr>
        <w:t>interoperabel</w:t>
      </w:r>
      <w:proofErr w:type="spellEnd"/>
      <w:r w:rsidRPr="001346EE">
        <w:rPr>
          <w:lang w:val="nl-BE"/>
        </w:rPr>
        <w:t xml:space="preserve"> en herbruikbaar zijn. Het resulterende </w:t>
      </w:r>
      <w:proofErr w:type="spellStart"/>
      <w:r w:rsidRPr="001346EE">
        <w:rPr>
          <w:lang w:val="nl-BE"/>
        </w:rPr>
        <w:t>metadatamodel</w:t>
      </w:r>
      <w:proofErr w:type="spellEnd"/>
      <w:r w:rsidRPr="001346EE">
        <w:rPr>
          <w:lang w:val="nl-BE"/>
        </w:rPr>
        <w:t xml:space="preserve"> zal door de Vlaamse onderzoeks- en financieringsorganisaties gebruikt worden om de metadata op een semantisch geharmoniseerde manier aan FRIS aan te bieden, zodat de metadata op een gestandaardiseerde manier door alle informatieverstrekkers op een eenduidige manier kunnen worden ontsloten. Aangezien </w:t>
      </w:r>
      <w:r w:rsidR="003B1C03">
        <w:rPr>
          <w:lang w:val="nl-BE"/>
        </w:rPr>
        <w:t>de metadata op he</w:t>
      </w:r>
      <w:r w:rsidRPr="001346EE">
        <w:rPr>
          <w:lang w:val="nl-BE"/>
        </w:rPr>
        <w:t>t FRIS-portaal</w:t>
      </w:r>
      <w:r w:rsidR="003B1C03">
        <w:rPr>
          <w:lang w:val="nl-BE"/>
        </w:rPr>
        <w:t xml:space="preserve"> toegankelijk zijn voor iedereen via</w:t>
      </w:r>
      <w:r w:rsidRPr="001346EE">
        <w:rPr>
          <w:lang w:val="nl-BE"/>
        </w:rPr>
        <w:t xml:space="preserve"> een Open Data-licentie</w:t>
      </w:r>
      <w:r w:rsidR="003B1C03">
        <w:rPr>
          <w:lang w:val="nl-BE"/>
        </w:rPr>
        <w:t>, zal het gebruik van eenzelfde</w:t>
      </w:r>
      <w:r w:rsidRPr="001346EE">
        <w:rPr>
          <w:lang w:val="nl-BE"/>
        </w:rPr>
        <w:t xml:space="preserve"> taal voor</w:t>
      </w:r>
      <w:r w:rsidR="003B1C03">
        <w:rPr>
          <w:lang w:val="nl-BE"/>
        </w:rPr>
        <w:t xml:space="preserve"> het definiëren van</w:t>
      </w:r>
      <w:r w:rsidRPr="001346EE">
        <w:rPr>
          <w:lang w:val="nl-BE"/>
        </w:rPr>
        <w:t xml:space="preserve"> </w:t>
      </w:r>
      <w:proofErr w:type="spellStart"/>
      <w:r w:rsidRPr="001346EE">
        <w:rPr>
          <w:lang w:val="nl-BE"/>
        </w:rPr>
        <w:t>onderzoeksmetadata</w:t>
      </w:r>
      <w:proofErr w:type="spellEnd"/>
      <w:r w:rsidRPr="001346EE">
        <w:rPr>
          <w:lang w:val="nl-BE"/>
        </w:rPr>
        <w:t xml:space="preserve"> </w:t>
      </w:r>
      <w:r w:rsidR="003B1C03">
        <w:rPr>
          <w:lang w:val="nl-BE"/>
        </w:rPr>
        <w:t>ertoe leiden dat gea</w:t>
      </w:r>
      <w:r w:rsidRPr="001346EE">
        <w:rPr>
          <w:lang w:val="nl-BE"/>
        </w:rPr>
        <w:t>utomatiseerde gegevensextractie</w:t>
      </w:r>
      <w:r w:rsidR="003B1C03">
        <w:rPr>
          <w:lang w:val="nl-BE"/>
        </w:rPr>
        <w:t xml:space="preserve"> mogelijk wordt en de metadata machine-</w:t>
      </w:r>
      <w:proofErr w:type="spellStart"/>
      <w:r w:rsidR="003B1C03">
        <w:rPr>
          <w:lang w:val="nl-BE"/>
        </w:rPr>
        <w:t>readable</w:t>
      </w:r>
      <w:proofErr w:type="spellEnd"/>
      <w:r w:rsidR="003B1C03">
        <w:rPr>
          <w:lang w:val="nl-BE"/>
        </w:rPr>
        <w:t xml:space="preserve"> worden, wat</w:t>
      </w:r>
      <w:r w:rsidRPr="001346EE">
        <w:rPr>
          <w:lang w:val="nl-BE"/>
        </w:rPr>
        <w:t xml:space="preserve"> het hergebruik van onderzoeksgegevens tussen alle Vlaamse stakeholders maximaliseer</w:t>
      </w:r>
      <w:r w:rsidR="003B1C03">
        <w:rPr>
          <w:lang w:val="nl-BE"/>
        </w:rPr>
        <w:t xml:space="preserve">t en meer analyse mogelijkheden toelaat via gebruik van data </w:t>
      </w:r>
      <w:proofErr w:type="spellStart"/>
      <w:r w:rsidR="003B1C03">
        <w:rPr>
          <w:lang w:val="nl-BE"/>
        </w:rPr>
        <w:t>science</w:t>
      </w:r>
      <w:proofErr w:type="spellEnd"/>
      <w:r w:rsidR="003B1C03">
        <w:rPr>
          <w:lang w:val="nl-BE"/>
        </w:rPr>
        <w:t xml:space="preserve"> methoden</w:t>
      </w:r>
      <w:r w:rsidRPr="001346EE">
        <w:rPr>
          <w:lang w:val="nl-BE"/>
        </w:rPr>
        <w:t xml:space="preserve">. </w:t>
      </w:r>
      <w:r w:rsidR="003B1C03">
        <w:rPr>
          <w:lang w:val="nl-BE"/>
        </w:rPr>
        <w:t>Om de implementatie te ondersteunen</w:t>
      </w:r>
      <w:r w:rsidRPr="001346EE">
        <w:rPr>
          <w:lang w:val="nl-BE"/>
        </w:rPr>
        <w:t>, z</w:t>
      </w:r>
      <w:r w:rsidR="003B1C03">
        <w:rPr>
          <w:lang w:val="nl-BE"/>
        </w:rPr>
        <w:t>al</w:t>
      </w:r>
      <w:r w:rsidRPr="001346EE">
        <w:rPr>
          <w:lang w:val="nl-BE"/>
        </w:rPr>
        <w:t xml:space="preserve"> de FOSB WG Metadata en </w:t>
      </w:r>
      <w:r w:rsidR="003B1C03">
        <w:rPr>
          <w:lang w:val="nl-BE"/>
        </w:rPr>
        <w:t>S</w:t>
      </w:r>
      <w:r w:rsidRPr="001346EE">
        <w:rPr>
          <w:lang w:val="nl-BE"/>
        </w:rPr>
        <w:t xml:space="preserve">tandaardisatie semantisch beschreven concordantietabellen </w:t>
      </w:r>
      <w:r w:rsidR="003B1C03">
        <w:rPr>
          <w:lang w:val="nl-BE"/>
        </w:rPr>
        <w:t>ter beschikking stellen wanneer</w:t>
      </w:r>
      <w:r w:rsidRPr="001346EE">
        <w:rPr>
          <w:lang w:val="nl-BE"/>
        </w:rPr>
        <w:t xml:space="preserve"> er afwijkingen bestaan tussen het generieke </w:t>
      </w:r>
      <w:proofErr w:type="spellStart"/>
      <w:r w:rsidRPr="001346EE">
        <w:rPr>
          <w:lang w:val="nl-BE"/>
        </w:rPr>
        <w:t>metadatamodel</w:t>
      </w:r>
      <w:proofErr w:type="spellEnd"/>
      <w:r w:rsidRPr="001346EE">
        <w:rPr>
          <w:lang w:val="nl-BE"/>
        </w:rPr>
        <w:t xml:space="preserve"> en het model van de informatieverstrekkende instellingen. </w:t>
      </w:r>
    </w:p>
    <w:p w:rsidR="00D2148D" w:rsidRDefault="001346EE" w:rsidP="00F3145D">
      <w:pPr>
        <w:jc w:val="both"/>
        <w:rPr>
          <w:lang w:val="nl-BE"/>
        </w:rPr>
      </w:pPr>
      <w:r w:rsidRPr="001346EE">
        <w:rPr>
          <w:lang w:val="nl-BE"/>
        </w:rPr>
        <w:t>Daarnaast z</w:t>
      </w:r>
      <w:r w:rsidR="003B1C03">
        <w:rPr>
          <w:lang w:val="nl-BE"/>
        </w:rPr>
        <w:t>al</w:t>
      </w:r>
      <w:r w:rsidRPr="001346EE">
        <w:rPr>
          <w:lang w:val="nl-BE"/>
        </w:rPr>
        <w:t xml:space="preserve"> de FOSB WG Metadata en Standaardisatie een </w:t>
      </w:r>
      <w:r w:rsidR="003B1C03">
        <w:rPr>
          <w:lang w:val="nl-BE"/>
        </w:rPr>
        <w:t>gelijkaardige</w:t>
      </w:r>
      <w:r w:rsidRPr="001346EE">
        <w:rPr>
          <w:lang w:val="nl-BE"/>
        </w:rPr>
        <w:t xml:space="preserve"> aanpak </w:t>
      </w:r>
      <w:r w:rsidR="00D2148D">
        <w:rPr>
          <w:lang w:val="nl-BE"/>
        </w:rPr>
        <w:t>aanwenden</w:t>
      </w:r>
      <w:r w:rsidRPr="001346EE">
        <w:rPr>
          <w:lang w:val="nl-BE"/>
        </w:rPr>
        <w:t xml:space="preserve"> voor disciplinaire metadata </w:t>
      </w:r>
      <w:r w:rsidR="003B1C03">
        <w:rPr>
          <w:lang w:val="nl-BE"/>
        </w:rPr>
        <w:t xml:space="preserve">voor </w:t>
      </w:r>
      <w:r w:rsidRPr="001346EE">
        <w:rPr>
          <w:lang w:val="nl-BE"/>
        </w:rPr>
        <w:t xml:space="preserve">wat betreft de ontwikkeling van een semantisch beschreven </w:t>
      </w:r>
      <w:proofErr w:type="spellStart"/>
      <w:r w:rsidRPr="001346EE">
        <w:rPr>
          <w:lang w:val="nl-BE"/>
        </w:rPr>
        <w:t>metadatamodel</w:t>
      </w:r>
      <w:proofErr w:type="spellEnd"/>
      <w:r w:rsidRPr="001346EE">
        <w:rPr>
          <w:lang w:val="nl-BE"/>
        </w:rPr>
        <w:t xml:space="preserve"> </w:t>
      </w:r>
      <w:r w:rsidRPr="001346EE">
        <w:rPr>
          <w:lang w:val="nl-BE"/>
        </w:rPr>
        <w:lastRenderedPageBreak/>
        <w:t xml:space="preserve">en de ondersteuning van de implementatie. De uitdaging </w:t>
      </w:r>
      <w:r w:rsidR="00D2148D">
        <w:rPr>
          <w:lang w:val="nl-BE"/>
        </w:rPr>
        <w:t>hier is</w:t>
      </w:r>
      <w:r w:rsidRPr="001346EE">
        <w:rPr>
          <w:lang w:val="nl-BE"/>
        </w:rPr>
        <w:t xml:space="preserve"> om een semantisch beschreven standaard voor disciplinaire metadata af te bakenen in de grote verscheidenheid aan disciplinaire standaarden die vandaag de dag bestaan bij alle betrokken (disciplinaire) stakeholders, en </w:t>
      </w:r>
      <w:r w:rsidR="00D2148D">
        <w:rPr>
          <w:lang w:val="nl-BE"/>
        </w:rPr>
        <w:t xml:space="preserve">dit </w:t>
      </w:r>
      <w:r w:rsidRPr="001346EE">
        <w:rPr>
          <w:lang w:val="nl-BE"/>
        </w:rPr>
        <w:t xml:space="preserve">in lijn met </w:t>
      </w:r>
      <w:r w:rsidR="00D2148D">
        <w:rPr>
          <w:lang w:val="nl-BE"/>
        </w:rPr>
        <w:t xml:space="preserve">de ontwikkelingen binnen </w:t>
      </w:r>
      <w:r w:rsidRPr="001346EE">
        <w:rPr>
          <w:lang w:val="nl-BE"/>
        </w:rPr>
        <w:t xml:space="preserve">EOSC. </w:t>
      </w:r>
      <w:r w:rsidR="00E3251F">
        <w:rPr>
          <w:lang w:val="nl-BE"/>
        </w:rPr>
        <w:t xml:space="preserve">Hiertoe zal een gelijkaardige methodologie gehanteerd worden zoals </w:t>
      </w:r>
      <w:r w:rsidRPr="001346EE">
        <w:rPr>
          <w:lang w:val="nl-BE"/>
        </w:rPr>
        <w:t>hierboven beschreven</w:t>
      </w:r>
      <w:r w:rsidR="00E3251F">
        <w:rPr>
          <w:lang w:val="nl-BE"/>
        </w:rPr>
        <w:t xml:space="preserve"> </w:t>
      </w:r>
      <w:r w:rsidRPr="001346EE">
        <w:rPr>
          <w:lang w:val="nl-BE"/>
        </w:rPr>
        <w:t>om te komen tot disciplinaire standaarden. Ten slotte zal de WG</w:t>
      </w:r>
      <w:r w:rsidR="00D2148D" w:rsidRPr="00D2148D">
        <w:rPr>
          <w:lang w:val="nl-BE"/>
        </w:rPr>
        <w:t xml:space="preserve"> </w:t>
      </w:r>
      <w:r w:rsidR="00D2148D" w:rsidRPr="001346EE">
        <w:rPr>
          <w:lang w:val="nl-BE"/>
        </w:rPr>
        <w:t xml:space="preserve">ook de ontwikkelingen op Europees en internationaal niveau op </w:t>
      </w:r>
      <w:r w:rsidR="00D2148D">
        <w:rPr>
          <w:lang w:val="nl-BE"/>
        </w:rPr>
        <w:t>het gebied van metadata</w:t>
      </w:r>
      <w:r w:rsidR="00E3251F">
        <w:rPr>
          <w:lang w:val="nl-BE"/>
        </w:rPr>
        <w:t xml:space="preserve"> standaarden</w:t>
      </w:r>
      <w:r w:rsidR="00D2148D" w:rsidRPr="001346EE">
        <w:rPr>
          <w:lang w:val="nl-BE"/>
        </w:rPr>
        <w:t xml:space="preserve"> volgen</w:t>
      </w:r>
      <w:r w:rsidRPr="001346EE">
        <w:rPr>
          <w:lang w:val="nl-BE"/>
        </w:rPr>
        <w:t xml:space="preserve">, </w:t>
      </w:r>
      <w:r w:rsidR="00D2148D">
        <w:rPr>
          <w:lang w:val="nl-BE"/>
        </w:rPr>
        <w:t>met nadruk op de ontwikkelingen binnen EOSC vermits</w:t>
      </w:r>
      <w:r w:rsidRPr="001346EE">
        <w:rPr>
          <w:lang w:val="nl-BE"/>
        </w:rPr>
        <w:t xml:space="preserve"> FRIS</w:t>
      </w:r>
      <w:r w:rsidR="00D2148D">
        <w:rPr>
          <w:lang w:val="nl-BE"/>
        </w:rPr>
        <w:t xml:space="preserve"> zal fungeren als connectie tussen de metadata</w:t>
      </w:r>
      <w:r w:rsidR="00E3251F">
        <w:rPr>
          <w:lang w:val="nl-BE"/>
        </w:rPr>
        <w:t xml:space="preserve"> </w:t>
      </w:r>
      <w:proofErr w:type="spellStart"/>
      <w:r w:rsidR="00D2148D">
        <w:rPr>
          <w:lang w:val="nl-BE"/>
        </w:rPr>
        <w:t>repositories</w:t>
      </w:r>
      <w:proofErr w:type="spellEnd"/>
      <w:r w:rsidR="00D2148D">
        <w:rPr>
          <w:lang w:val="nl-BE"/>
        </w:rPr>
        <w:t xml:space="preserve"> van de </w:t>
      </w:r>
      <w:proofErr w:type="spellStart"/>
      <w:r w:rsidR="00D2148D">
        <w:rPr>
          <w:lang w:val="nl-BE"/>
        </w:rPr>
        <w:t>RPO’s</w:t>
      </w:r>
      <w:proofErr w:type="spellEnd"/>
      <w:r w:rsidR="00D2148D">
        <w:rPr>
          <w:lang w:val="nl-BE"/>
        </w:rPr>
        <w:t xml:space="preserve"> en EOSC.</w:t>
      </w:r>
    </w:p>
    <w:p w:rsidR="00F3145D" w:rsidRDefault="00F3145D" w:rsidP="00F3145D">
      <w:pPr>
        <w:jc w:val="both"/>
        <w:rPr>
          <w:lang w:val="nl-BE"/>
        </w:rPr>
      </w:pPr>
    </w:p>
    <w:p w:rsidR="001346EE" w:rsidRPr="0095201D" w:rsidRDefault="0095201D" w:rsidP="001346EE">
      <w:pPr>
        <w:rPr>
          <w:i/>
          <w:lang w:val="nl-BE"/>
        </w:rPr>
      </w:pPr>
      <w:r>
        <w:rPr>
          <w:i/>
          <w:lang w:val="nl-BE"/>
        </w:rPr>
        <w:t>Krachtlijnen</w:t>
      </w:r>
    </w:p>
    <w:p w:rsidR="001346EE" w:rsidRPr="001346EE" w:rsidRDefault="001346EE" w:rsidP="001346EE">
      <w:pPr>
        <w:rPr>
          <w:lang w:val="nl-BE"/>
        </w:rPr>
      </w:pPr>
      <w:r w:rsidRPr="001346EE">
        <w:rPr>
          <w:lang w:val="nl-BE"/>
        </w:rPr>
        <w:t xml:space="preserve">1. Ontwikkeling en ondersteuning van de implementatie van een semantisch beschreven generiek </w:t>
      </w:r>
      <w:proofErr w:type="spellStart"/>
      <w:r w:rsidRPr="001346EE">
        <w:rPr>
          <w:lang w:val="nl-BE"/>
        </w:rPr>
        <w:t>metadatamodel</w:t>
      </w:r>
      <w:proofErr w:type="spellEnd"/>
      <w:r w:rsidRPr="001346EE">
        <w:rPr>
          <w:lang w:val="nl-BE"/>
        </w:rPr>
        <w:t xml:space="preserve"> voor metagegevens over onderzoeksgegevens</w:t>
      </w:r>
    </w:p>
    <w:p w:rsidR="001346EE" w:rsidRPr="001346EE" w:rsidRDefault="001346EE" w:rsidP="001346EE">
      <w:pPr>
        <w:rPr>
          <w:lang w:val="nl-BE"/>
        </w:rPr>
      </w:pPr>
      <w:r w:rsidRPr="001346EE">
        <w:rPr>
          <w:lang w:val="nl-BE"/>
        </w:rPr>
        <w:t xml:space="preserve">2. Ontwikkeling en ondersteuning van de implementatie van een semantisch beschreven disciplinair </w:t>
      </w:r>
      <w:proofErr w:type="spellStart"/>
      <w:r w:rsidRPr="001346EE">
        <w:rPr>
          <w:lang w:val="nl-BE"/>
        </w:rPr>
        <w:t>metadatamodel</w:t>
      </w:r>
      <w:proofErr w:type="spellEnd"/>
      <w:r w:rsidRPr="001346EE">
        <w:rPr>
          <w:lang w:val="nl-BE"/>
        </w:rPr>
        <w:t xml:space="preserve"> voor onderzoeksgegevens.</w:t>
      </w:r>
    </w:p>
    <w:p w:rsidR="001346EE" w:rsidRDefault="001346EE" w:rsidP="001346EE">
      <w:pPr>
        <w:rPr>
          <w:lang w:val="nl-BE"/>
        </w:rPr>
      </w:pPr>
      <w:r w:rsidRPr="001346EE">
        <w:rPr>
          <w:lang w:val="nl-BE"/>
        </w:rPr>
        <w:t>3. Toezicht op en aanpassing aan Europese en internationale trends, met name op het gebied van het EOSC</w:t>
      </w:r>
    </w:p>
    <w:p w:rsidR="00F3145D" w:rsidRPr="001346EE" w:rsidRDefault="00F3145D" w:rsidP="001346EE">
      <w:pPr>
        <w:rPr>
          <w:lang w:val="nl-BE"/>
        </w:rPr>
      </w:pPr>
    </w:p>
    <w:p w:rsidR="0095201D" w:rsidRPr="00492D55" w:rsidRDefault="0095201D" w:rsidP="0095201D">
      <w:pPr>
        <w:rPr>
          <w:i/>
        </w:rPr>
      </w:pPr>
      <w:r w:rsidRPr="00492D55">
        <w:rPr>
          <w:i/>
        </w:rPr>
        <w:t>Roadmap</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709"/>
        <w:gridCol w:w="708"/>
        <w:gridCol w:w="709"/>
        <w:gridCol w:w="851"/>
        <w:gridCol w:w="850"/>
        <w:gridCol w:w="851"/>
        <w:gridCol w:w="708"/>
      </w:tblGrid>
      <w:tr w:rsidR="0095201D" w:rsidTr="002037AB">
        <w:tc>
          <w:tcPr>
            <w:tcW w:w="3681" w:type="dxa"/>
          </w:tcPr>
          <w:p w:rsidR="0095201D" w:rsidRDefault="0095201D" w:rsidP="002037AB">
            <w:pPr>
              <w:rPr>
                <w:sz w:val="20"/>
                <w:szCs w:val="20"/>
              </w:rPr>
            </w:pPr>
            <w:proofErr w:type="spellStart"/>
            <w:r>
              <w:rPr>
                <w:sz w:val="20"/>
                <w:szCs w:val="20"/>
              </w:rPr>
              <w:t>Doelstellingen</w:t>
            </w:r>
            <w:proofErr w:type="spellEnd"/>
            <w:r>
              <w:rPr>
                <w:sz w:val="20"/>
                <w:szCs w:val="20"/>
              </w:rPr>
              <w:t xml:space="preserve"> – timing (</w:t>
            </w:r>
            <w:r>
              <w:rPr>
                <w:i/>
                <w:sz w:val="20"/>
                <w:szCs w:val="20"/>
                <w:shd w:val="clear" w:color="auto" w:fill="C5E0B3"/>
              </w:rPr>
              <w:t>ongoing</w:t>
            </w:r>
            <w:r>
              <w:rPr>
                <w:sz w:val="20"/>
                <w:szCs w:val="20"/>
              </w:rPr>
              <w:t xml:space="preserve"> –</w:t>
            </w:r>
            <w:r>
              <w:rPr>
                <w:sz w:val="20"/>
                <w:szCs w:val="20"/>
                <w:shd w:val="clear" w:color="auto" w:fill="70AD47"/>
              </w:rPr>
              <w:t xml:space="preserve"> </w:t>
            </w:r>
            <w:r>
              <w:rPr>
                <w:i/>
                <w:sz w:val="20"/>
                <w:szCs w:val="20"/>
                <w:shd w:val="clear" w:color="auto" w:fill="70AD47"/>
              </w:rPr>
              <w:t>done</w:t>
            </w:r>
            <w:r>
              <w:rPr>
                <w:sz w:val="20"/>
                <w:szCs w:val="20"/>
              </w:rPr>
              <w:t>)</w:t>
            </w:r>
          </w:p>
        </w:tc>
        <w:tc>
          <w:tcPr>
            <w:tcW w:w="2126" w:type="dxa"/>
            <w:gridSpan w:val="3"/>
          </w:tcPr>
          <w:p w:rsidR="0095201D" w:rsidRDefault="0095201D" w:rsidP="002037AB">
            <w:pPr>
              <w:jc w:val="center"/>
            </w:pPr>
            <w:r>
              <w:t>2020</w:t>
            </w:r>
          </w:p>
        </w:tc>
        <w:tc>
          <w:tcPr>
            <w:tcW w:w="1701" w:type="dxa"/>
            <w:gridSpan w:val="2"/>
          </w:tcPr>
          <w:p w:rsidR="0095201D" w:rsidRDefault="0095201D" w:rsidP="002037AB">
            <w:pPr>
              <w:jc w:val="center"/>
            </w:pPr>
            <w:r>
              <w:t>2021</w:t>
            </w:r>
          </w:p>
        </w:tc>
        <w:tc>
          <w:tcPr>
            <w:tcW w:w="851" w:type="dxa"/>
          </w:tcPr>
          <w:p w:rsidR="0095201D" w:rsidRDefault="0095201D" w:rsidP="002037AB">
            <w:pPr>
              <w:jc w:val="center"/>
            </w:pPr>
            <w:r>
              <w:t>2022</w:t>
            </w:r>
          </w:p>
        </w:tc>
        <w:tc>
          <w:tcPr>
            <w:tcW w:w="708" w:type="dxa"/>
          </w:tcPr>
          <w:p w:rsidR="0095201D" w:rsidRDefault="0095201D" w:rsidP="002037AB">
            <w:pPr>
              <w:jc w:val="center"/>
            </w:pPr>
            <w:r>
              <w:t>2023- ...</w:t>
            </w:r>
          </w:p>
        </w:tc>
      </w:tr>
      <w:tr w:rsidR="0095201D" w:rsidTr="002037AB">
        <w:tc>
          <w:tcPr>
            <w:tcW w:w="3681" w:type="dxa"/>
          </w:tcPr>
          <w:p w:rsidR="0095201D" w:rsidRDefault="0095201D" w:rsidP="002037AB"/>
        </w:tc>
        <w:tc>
          <w:tcPr>
            <w:tcW w:w="709" w:type="dxa"/>
          </w:tcPr>
          <w:p w:rsidR="0095201D" w:rsidRDefault="0095201D" w:rsidP="002037AB">
            <w:pPr>
              <w:jc w:val="center"/>
              <w:rPr>
                <w:sz w:val="20"/>
                <w:szCs w:val="20"/>
              </w:rPr>
            </w:pPr>
            <w:r>
              <w:rPr>
                <w:sz w:val="20"/>
                <w:szCs w:val="20"/>
              </w:rPr>
              <w:t>Q2</w:t>
            </w:r>
          </w:p>
        </w:tc>
        <w:tc>
          <w:tcPr>
            <w:tcW w:w="708" w:type="dxa"/>
          </w:tcPr>
          <w:p w:rsidR="0095201D" w:rsidRDefault="0095201D" w:rsidP="002037AB">
            <w:pPr>
              <w:jc w:val="center"/>
              <w:rPr>
                <w:sz w:val="20"/>
                <w:szCs w:val="20"/>
              </w:rPr>
            </w:pPr>
            <w:r>
              <w:rPr>
                <w:sz w:val="20"/>
                <w:szCs w:val="20"/>
              </w:rPr>
              <w:t>Q3</w:t>
            </w:r>
          </w:p>
        </w:tc>
        <w:tc>
          <w:tcPr>
            <w:tcW w:w="709" w:type="dxa"/>
          </w:tcPr>
          <w:p w:rsidR="0095201D" w:rsidRDefault="0095201D" w:rsidP="002037AB">
            <w:pPr>
              <w:jc w:val="center"/>
              <w:rPr>
                <w:sz w:val="20"/>
                <w:szCs w:val="20"/>
              </w:rPr>
            </w:pPr>
            <w:r>
              <w:rPr>
                <w:sz w:val="20"/>
                <w:szCs w:val="20"/>
              </w:rPr>
              <w:t>Q4</w:t>
            </w:r>
          </w:p>
        </w:tc>
        <w:tc>
          <w:tcPr>
            <w:tcW w:w="851" w:type="dxa"/>
          </w:tcPr>
          <w:p w:rsidR="0095201D" w:rsidRDefault="0095201D" w:rsidP="002037AB">
            <w:pPr>
              <w:jc w:val="center"/>
              <w:rPr>
                <w:sz w:val="20"/>
                <w:szCs w:val="20"/>
              </w:rPr>
            </w:pPr>
            <w:r>
              <w:rPr>
                <w:sz w:val="20"/>
                <w:szCs w:val="20"/>
              </w:rPr>
              <w:t>Q1/Q2</w:t>
            </w:r>
          </w:p>
        </w:tc>
        <w:tc>
          <w:tcPr>
            <w:tcW w:w="850" w:type="dxa"/>
          </w:tcPr>
          <w:p w:rsidR="0095201D" w:rsidRDefault="0095201D" w:rsidP="002037AB">
            <w:pPr>
              <w:jc w:val="center"/>
              <w:rPr>
                <w:sz w:val="20"/>
                <w:szCs w:val="20"/>
              </w:rPr>
            </w:pPr>
            <w:r>
              <w:rPr>
                <w:sz w:val="20"/>
                <w:szCs w:val="20"/>
              </w:rPr>
              <w:t>Q3/Q4</w:t>
            </w:r>
          </w:p>
        </w:tc>
        <w:tc>
          <w:tcPr>
            <w:tcW w:w="851" w:type="dxa"/>
          </w:tcPr>
          <w:p w:rsidR="0095201D" w:rsidRDefault="0095201D" w:rsidP="002037AB"/>
        </w:tc>
        <w:tc>
          <w:tcPr>
            <w:tcW w:w="708" w:type="dxa"/>
          </w:tcPr>
          <w:p w:rsidR="0095201D" w:rsidRDefault="0095201D" w:rsidP="002037AB"/>
        </w:tc>
      </w:tr>
      <w:tr w:rsidR="0095201D" w:rsidRPr="00F05FEE" w:rsidTr="002037AB">
        <w:tc>
          <w:tcPr>
            <w:tcW w:w="9067" w:type="dxa"/>
            <w:gridSpan w:val="8"/>
          </w:tcPr>
          <w:p w:rsidR="0095201D" w:rsidRPr="0095201D" w:rsidRDefault="0095201D" w:rsidP="0095201D">
            <w:pPr>
              <w:numPr>
                <w:ilvl w:val="0"/>
                <w:numId w:val="1"/>
              </w:numPr>
              <w:pBdr>
                <w:top w:val="nil"/>
                <w:left w:val="nil"/>
                <w:bottom w:val="nil"/>
                <w:right w:val="nil"/>
                <w:between w:val="nil"/>
              </w:pBdr>
              <w:spacing w:after="0"/>
              <w:ind w:left="314"/>
              <w:rPr>
                <w:color w:val="000000"/>
                <w:sz w:val="20"/>
                <w:szCs w:val="20"/>
                <w:lang w:val="nl-BE"/>
              </w:rPr>
            </w:pPr>
            <w:r w:rsidRPr="0095201D">
              <w:rPr>
                <w:color w:val="000000"/>
                <w:sz w:val="20"/>
                <w:szCs w:val="20"/>
                <w:lang w:val="nl-BE"/>
              </w:rPr>
              <w:t xml:space="preserve">Ontwikkeling en ondersteuning van de implementatie van een semantisch beschreven </w:t>
            </w:r>
            <w:r w:rsidRPr="0095201D">
              <w:rPr>
                <w:b/>
                <w:color w:val="000000"/>
                <w:sz w:val="20"/>
                <w:szCs w:val="20"/>
                <w:lang w:val="nl-BE"/>
              </w:rPr>
              <w:t xml:space="preserve">generiek </w:t>
            </w:r>
            <w:proofErr w:type="spellStart"/>
            <w:r w:rsidRPr="0095201D">
              <w:rPr>
                <w:color w:val="000000"/>
                <w:sz w:val="20"/>
                <w:szCs w:val="20"/>
                <w:lang w:val="nl-BE"/>
              </w:rPr>
              <w:t>metadatamodel</w:t>
            </w:r>
            <w:proofErr w:type="spellEnd"/>
            <w:r w:rsidRPr="0095201D">
              <w:rPr>
                <w:color w:val="000000"/>
                <w:sz w:val="20"/>
                <w:szCs w:val="20"/>
                <w:lang w:val="nl-BE"/>
              </w:rPr>
              <w:t xml:space="preserve"> voor metagegevens over onderzoeksgegevens</w:t>
            </w:r>
          </w:p>
        </w:tc>
      </w:tr>
      <w:tr w:rsidR="0095201D" w:rsidRPr="00F05FEE" w:rsidTr="002037AB">
        <w:tc>
          <w:tcPr>
            <w:tcW w:w="9067" w:type="dxa"/>
            <w:gridSpan w:val="8"/>
          </w:tcPr>
          <w:p w:rsidR="0095201D" w:rsidRPr="0095201D" w:rsidRDefault="0095201D" w:rsidP="00E3251F">
            <w:pPr>
              <w:numPr>
                <w:ilvl w:val="1"/>
                <w:numId w:val="1"/>
              </w:numPr>
              <w:pBdr>
                <w:top w:val="nil"/>
                <w:left w:val="nil"/>
                <w:bottom w:val="nil"/>
                <w:right w:val="nil"/>
                <w:between w:val="nil"/>
              </w:pBdr>
              <w:spacing w:after="0"/>
              <w:ind w:left="314"/>
              <w:rPr>
                <w:i/>
                <w:color w:val="000000"/>
                <w:sz w:val="20"/>
                <w:szCs w:val="20"/>
                <w:lang w:val="nl-BE"/>
              </w:rPr>
            </w:pPr>
            <w:r w:rsidRPr="0095201D">
              <w:rPr>
                <w:i/>
                <w:color w:val="000000"/>
                <w:sz w:val="20"/>
                <w:szCs w:val="20"/>
                <w:lang w:val="nl-BE"/>
              </w:rPr>
              <w:t xml:space="preserve">Ontwikkeling van een generiek </w:t>
            </w:r>
            <w:proofErr w:type="spellStart"/>
            <w:r w:rsidRPr="0095201D">
              <w:rPr>
                <w:i/>
                <w:color w:val="000000"/>
                <w:sz w:val="20"/>
                <w:szCs w:val="20"/>
                <w:lang w:val="nl-BE"/>
              </w:rPr>
              <w:t>metadatamodel</w:t>
            </w:r>
            <w:proofErr w:type="spellEnd"/>
            <w:r w:rsidRPr="0095201D">
              <w:rPr>
                <w:i/>
                <w:color w:val="000000"/>
                <w:sz w:val="20"/>
                <w:szCs w:val="20"/>
                <w:lang w:val="nl-BE"/>
              </w:rPr>
              <w:t xml:space="preserve"> </w:t>
            </w:r>
            <w:r w:rsidR="00E3251F">
              <w:rPr>
                <w:i/>
                <w:color w:val="000000"/>
                <w:sz w:val="20"/>
                <w:szCs w:val="20"/>
                <w:lang w:val="nl-BE"/>
              </w:rPr>
              <w:t xml:space="preserve">voor de beschrijving van onderzoeksgegevens </w:t>
            </w:r>
          </w:p>
        </w:tc>
      </w:tr>
      <w:tr w:rsidR="0095201D" w:rsidRPr="00F05FEE" w:rsidTr="003A4AF0">
        <w:trPr>
          <w:trHeight w:val="614"/>
        </w:trPr>
        <w:tc>
          <w:tcPr>
            <w:tcW w:w="3681" w:type="dxa"/>
          </w:tcPr>
          <w:p w:rsidR="0095201D" w:rsidRPr="0095201D" w:rsidRDefault="0095201D" w:rsidP="00E3251F">
            <w:pPr>
              <w:ind w:left="174"/>
              <w:rPr>
                <w:sz w:val="20"/>
                <w:szCs w:val="20"/>
                <w:lang w:val="nl-BE"/>
              </w:rPr>
            </w:pPr>
            <w:r w:rsidRPr="0095201D">
              <w:rPr>
                <w:sz w:val="20"/>
                <w:szCs w:val="20"/>
                <w:lang w:val="nl-BE"/>
              </w:rPr>
              <w:t xml:space="preserve">1.1.1 Eerste ontwerp van een model op basis van gemeenschappelijke </w:t>
            </w:r>
            <w:r w:rsidR="00E3251F">
              <w:rPr>
                <w:sz w:val="20"/>
                <w:szCs w:val="20"/>
                <w:lang w:val="nl-BE"/>
              </w:rPr>
              <w:t>standaarden</w:t>
            </w:r>
          </w:p>
        </w:tc>
        <w:tc>
          <w:tcPr>
            <w:tcW w:w="709" w:type="dxa"/>
            <w:shd w:val="clear" w:color="auto" w:fill="70AD47"/>
          </w:tcPr>
          <w:p w:rsidR="0095201D" w:rsidRPr="0095201D" w:rsidRDefault="0095201D" w:rsidP="002037AB">
            <w:pPr>
              <w:rPr>
                <w:lang w:val="nl-BE"/>
              </w:rPr>
            </w:pPr>
          </w:p>
        </w:tc>
        <w:tc>
          <w:tcPr>
            <w:tcW w:w="708" w:type="dxa"/>
          </w:tcPr>
          <w:p w:rsidR="0095201D" w:rsidRPr="0095201D" w:rsidRDefault="0095201D" w:rsidP="002037AB">
            <w:pPr>
              <w:rPr>
                <w:lang w:val="nl-BE"/>
              </w:rPr>
            </w:pPr>
          </w:p>
        </w:tc>
        <w:tc>
          <w:tcPr>
            <w:tcW w:w="709" w:type="dxa"/>
          </w:tcPr>
          <w:p w:rsidR="0095201D" w:rsidRPr="0095201D" w:rsidRDefault="0095201D" w:rsidP="002037AB">
            <w:pPr>
              <w:rPr>
                <w:lang w:val="nl-BE"/>
              </w:rPr>
            </w:pPr>
          </w:p>
        </w:tc>
        <w:tc>
          <w:tcPr>
            <w:tcW w:w="851" w:type="dxa"/>
          </w:tcPr>
          <w:p w:rsidR="0095201D" w:rsidRPr="0095201D" w:rsidRDefault="0095201D" w:rsidP="002037AB">
            <w:pPr>
              <w:rPr>
                <w:lang w:val="nl-BE"/>
              </w:rPr>
            </w:pPr>
          </w:p>
        </w:tc>
        <w:tc>
          <w:tcPr>
            <w:tcW w:w="850" w:type="dxa"/>
          </w:tcPr>
          <w:p w:rsidR="0095201D" w:rsidRPr="0095201D" w:rsidRDefault="0095201D" w:rsidP="002037AB">
            <w:pPr>
              <w:rPr>
                <w:lang w:val="nl-BE"/>
              </w:rPr>
            </w:pPr>
          </w:p>
        </w:tc>
        <w:tc>
          <w:tcPr>
            <w:tcW w:w="851" w:type="dxa"/>
          </w:tcPr>
          <w:p w:rsidR="0095201D" w:rsidRPr="0095201D" w:rsidRDefault="0095201D" w:rsidP="002037AB">
            <w:pPr>
              <w:rPr>
                <w:lang w:val="nl-BE"/>
              </w:rPr>
            </w:pPr>
          </w:p>
        </w:tc>
        <w:tc>
          <w:tcPr>
            <w:tcW w:w="708" w:type="dxa"/>
          </w:tcPr>
          <w:p w:rsidR="0095201D" w:rsidRPr="0095201D" w:rsidRDefault="0095201D" w:rsidP="002037AB">
            <w:pPr>
              <w:rPr>
                <w:lang w:val="nl-BE"/>
              </w:rPr>
            </w:pPr>
          </w:p>
        </w:tc>
      </w:tr>
      <w:tr w:rsidR="0095201D" w:rsidRPr="00F05FEE" w:rsidTr="002037AB">
        <w:tc>
          <w:tcPr>
            <w:tcW w:w="3681" w:type="dxa"/>
          </w:tcPr>
          <w:p w:rsidR="0095201D" w:rsidRPr="0095201D" w:rsidRDefault="0095201D" w:rsidP="0095201D">
            <w:pPr>
              <w:ind w:left="174"/>
              <w:rPr>
                <w:sz w:val="20"/>
                <w:szCs w:val="20"/>
                <w:lang w:val="nl-BE"/>
              </w:rPr>
            </w:pPr>
            <w:r w:rsidRPr="0095201D">
              <w:rPr>
                <w:sz w:val="20"/>
                <w:szCs w:val="20"/>
                <w:lang w:val="nl-BE"/>
              </w:rPr>
              <w:t xml:space="preserve">1.1.2 Review </w:t>
            </w:r>
            <w:r>
              <w:rPr>
                <w:sz w:val="20"/>
                <w:szCs w:val="20"/>
                <w:lang w:val="nl-BE"/>
              </w:rPr>
              <w:t>en</w:t>
            </w:r>
            <w:r w:rsidRPr="0095201D">
              <w:rPr>
                <w:sz w:val="20"/>
                <w:szCs w:val="20"/>
                <w:lang w:val="nl-BE"/>
              </w:rPr>
              <w:t xml:space="preserve"> verfijning van </w:t>
            </w:r>
            <w:proofErr w:type="spellStart"/>
            <w:r w:rsidRPr="0095201D">
              <w:rPr>
                <w:sz w:val="20"/>
                <w:szCs w:val="20"/>
                <w:lang w:val="nl-BE"/>
              </w:rPr>
              <w:t>metadatavelden</w:t>
            </w:r>
            <w:proofErr w:type="spellEnd"/>
            <w:r w:rsidRPr="0095201D">
              <w:rPr>
                <w:sz w:val="20"/>
                <w:szCs w:val="20"/>
                <w:lang w:val="nl-BE"/>
              </w:rPr>
              <w:t xml:space="preserve"> en semantiek</w:t>
            </w:r>
          </w:p>
        </w:tc>
        <w:tc>
          <w:tcPr>
            <w:tcW w:w="709" w:type="dxa"/>
            <w:shd w:val="clear" w:color="auto" w:fill="C5E0B3"/>
          </w:tcPr>
          <w:p w:rsidR="0095201D" w:rsidRPr="0095201D" w:rsidRDefault="0095201D" w:rsidP="002037AB">
            <w:pPr>
              <w:rPr>
                <w:lang w:val="nl-BE"/>
              </w:rPr>
            </w:pPr>
          </w:p>
        </w:tc>
        <w:tc>
          <w:tcPr>
            <w:tcW w:w="708" w:type="dxa"/>
            <w:shd w:val="clear" w:color="auto" w:fill="70AD47" w:themeFill="accent6"/>
          </w:tcPr>
          <w:p w:rsidR="0095201D" w:rsidRPr="0095201D" w:rsidRDefault="0095201D" w:rsidP="002037AB">
            <w:pPr>
              <w:rPr>
                <w:lang w:val="nl-BE"/>
              </w:rPr>
            </w:pPr>
          </w:p>
        </w:tc>
        <w:tc>
          <w:tcPr>
            <w:tcW w:w="709" w:type="dxa"/>
          </w:tcPr>
          <w:p w:rsidR="0095201D" w:rsidRPr="0095201D" w:rsidRDefault="0095201D" w:rsidP="002037AB">
            <w:pPr>
              <w:rPr>
                <w:lang w:val="nl-BE"/>
              </w:rPr>
            </w:pPr>
          </w:p>
        </w:tc>
        <w:tc>
          <w:tcPr>
            <w:tcW w:w="851" w:type="dxa"/>
          </w:tcPr>
          <w:p w:rsidR="0095201D" w:rsidRPr="0095201D" w:rsidRDefault="0095201D" w:rsidP="002037AB">
            <w:pPr>
              <w:rPr>
                <w:lang w:val="nl-BE"/>
              </w:rPr>
            </w:pPr>
          </w:p>
        </w:tc>
        <w:tc>
          <w:tcPr>
            <w:tcW w:w="850" w:type="dxa"/>
          </w:tcPr>
          <w:p w:rsidR="0095201D" w:rsidRPr="0095201D" w:rsidRDefault="0095201D" w:rsidP="002037AB">
            <w:pPr>
              <w:rPr>
                <w:lang w:val="nl-BE"/>
              </w:rPr>
            </w:pPr>
          </w:p>
        </w:tc>
        <w:tc>
          <w:tcPr>
            <w:tcW w:w="851" w:type="dxa"/>
          </w:tcPr>
          <w:p w:rsidR="0095201D" w:rsidRPr="0095201D" w:rsidRDefault="0095201D" w:rsidP="002037AB">
            <w:pPr>
              <w:rPr>
                <w:lang w:val="nl-BE"/>
              </w:rPr>
            </w:pPr>
          </w:p>
        </w:tc>
        <w:tc>
          <w:tcPr>
            <w:tcW w:w="708" w:type="dxa"/>
          </w:tcPr>
          <w:p w:rsidR="0095201D" w:rsidRPr="0095201D" w:rsidRDefault="0095201D" w:rsidP="002037AB">
            <w:pPr>
              <w:rPr>
                <w:lang w:val="nl-BE"/>
              </w:rPr>
            </w:pPr>
          </w:p>
        </w:tc>
      </w:tr>
      <w:tr w:rsidR="0095201D" w:rsidRPr="00F05FEE" w:rsidTr="002037AB">
        <w:tc>
          <w:tcPr>
            <w:tcW w:w="3681" w:type="dxa"/>
          </w:tcPr>
          <w:p w:rsidR="0095201D" w:rsidRPr="0095201D" w:rsidRDefault="0095201D" w:rsidP="00E3251F">
            <w:pPr>
              <w:ind w:left="174"/>
              <w:rPr>
                <w:sz w:val="20"/>
                <w:szCs w:val="20"/>
                <w:lang w:val="nl-BE"/>
              </w:rPr>
            </w:pPr>
            <w:r w:rsidRPr="0095201D">
              <w:rPr>
                <w:sz w:val="20"/>
                <w:szCs w:val="20"/>
                <w:lang w:val="nl-BE"/>
              </w:rPr>
              <w:t xml:space="preserve">1.1.3 </w:t>
            </w:r>
            <w:r>
              <w:rPr>
                <w:sz w:val="20"/>
                <w:szCs w:val="20"/>
                <w:lang w:val="nl-BE"/>
              </w:rPr>
              <w:t xml:space="preserve">Evaluatie van metadata </w:t>
            </w:r>
            <w:r w:rsidR="00E3251F">
              <w:rPr>
                <w:sz w:val="20"/>
                <w:szCs w:val="20"/>
                <w:lang w:val="nl-BE"/>
              </w:rPr>
              <w:t xml:space="preserve">velden </w:t>
            </w:r>
            <w:proofErr w:type="spellStart"/>
            <w:r w:rsidR="00E3251F">
              <w:rPr>
                <w:sz w:val="20"/>
                <w:szCs w:val="20"/>
                <w:lang w:val="nl-BE"/>
              </w:rPr>
              <w:t>mbt</w:t>
            </w:r>
            <w:proofErr w:type="spellEnd"/>
            <w:r>
              <w:rPr>
                <w:sz w:val="20"/>
                <w:szCs w:val="20"/>
                <w:lang w:val="nl-BE"/>
              </w:rPr>
              <w:t xml:space="preserve"> de</w:t>
            </w:r>
            <w:r w:rsidRPr="0095201D">
              <w:rPr>
                <w:sz w:val="20"/>
                <w:szCs w:val="20"/>
                <w:lang w:val="nl-BE"/>
              </w:rPr>
              <w:t xml:space="preserve"> FAIR-principes</w:t>
            </w:r>
          </w:p>
        </w:tc>
        <w:tc>
          <w:tcPr>
            <w:tcW w:w="709" w:type="dxa"/>
            <w:shd w:val="clear" w:color="auto" w:fill="C5E0B3"/>
          </w:tcPr>
          <w:p w:rsidR="0095201D" w:rsidRPr="0095201D" w:rsidRDefault="0095201D" w:rsidP="002037AB">
            <w:pPr>
              <w:rPr>
                <w:lang w:val="nl-BE"/>
              </w:rPr>
            </w:pPr>
          </w:p>
        </w:tc>
        <w:tc>
          <w:tcPr>
            <w:tcW w:w="708" w:type="dxa"/>
            <w:shd w:val="clear" w:color="auto" w:fill="70AD47" w:themeFill="accent6"/>
          </w:tcPr>
          <w:p w:rsidR="0095201D" w:rsidRPr="0095201D" w:rsidRDefault="0095201D" w:rsidP="002037AB">
            <w:pPr>
              <w:rPr>
                <w:lang w:val="nl-BE"/>
              </w:rPr>
            </w:pPr>
          </w:p>
        </w:tc>
        <w:tc>
          <w:tcPr>
            <w:tcW w:w="709" w:type="dxa"/>
          </w:tcPr>
          <w:p w:rsidR="0095201D" w:rsidRPr="0095201D" w:rsidRDefault="0095201D" w:rsidP="002037AB">
            <w:pPr>
              <w:rPr>
                <w:lang w:val="nl-BE"/>
              </w:rPr>
            </w:pPr>
          </w:p>
        </w:tc>
        <w:tc>
          <w:tcPr>
            <w:tcW w:w="851" w:type="dxa"/>
          </w:tcPr>
          <w:p w:rsidR="0095201D" w:rsidRPr="0095201D" w:rsidRDefault="0095201D" w:rsidP="002037AB">
            <w:pPr>
              <w:rPr>
                <w:lang w:val="nl-BE"/>
              </w:rPr>
            </w:pPr>
          </w:p>
        </w:tc>
        <w:tc>
          <w:tcPr>
            <w:tcW w:w="850" w:type="dxa"/>
          </w:tcPr>
          <w:p w:rsidR="0095201D" w:rsidRPr="0095201D" w:rsidRDefault="0095201D" w:rsidP="002037AB">
            <w:pPr>
              <w:rPr>
                <w:lang w:val="nl-BE"/>
              </w:rPr>
            </w:pPr>
          </w:p>
        </w:tc>
        <w:tc>
          <w:tcPr>
            <w:tcW w:w="851" w:type="dxa"/>
          </w:tcPr>
          <w:p w:rsidR="0095201D" w:rsidRPr="0095201D" w:rsidRDefault="0095201D" w:rsidP="002037AB">
            <w:pPr>
              <w:rPr>
                <w:lang w:val="nl-BE"/>
              </w:rPr>
            </w:pPr>
          </w:p>
        </w:tc>
        <w:tc>
          <w:tcPr>
            <w:tcW w:w="708" w:type="dxa"/>
          </w:tcPr>
          <w:p w:rsidR="0095201D" w:rsidRPr="0095201D" w:rsidRDefault="0095201D" w:rsidP="002037AB">
            <w:pPr>
              <w:rPr>
                <w:lang w:val="nl-BE"/>
              </w:rPr>
            </w:pPr>
          </w:p>
        </w:tc>
      </w:tr>
      <w:tr w:rsidR="0095201D" w:rsidRPr="00F05FEE" w:rsidTr="002037AB">
        <w:tc>
          <w:tcPr>
            <w:tcW w:w="3681" w:type="dxa"/>
          </w:tcPr>
          <w:p w:rsidR="0095201D" w:rsidRPr="0095201D" w:rsidRDefault="0095201D" w:rsidP="002037AB">
            <w:pPr>
              <w:ind w:left="174"/>
              <w:rPr>
                <w:sz w:val="20"/>
                <w:szCs w:val="20"/>
                <w:lang w:val="nl-BE"/>
              </w:rPr>
            </w:pPr>
            <w:r w:rsidRPr="0095201D">
              <w:rPr>
                <w:sz w:val="20"/>
                <w:szCs w:val="20"/>
                <w:lang w:val="nl-BE"/>
              </w:rPr>
              <w:t>1.1.4 Validatie van het generieke metadatamodel</w:t>
            </w:r>
          </w:p>
        </w:tc>
        <w:tc>
          <w:tcPr>
            <w:tcW w:w="709" w:type="dxa"/>
          </w:tcPr>
          <w:p w:rsidR="0095201D" w:rsidRPr="0095201D" w:rsidRDefault="0095201D" w:rsidP="002037AB">
            <w:pPr>
              <w:rPr>
                <w:lang w:val="nl-BE"/>
              </w:rPr>
            </w:pPr>
          </w:p>
        </w:tc>
        <w:tc>
          <w:tcPr>
            <w:tcW w:w="708" w:type="dxa"/>
            <w:shd w:val="clear" w:color="auto" w:fill="70AD47"/>
          </w:tcPr>
          <w:p w:rsidR="0095201D" w:rsidRPr="0095201D" w:rsidRDefault="0095201D" w:rsidP="002037AB">
            <w:pPr>
              <w:rPr>
                <w:lang w:val="nl-BE"/>
              </w:rPr>
            </w:pPr>
          </w:p>
        </w:tc>
        <w:tc>
          <w:tcPr>
            <w:tcW w:w="709" w:type="dxa"/>
          </w:tcPr>
          <w:p w:rsidR="0095201D" w:rsidRPr="0095201D" w:rsidRDefault="0095201D" w:rsidP="002037AB">
            <w:pPr>
              <w:rPr>
                <w:lang w:val="nl-BE"/>
              </w:rPr>
            </w:pPr>
          </w:p>
        </w:tc>
        <w:tc>
          <w:tcPr>
            <w:tcW w:w="851" w:type="dxa"/>
          </w:tcPr>
          <w:p w:rsidR="0095201D" w:rsidRPr="0095201D" w:rsidRDefault="0095201D" w:rsidP="002037AB">
            <w:pPr>
              <w:rPr>
                <w:lang w:val="nl-BE"/>
              </w:rPr>
            </w:pPr>
          </w:p>
        </w:tc>
        <w:tc>
          <w:tcPr>
            <w:tcW w:w="850" w:type="dxa"/>
          </w:tcPr>
          <w:p w:rsidR="0095201D" w:rsidRPr="0095201D" w:rsidRDefault="0095201D" w:rsidP="002037AB">
            <w:pPr>
              <w:rPr>
                <w:lang w:val="nl-BE"/>
              </w:rPr>
            </w:pPr>
          </w:p>
        </w:tc>
        <w:tc>
          <w:tcPr>
            <w:tcW w:w="851" w:type="dxa"/>
          </w:tcPr>
          <w:p w:rsidR="0095201D" w:rsidRPr="0095201D" w:rsidRDefault="0095201D" w:rsidP="002037AB">
            <w:pPr>
              <w:rPr>
                <w:lang w:val="nl-BE"/>
              </w:rPr>
            </w:pPr>
          </w:p>
        </w:tc>
        <w:tc>
          <w:tcPr>
            <w:tcW w:w="708" w:type="dxa"/>
          </w:tcPr>
          <w:p w:rsidR="0095201D" w:rsidRPr="0095201D" w:rsidRDefault="0095201D" w:rsidP="002037AB">
            <w:pPr>
              <w:rPr>
                <w:lang w:val="nl-BE"/>
              </w:rPr>
            </w:pPr>
          </w:p>
        </w:tc>
      </w:tr>
      <w:tr w:rsidR="0095201D" w:rsidRPr="00F05FEE" w:rsidTr="002037AB">
        <w:tc>
          <w:tcPr>
            <w:tcW w:w="9067" w:type="dxa"/>
            <w:gridSpan w:val="8"/>
          </w:tcPr>
          <w:p w:rsidR="0095201D" w:rsidRPr="0058161B" w:rsidRDefault="0058161B" w:rsidP="00E3251F">
            <w:pPr>
              <w:numPr>
                <w:ilvl w:val="1"/>
                <w:numId w:val="1"/>
              </w:numPr>
              <w:pBdr>
                <w:top w:val="nil"/>
                <w:left w:val="nil"/>
                <w:bottom w:val="nil"/>
                <w:right w:val="nil"/>
                <w:between w:val="nil"/>
              </w:pBdr>
              <w:spacing w:after="0"/>
              <w:ind w:left="313"/>
              <w:rPr>
                <w:i/>
                <w:color w:val="000000"/>
                <w:sz w:val="20"/>
                <w:szCs w:val="20"/>
                <w:lang w:val="nl-BE"/>
              </w:rPr>
            </w:pPr>
            <w:r w:rsidRPr="0058161B">
              <w:rPr>
                <w:i/>
                <w:color w:val="000000"/>
                <w:sz w:val="20"/>
                <w:szCs w:val="20"/>
                <w:lang w:val="nl-BE"/>
              </w:rPr>
              <w:t xml:space="preserve">Ondersteuning van de implementatie van het generieke </w:t>
            </w:r>
            <w:proofErr w:type="spellStart"/>
            <w:r w:rsidRPr="0058161B">
              <w:rPr>
                <w:i/>
                <w:color w:val="000000"/>
                <w:sz w:val="20"/>
                <w:szCs w:val="20"/>
                <w:lang w:val="nl-BE"/>
              </w:rPr>
              <w:t>metadatamodel</w:t>
            </w:r>
            <w:proofErr w:type="spellEnd"/>
            <w:r w:rsidRPr="0058161B">
              <w:rPr>
                <w:i/>
                <w:color w:val="000000"/>
                <w:sz w:val="20"/>
                <w:szCs w:val="20"/>
                <w:lang w:val="nl-BE"/>
              </w:rPr>
              <w:t xml:space="preserve"> </w:t>
            </w:r>
            <w:r w:rsidR="00E3251F">
              <w:rPr>
                <w:i/>
                <w:color w:val="000000"/>
                <w:sz w:val="20"/>
                <w:szCs w:val="20"/>
                <w:lang w:val="nl-BE"/>
              </w:rPr>
              <w:t>voor de beschrijving van onderzoeksgegevens</w:t>
            </w:r>
          </w:p>
        </w:tc>
      </w:tr>
      <w:tr w:rsidR="0095201D" w:rsidRPr="00F05FEE" w:rsidTr="002037AB">
        <w:tc>
          <w:tcPr>
            <w:tcW w:w="3681" w:type="dxa"/>
          </w:tcPr>
          <w:p w:rsidR="0095201D" w:rsidRPr="0058161B" w:rsidRDefault="0095201D" w:rsidP="002037AB">
            <w:pPr>
              <w:ind w:left="174"/>
              <w:rPr>
                <w:sz w:val="20"/>
                <w:szCs w:val="20"/>
                <w:lang w:val="nl-BE"/>
              </w:rPr>
            </w:pPr>
            <w:r w:rsidRPr="0058161B">
              <w:rPr>
                <w:sz w:val="20"/>
                <w:szCs w:val="20"/>
                <w:lang w:val="nl-BE"/>
              </w:rPr>
              <w:t xml:space="preserve">1.2.1 </w:t>
            </w:r>
            <w:r w:rsidR="0058161B" w:rsidRPr="0058161B">
              <w:rPr>
                <w:sz w:val="20"/>
                <w:szCs w:val="20"/>
                <w:lang w:val="nl-BE"/>
              </w:rPr>
              <w:t xml:space="preserve">Identificatie van discrepanties tussen het generieke </w:t>
            </w:r>
            <w:proofErr w:type="spellStart"/>
            <w:r w:rsidR="0058161B" w:rsidRPr="0058161B">
              <w:rPr>
                <w:sz w:val="20"/>
                <w:szCs w:val="20"/>
                <w:lang w:val="nl-BE"/>
              </w:rPr>
              <w:t>metadatamodel</w:t>
            </w:r>
            <w:proofErr w:type="spellEnd"/>
            <w:r w:rsidR="0058161B" w:rsidRPr="0058161B">
              <w:rPr>
                <w:sz w:val="20"/>
                <w:szCs w:val="20"/>
                <w:lang w:val="nl-BE"/>
              </w:rPr>
              <w:t xml:space="preserve"> </w:t>
            </w:r>
            <w:r w:rsidR="0058161B" w:rsidRPr="0058161B">
              <w:rPr>
                <w:sz w:val="20"/>
                <w:szCs w:val="20"/>
                <w:lang w:val="nl-BE"/>
              </w:rPr>
              <w:lastRenderedPageBreak/>
              <w:t xml:space="preserve">en de bestaande </w:t>
            </w:r>
            <w:proofErr w:type="spellStart"/>
            <w:r w:rsidR="0058161B" w:rsidRPr="0058161B">
              <w:rPr>
                <w:sz w:val="20"/>
                <w:szCs w:val="20"/>
                <w:lang w:val="nl-BE"/>
              </w:rPr>
              <w:t>metadatamodellen</w:t>
            </w:r>
            <w:proofErr w:type="spellEnd"/>
            <w:r w:rsidR="0058161B" w:rsidRPr="0058161B">
              <w:rPr>
                <w:sz w:val="20"/>
                <w:szCs w:val="20"/>
                <w:lang w:val="nl-BE"/>
              </w:rPr>
              <w:t xml:space="preserve"> van de informatieverstrekkende instellingen</w:t>
            </w:r>
          </w:p>
        </w:tc>
        <w:tc>
          <w:tcPr>
            <w:tcW w:w="709" w:type="dxa"/>
            <w:shd w:val="clear" w:color="auto" w:fill="C5E0B3"/>
          </w:tcPr>
          <w:p w:rsidR="0095201D" w:rsidRPr="0058161B" w:rsidRDefault="0095201D" w:rsidP="002037AB">
            <w:pPr>
              <w:rPr>
                <w:lang w:val="nl-BE"/>
              </w:rPr>
            </w:pPr>
          </w:p>
        </w:tc>
        <w:tc>
          <w:tcPr>
            <w:tcW w:w="708" w:type="dxa"/>
            <w:shd w:val="clear" w:color="auto" w:fill="C5E0B3" w:themeFill="accent6" w:themeFillTint="66"/>
          </w:tcPr>
          <w:p w:rsidR="0095201D" w:rsidRPr="0058161B" w:rsidRDefault="0095201D" w:rsidP="002037AB">
            <w:pPr>
              <w:rPr>
                <w:lang w:val="nl-BE"/>
              </w:rPr>
            </w:pPr>
          </w:p>
        </w:tc>
        <w:tc>
          <w:tcPr>
            <w:tcW w:w="709" w:type="dxa"/>
            <w:shd w:val="clear" w:color="auto" w:fill="70AD47" w:themeFill="accent6"/>
          </w:tcPr>
          <w:p w:rsidR="0095201D" w:rsidRPr="0058161B" w:rsidRDefault="0095201D" w:rsidP="002037AB">
            <w:pPr>
              <w:rPr>
                <w:lang w:val="nl-BE"/>
              </w:rPr>
            </w:pPr>
          </w:p>
        </w:tc>
        <w:tc>
          <w:tcPr>
            <w:tcW w:w="851" w:type="dxa"/>
          </w:tcPr>
          <w:p w:rsidR="0095201D" w:rsidRPr="0058161B" w:rsidRDefault="0095201D" w:rsidP="002037AB">
            <w:pPr>
              <w:rPr>
                <w:lang w:val="nl-BE"/>
              </w:rPr>
            </w:pPr>
          </w:p>
        </w:tc>
        <w:tc>
          <w:tcPr>
            <w:tcW w:w="850" w:type="dxa"/>
          </w:tcPr>
          <w:p w:rsidR="0095201D" w:rsidRPr="0058161B" w:rsidRDefault="0095201D" w:rsidP="002037AB">
            <w:pPr>
              <w:rPr>
                <w:lang w:val="nl-BE"/>
              </w:rPr>
            </w:pPr>
          </w:p>
        </w:tc>
        <w:tc>
          <w:tcPr>
            <w:tcW w:w="851" w:type="dxa"/>
          </w:tcPr>
          <w:p w:rsidR="0095201D" w:rsidRPr="0058161B" w:rsidRDefault="0095201D" w:rsidP="002037AB">
            <w:pPr>
              <w:rPr>
                <w:lang w:val="nl-BE"/>
              </w:rPr>
            </w:pPr>
          </w:p>
        </w:tc>
        <w:tc>
          <w:tcPr>
            <w:tcW w:w="708" w:type="dxa"/>
          </w:tcPr>
          <w:p w:rsidR="0095201D" w:rsidRPr="0058161B" w:rsidRDefault="0095201D" w:rsidP="002037AB">
            <w:pPr>
              <w:rPr>
                <w:lang w:val="nl-BE"/>
              </w:rPr>
            </w:pPr>
          </w:p>
        </w:tc>
      </w:tr>
      <w:tr w:rsidR="0095201D" w:rsidRPr="00F05FEE" w:rsidTr="002037AB">
        <w:tc>
          <w:tcPr>
            <w:tcW w:w="3681" w:type="dxa"/>
          </w:tcPr>
          <w:p w:rsidR="0095201D" w:rsidRPr="0058161B" w:rsidRDefault="0095201D" w:rsidP="002037AB">
            <w:pPr>
              <w:ind w:left="174"/>
              <w:rPr>
                <w:sz w:val="20"/>
                <w:szCs w:val="20"/>
                <w:lang w:val="nl-BE"/>
              </w:rPr>
            </w:pPr>
            <w:r w:rsidRPr="0058161B">
              <w:rPr>
                <w:sz w:val="20"/>
                <w:szCs w:val="20"/>
                <w:lang w:val="nl-BE"/>
              </w:rPr>
              <w:lastRenderedPageBreak/>
              <w:t xml:space="preserve">1.2.2 </w:t>
            </w:r>
            <w:r w:rsidR="0058161B" w:rsidRPr="0058161B">
              <w:rPr>
                <w:sz w:val="20"/>
                <w:szCs w:val="20"/>
                <w:lang w:val="nl-BE"/>
              </w:rPr>
              <w:t>Opstellen van semantisch beschreven concordantietabellen voor informatieverstrekkers</w:t>
            </w:r>
          </w:p>
        </w:tc>
        <w:tc>
          <w:tcPr>
            <w:tcW w:w="709" w:type="dxa"/>
            <w:shd w:val="clear" w:color="auto" w:fill="C5E0B3"/>
          </w:tcPr>
          <w:p w:rsidR="0095201D" w:rsidRPr="0058161B" w:rsidRDefault="0095201D" w:rsidP="002037AB">
            <w:pPr>
              <w:rPr>
                <w:lang w:val="nl-BE"/>
              </w:rPr>
            </w:pPr>
          </w:p>
        </w:tc>
        <w:tc>
          <w:tcPr>
            <w:tcW w:w="708" w:type="dxa"/>
            <w:shd w:val="clear" w:color="auto" w:fill="C5E0B3" w:themeFill="accent6" w:themeFillTint="66"/>
          </w:tcPr>
          <w:p w:rsidR="0095201D" w:rsidRPr="0058161B" w:rsidRDefault="0095201D" w:rsidP="002037AB">
            <w:pPr>
              <w:rPr>
                <w:lang w:val="nl-BE"/>
              </w:rPr>
            </w:pPr>
          </w:p>
        </w:tc>
        <w:tc>
          <w:tcPr>
            <w:tcW w:w="709" w:type="dxa"/>
            <w:shd w:val="clear" w:color="auto" w:fill="70AD47" w:themeFill="accent6"/>
          </w:tcPr>
          <w:p w:rsidR="0095201D" w:rsidRPr="0058161B" w:rsidRDefault="0095201D" w:rsidP="002037AB">
            <w:pPr>
              <w:rPr>
                <w:lang w:val="nl-BE"/>
              </w:rPr>
            </w:pPr>
          </w:p>
        </w:tc>
        <w:tc>
          <w:tcPr>
            <w:tcW w:w="851" w:type="dxa"/>
          </w:tcPr>
          <w:p w:rsidR="0095201D" w:rsidRPr="0058161B" w:rsidRDefault="0095201D" w:rsidP="002037AB">
            <w:pPr>
              <w:rPr>
                <w:lang w:val="nl-BE"/>
              </w:rPr>
            </w:pPr>
          </w:p>
        </w:tc>
        <w:tc>
          <w:tcPr>
            <w:tcW w:w="850" w:type="dxa"/>
          </w:tcPr>
          <w:p w:rsidR="0095201D" w:rsidRPr="0058161B" w:rsidRDefault="0095201D" w:rsidP="002037AB">
            <w:pPr>
              <w:rPr>
                <w:lang w:val="nl-BE"/>
              </w:rPr>
            </w:pPr>
          </w:p>
        </w:tc>
        <w:tc>
          <w:tcPr>
            <w:tcW w:w="851" w:type="dxa"/>
          </w:tcPr>
          <w:p w:rsidR="0095201D" w:rsidRPr="0058161B" w:rsidRDefault="0095201D" w:rsidP="002037AB">
            <w:pPr>
              <w:rPr>
                <w:lang w:val="nl-BE"/>
              </w:rPr>
            </w:pPr>
          </w:p>
        </w:tc>
        <w:tc>
          <w:tcPr>
            <w:tcW w:w="708" w:type="dxa"/>
          </w:tcPr>
          <w:p w:rsidR="0095201D" w:rsidRPr="0058161B" w:rsidRDefault="0095201D" w:rsidP="002037AB">
            <w:pPr>
              <w:rPr>
                <w:lang w:val="nl-BE"/>
              </w:rPr>
            </w:pPr>
          </w:p>
        </w:tc>
      </w:tr>
      <w:tr w:rsidR="0095201D" w:rsidRPr="00F05FEE" w:rsidTr="002037AB">
        <w:tc>
          <w:tcPr>
            <w:tcW w:w="3681" w:type="dxa"/>
          </w:tcPr>
          <w:p w:rsidR="0095201D" w:rsidRPr="0058161B" w:rsidRDefault="0095201D" w:rsidP="002037AB">
            <w:pPr>
              <w:ind w:left="174"/>
              <w:rPr>
                <w:sz w:val="20"/>
                <w:szCs w:val="20"/>
                <w:lang w:val="nl-BE"/>
              </w:rPr>
            </w:pPr>
            <w:r w:rsidRPr="0058161B">
              <w:rPr>
                <w:sz w:val="20"/>
                <w:szCs w:val="20"/>
                <w:lang w:val="nl-BE"/>
              </w:rPr>
              <w:t xml:space="preserve">1.2.3 </w:t>
            </w:r>
            <w:r w:rsidR="0058161B" w:rsidRPr="0058161B">
              <w:rPr>
                <w:sz w:val="20"/>
                <w:szCs w:val="20"/>
                <w:lang w:val="nl-BE"/>
              </w:rPr>
              <w:t xml:space="preserve">Ondersteuning van de implementatie van het generieke </w:t>
            </w:r>
            <w:proofErr w:type="spellStart"/>
            <w:r w:rsidR="0058161B" w:rsidRPr="0058161B">
              <w:rPr>
                <w:sz w:val="20"/>
                <w:szCs w:val="20"/>
                <w:lang w:val="nl-BE"/>
              </w:rPr>
              <w:t>metadatamodel</w:t>
            </w:r>
            <w:proofErr w:type="spellEnd"/>
            <w:r w:rsidR="0058161B" w:rsidRPr="0058161B">
              <w:rPr>
                <w:sz w:val="20"/>
                <w:szCs w:val="20"/>
                <w:lang w:val="nl-BE"/>
              </w:rPr>
              <w:t xml:space="preserve"> in FRIS en in alle Vlaamse informatieverstrekkende instellingen (in overeenstemming met het tempo en de maturiteit van elke instelling met betrekking tot RDM)</w:t>
            </w:r>
          </w:p>
        </w:tc>
        <w:tc>
          <w:tcPr>
            <w:tcW w:w="709" w:type="dxa"/>
            <w:shd w:val="clear" w:color="auto" w:fill="C5E0B3"/>
          </w:tcPr>
          <w:p w:rsidR="0095201D" w:rsidRPr="0058161B" w:rsidRDefault="0095201D" w:rsidP="002037AB">
            <w:pPr>
              <w:rPr>
                <w:lang w:val="nl-BE"/>
              </w:rPr>
            </w:pPr>
          </w:p>
        </w:tc>
        <w:tc>
          <w:tcPr>
            <w:tcW w:w="708" w:type="dxa"/>
            <w:shd w:val="clear" w:color="auto" w:fill="C5E0B3"/>
          </w:tcPr>
          <w:p w:rsidR="0095201D" w:rsidRPr="0058161B" w:rsidRDefault="0095201D" w:rsidP="002037AB">
            <w:pPr>
              <w:rPr>
                <w:lang w:val="nl-BE"/>
              </w:rPr>
            </w:pPr>
          </w:p>
        </w:tc>
        <w:tc>
          <w:tcPr>
            <w:tcW w:w="709" w:type="dxa"/>
            <w:shd w:val="clear" w:color="auto" w:fill="C5E0B3"/>
          </w:tcPr>
          <w:p w:rsidR="0095201D" w:rsidRPr="0058161B" w:rsidRDefault="0095201D" w:rsidP="002037AB">
            <w:pPr>
              <w:rPr>
                <w:lang w:val="nl-BE"/>
              </w:rPr>
            </w:pPr>
          </w:p>
        </w:tc>
        <w:tc>
          <w:tcPr>
            <w:tcW w:w="851" w:type="dxa"/>
            <w:shd w:val="clear" w:color="auto" w:fill="C5E0B3"/>
          </w:tcPr>
          <w:p w:rsidR="0095201D" w:rsidRPr="0058161B" w:rsidRDefault="0095201D" w:rsidP="002037AB">
            <w:pPr>
              <w:rPr>
                <w:lang w:val="nl-BE"/>
              </w:rPr>
            </w:pPr>
          </w:p>
        </w:tc>
        <w:tc>
          <w:tcPr>
            <w:tcW w:w="850" w:type="dxa"/>
            <w:shd w:val="clear" w:color="auto" w:fill="C5E0B3"/>
          </w:tcPr>
          <w:p w:rsidR="0095201D" w:rsidRPr="0058161B" w:rsidRDefault="0095201D" w:rsidP="002037AB">
            <w:pPr>
              <w:rPr>
                <w:lang w:val="nl-BE"/>
              </w:rPr>
            </w:pPr>
          </w:p>
        </w:tc>
        <w:tc>
          <w:tcPr>
            <w:tcW w:w="851" w:type="dxa"/>
            <w:shd w:val="clear" w:color="auto" w:fill="C5E0B3"/>
          </w:tcPr>
          <w:p w:rsidR="0095201D" w:rsidRPr="0058161B" w:rsidRDefault="0095201D" w:rsidP="002037AB">
            <w:pPr>
              <w:rPr>
                <w:lang w:val="nl-BE"/>
              </w:rPr>
            </w:pPr>
          </w:p>
        </w:tc>
        <w:tc>
          <w:tcPr>
            <w:tcW w:w="708" w:type="dxa"/>
            <w:shd w:val="clear" w:color="auto" w:fill="C5E0B3"/>
          </w:tcPr>
          <w:p w:rsidR="0095201D" w:rsidRPr="0058161B" w:rsidRDefault="0095201D" w:rsidP="002037AB">
            <w:pPr>
              <w:rPr>
                <w:lang w:val="nl-BE"/>
              </w:rPr>
            </w:pPr>
          </w:p>
        </w:tc>
      </w:tr>
      <w:tr w:rsidR="0095201D" w:rsidRPr="00F05FEE" w:rsidTr="002037AB">
        <w:tc>
          <w:tcPr>
            <w:tcW w:w="3681" w:type="dxa"/>
          </w:tcPr>
          <w:p w:rsidR="0095201D" w:rsidRPr="0058161B" w:rsidRDefault="0095201D" w:rsidP="002037AB">
            <w:pPr>
              <w:ind w:left="174"/>
              <w:rPr>
                <w:sz w:val="20"/>
                <w:szCs w:val="20"/>
                <w:lang w:val="nl-BE"/>
              </w:rPr>
            </w:pPr>
            <w:r w:rsidRPr="0058161B">
              <w:rPr>
                <w:sz w:val="20"/>
                <w:szCs w:val="20"/>
                <w:lang w:val="nl-BE"/>
              </w:rPr>
              <w:t xml:space="preserve">1.2.4 </w:t>
            </w:r>
            <w:r w:rsidR="0058161B" w:rsidRPr="0058161B">
              <w:rPr>
                <w:sz w:val="20"/>
                <w:szCs w:val="20"/>
                <w:lang w:val="nl-BE"/>
              </w:rPr>
              <w:t xml:space="preserve">Monitoring en opvolging van het generieke </w:t>
            </w:r>
            <w:proofErr w:type="spellStart"/>
            <w:r w:rsidR="0058161B">
              <w:rPr>
                <w:sz w:val="20"/>
                <w:szCs w:val="20"/>
                <w:lang w:val="nl-BE"/>
              </w:rPr>
              <w:t>metadata</w:t>
            </w:r>
            <w:r w:rsidR="0058161B" w:rsidRPr="0058161B">
              <w:rPr>
                <w:sz w:val="20"/>
                <w:szCs w:val="20"/>
                <w:lang w:val="nl-BE"/>
              </w:rPr>
              <w:t>model</w:t>
            </w:r>
            <w:proofErr w:type="spellEnd"/>
          </w:p>
        </w:tc>
        <w:tc>
          <w:tcPr>
            <w:tcW w:w="709" w:type="dxa"/>
            <w:shd w:val="clear" w:color="auto" w:fill="C5E0B3"/>
          </w:tcPr>
          <w:p w:rsidR="0095201D" w:rsidRPr="0058161B" w:rsidRDefault="0095201D" w:rsidP="002037AB">
            <w:pPr>
              <w:rPr>
                <w:lang w:val="nl-BE"/>
              </w:rPr>
            </w:pPr>
          </w:p>
        </w:tc>
        <w:tc>
          <w:tcPr>
            <w:tcW w:w="708" w:type="dxa"/>
            <w:shd w:val="clear" w:color="auto" w:fill="C5E0B3"/>
          </w:tcPr>
          <w:p w:rsidR="0095201D" w:rsidRPr="0058161B" w:rsidRDefault="0095201D" w:rsidP="002037AB">
            <w:pPr>
              <w:rPr>
                <w:lang w:val="nl-BE"/>
              </w:rPr>
            </w:pPr>
          </w:p>
        </w:tc>
        <w:tc>
          <w:tcPr>
            <w:tcW w:w="709" w:type="dxa"/>
            <w:shd w:val="clear" w:color="auto" w:fill="C5E0B3"/>
          </w:tcPr>
          <w:p w:rsidR="0095201D" w:rsidRPr="0058161B" w:rsidRDefault="0095201D" w:rsidP="002037AB">
            <w:pPr>
              <w:rPr>
                <w:lang w:val="nl-BE"/>
              </w:rPr>
            </w:pPr>
          </w:p>
        </w:tc>
        <w:tc>
          <w:tcPr>
            <w:tcW w:w="851" w:type="dxa"/>
            <w:shd w:val="clear" w:color="auto" w:fill="C5E0B3"/>
          </w:tcPr>
          <w:p w:rsidR="0095201D" w:rsidRPr="0058161B" w:rsidRDefault="0095201D" w:rsidP="002037AB">
            <w:pPr>
              <w:rPr>
                <w:lang w:val="nl-BE"/>
              </w:rPr>
            </w:pPr>
          </w:p>
        </w:tc>
        <w:tc>
          <w:tcPr>
            <w:tcW w:w="850" w:type="dxa"/>
            <w:shd w:val="clear" w:color="auto" w:fill="C5E0B3"/>
          </w:tcPr>
          <w:p w:rsidR="0095201D" w:rsidRPr="0058161B" w:rsidRDefault="0095201D" w:rsidP="002037AB">
            <w:pPr>
              <w:rPr>
                <w:lang w:val="nl-BE"/>
              </w:rPr>
            </w:pPr>
          </w:p>
        </w:tc>
        <w:tc>
          <w:tcPr>
            <w:tcW w:w="851" w:type="dxa"/>
            <w:shd w:val="clear" w:color="auto" w:fill="C5E0B3"/>
          </w:tcPr>
          <w:p w:rsidR="0095201D" w:rsidRPr="0058161B" w:rsidRDefault="0095201D" w:rsidP="002037AB">
            <w:pPr>
              <w:rPr>
                <w:lang w:val="nl-BE"/>
              </w:rPr>
            </w:pPr>
          </w:p>
        </w:tc>
        <w:tc>
          <w:tcPr>
            <w:tcW w:w="708" w:type="dxa"/>
            <w:shd w:val="clear" w:color="auto" w:fill="C5E0B3"/>
          </w:tcPr>
          <w:p w:rsidR="0095201D" w:rsidRPr="0058161B" w:rsidRDefault="0095201D" w:rsidP="002037AB">
            <w:pPr>
              <w:rPr>
                <w:lang w:val="nl-BE"/>
              </w:rPr>
            </w:pPr>
          </w:p>
        </w:tc>
      </w:tr>
      <w:tr w:rsidR="0095201D" w:rsidRPr="00F05FEE" w:rsidTr="002037AB">
        <w:tc>
          <w:tcPr>
            <w:tcW w:w="9067" w:type="dxa"/>
            <w:gridSpan w:val="8"/>
          </w:tcPr>
          <w:p w:rsidR="0095201D" w:rsidRPr="0058161B" w:rsidRDefault="0058161B" w:rsidP="0058161B">
            <w:pPr>
              <w:numPr>
                <w:ilvl w:val="0"/>
                <w:numId w:val="1"/>
              </w:numPr>
              <w:pBdr>
                <w:top w:val="nil"/>
                <w:left w:val="nil"/>
                <w:bottom w:val="nil"/>
                <w:right w:val="nil"/>
                <w:between w:val="nil"/>
              </w:pBdr>
              <w:spacing w:after="0"/>
              <w:ind w:left="313"/>
              <w:rPr>
                <w:color w:val="000000"/>
                <w:sz w:val="20"/>
                <w:szCs w:val="20"/>
                <w:lang w:val="nl-BE"/>
              </w:rPr>
            </w:pPr>
            <w:r w:rsidRPr="0058161B">
              <w:rPr>
                <w:color w:val="000000"/>
                <w:sz w:val="20"/>
                <w:szCs w:val="20"/>
                <w:lang w:val="nl-BE"/>
              </w:rPr>
              <w:t xml:space="preserve">Ontwikkeling en ondersteuning van de implementatie van semantisch beschreven </w:t>
            </w:r>
            <w:r w:rsidRPr="0058161B">
              <w:rPr>
                <w:b/>
                <w:color w:val="000000"/>
                <w:sz w:val="20"/>
                <w:szCs w:val="20"/>
                <w:lang w:val="nl-BE"/>
              </w:rPr>
              <w:t>disciplinaire metadata</w:t>
            </w:r>
            <w:r w:rsidRPr="0058161B">
              <w:rPr>
                <w:color w:val="000000"/>
                <w:sz w:val="20"/>
                <w:szCs w:val="20"/>
                <w:lang w:val="nl-BE"/>
              </w:rPr>
              <w:t xml:space="preserve"> over onderzoeksgegevens</w:t>
            </w:r>
          </w:p>
        </w:tc>
      </w:tr>
      <w:tr w:rsidR="0095201D" w:rsidRPr="00F05FEE" w:rsidTr="002037AB">
        <w:tc>
          <w:tcPr>
            <w:tcW w:w="9067" w:type="dxa"/>
            <w:gridSpan w:val="8"/>
          </w:tcPr>
          <w:p w:rsidR="0095201D" w:rsidRPr="0058161B" w:rsidRDefault="0058161B" w:rsidP="0058161B">
            <w:pPr>
              <w:numPr>
                <w:ilvl w:val="1"/>
                <w:numId w:val="1"/>
              </w:numPr>
              <w:pBdr>
                <w:top w:val="nil"/>
                <w:left w:val="nil"/>
                <w:bottom w:val="nil"/>
                <w:right w:val="nil"/>
                <w:between w:val="nil"/>
              </w:pBdr>
              <w:spacing w:after="0"/>
              <w:ind w:left="313"/>
              <w:rPr>
                <w:i/>
                <w:color w:val="000000"/>
                <w:sz w:val="20"/>
                <w:szCs w:val="20"/>
                <w:lang w:val="nl-BE"/>
              </w:rPr>
            </w:pPr>
            <w:r w:rsidRPr="0058161B">
              <w:rPr>
                <w:i/>
                <w:color w:val="000000"/>
                <w:sz w:val="20"/>
                <w:szCs w:val="20"/>
                <w:lang w:val="nl-BE"/>
              </w:rPr>
              <w:t>Ontwikkeling van disciplinaire normen voor de beschrijving van onderzoeksgegevens</w:t>
            </w:r>
          </w:p>
        </w:tc>
      </w:tr>
      <w:tr w:rsidR="0095201D" w:rsidRPr="00F05FEE" w:rsidTr="002037AB">
        <w:tc>
          <w:tcPr>
            <w:tcW w:w="3681" w:type="dxa"/>
          </w:tcPr>
          <w:p w:rsidR="0095201D" w:rsidRPr="0058161B" w:rsidRDefault="0095201D" w:rsidP="0058161B">
            <w:pPr>
              <w:ind w:left="174"/>
              <w:rPr>
                <w:sz w:val="20"/>
                <w:szCs w:val="20"/>
                <w:lang w:val="nl-BE"/>
              </w:rPr>
            </w:pPr>
            <w:r w:rsidRPr="0058161B">
              <w:rPr>
                <w:sz w:val="20"/>
                <w:szCs w:val="20"/>
                <w:lang w:val="nl-BE"/>
              </w:rPr>
              <w:t xml:space="preserve">2.1.1 </w:t>
            </w:r>
            <w:r w:rsidR="0058161B" w:rsidRPr="0058161B">
              <w:rPr>
                <w:sz w:val="20"/>
                <w:szCs w:val="20"/>
                <w:lang w:val="nl-BE"/>
              </w:rPr>
              <w:t>Inventarisatie van disciplinaire metadata standaarden</w:t>
            </w:r>
          </w:p>
        </w:tc>
        <w:tc>
          <w:tcPr>
            <w:tcW w:w="709" w:type="dxa"/>
          </w:tcPr>
          <w:p w:rsidR="0095201D" w:rsidRPr="0058161B" w:rsidRDefault="0095201D" w:rsidP="002037AB">
            <w:pPr>
              <w:rPr>
                <w:lang w:val="nl-BE"/>
              </w:rPr>
            </w:pPr>
          </w:p>
        </w:tc>
        <w:tc>
          <w:tcPr>
            <w:tcW w:w="708" w:type="dxa"/>
            <w:shd w:val="clear" w:color="auto" w:fill="C5E0B3"/>
          </w:tcPr>
          <w:p w:rsidR="0095201D" w:rsidRPr="0058161B" w:rsidRDefault="0095201D" w:rsidP="002037AB">
            <w:pPr>
              <w:rPr>
                <w:lang w:val="nl-BE"/>
              </w:rPr>
            </w:pPr>
          </w:p>
        </w:tc>
        <w:tc>
          <w:tcPr>
            <w:tcW w:w="709" w:type="dxa"/>
            <w:shd w:val="clear" w:color="auto" w:fill="C5E0B3"/>
          </w:tcPr>
          <w:p w:rsidR="0095201D" w:rsidRPr="0058161B" w:rsidRDefault="0095201D" w:rsidP="002037AB">
            <w:pPr>
              <w:rPr>
                <w:lang w:val="nl-BE"/>
              </w:rPr>
            </w:pPr>
          </w:p>
        </w:tc>
        <w:tc>
          <w:tcPr>
            <w:tcW w:w="851" w:type="dxa"/>
            <w:shd w:val="clear" w:color="auto" w:fill="C5E0B3"/>
          </w:tcPr>
          <w:p w:rsidR="0095201D" w:rsidRPr="0058161B" w:rsidRDefault="0095201D" w:rsidP="002037AB">
            <w:pPr>
              <w:rPr>
                <w:lang w:val="nl-BE"/>
              </w:rPr>
            </w:pPr>
          </w:p>
        </w:tc>
        <w:tc>
          <w:tcPr>
            <w:tcW w:w="850" w:type="dxa"/>
            <w:shd w:val="clear" w:color="auto" w:fill="70AD47"/>
          </w:tcPr>
          <w:p w:rsidR="0095201D" w:rsidRPr="0058161B" w:rsidRDefault="0095201D" w:rsidP="002037AB">
            <w:pPr>
              <w:rPr>
                <w:lang w:val="nl-BE"/>
              </w:rPr>
            </w:pPr>
          </w:p>
        </w:tc>
        <w:tc>
          <w:tcPr>
            <w:tcW w:w="851" w:type="dxa"/>
          </w:tcPr>
          <w:p w:rsidR="0095201D" w:rsidRPr="0058161B" w:rsidRDefault="0095201D" w:rsidP="002037AB">
            <w:pPr>
              <w:rPr>
                <w:lang w:val="nl-BE"/>
              </w:rPr>
            </w:pPr>
          </w:p>
        </w:tc>
        <w:tc>
          <w:tcPr>
            <w:tcW w:w="708" w:type="dxa"/>
          </w:tcPr>
          <w:p w:rsidR="0095201D" w:rsidRPr="0058161B" w:rsidRDefault="0095201D" w:rsidP="002037AB">
            <w:pPr>
              <w:rPr>
                <w:lang w:val="nl-BE"/>
              </w:rPr>
            </w:pPr>
          </w:p>
        </w:tc>
      </w:tr>
      <w:tr w:rsidR="0095201D" w:rsidRPr="00F05FEE" w:rsidTr="002037AB">
        <w:tc>
          <w:tcPr>
            <w:tcW w:w="3681" w:type="dxa"/>
          </w:tcPr>
          <w:p w:rsidR="00E3251F" w:rsidRDefault="0095201D" w:rsidP="0058161B">
            <w:pPr>
              <w:ind w:left="174"/>
              <w:rPr>
                <w:sz w:val="20"/>
                <w:szCs w:val="20"/>
                <w:lang w:val="nl-BE"/>
              </w:rPr>
            </w:pPr>
            <w:r w:rsidRPr="00F05FEE">
              <w:rPr>
                <w:sz w:val="20"/>
                <w:szCs w:val="20"/>
                <w:lang w:val="nl-BE"/>
              </w:rPr>
              <w:t>2.1.2 Per discipline:</w:t>
            </w:r>
          </w:p>
          <w:p w:rsidR="0058161B" w:rsidRDefault="0058161B" w:rsidP="0058161B">
            <w:pPr>
              <w:ind w:left="174"/>
              <w:rPr>
                <w:sz w:val="20"/>
                <w:szCs w:val="20"/>
                <w:lang w:val="nl-BE"/>
              </w:rPr>
            </w:pPr>
            <w:r w:rsidRPr="0058161B">
              <w:rPr>
                <w:sz w:val="20"/>
                <w:szCs w:val="20"/>
                <w:lang w:val="nl-BE"/>
              </w:rPr>
              <w:t>- afbaken</w:t>
            </w:r>
            <w:r>
              <w:rPr>
                <w:sz w:val="20"/>
                <w:szCs w:val="20"/>
                <w:lang w:val="nl-BE"/>
              </w:rPr>
              <w:t>en van de disciplinaire standaard</w:t>
            </w:r>
          </w:p>
          <w:p w:rsidR="0058161B" w:rsidRPr="0058161B" w:rsidRDefault="0058161B" w:rsidP="0058161B">
            <w:pPr>
              <w:ind w:left="174"/>
              <w:rPr>
                <w:sz w:val="20"/>
                <w:szCs w:val="20"/>
                <w:lang w:val="nl-BE"/>
              </w:rPr>
            </w:pPr>
            <w:r w:rsidRPr="0058161B">
              <w:rPr>
                <w:sz w:val="20"/>
                <w:szCs w:val="20"/>
                <w:lang w:val="nl-BE"/>
              </w:rPr>
              <w:t>- beoordeling &amp; verfijning</w:t>
            </w:r>
          </w:p>
          <w:p w:rsidR="0058161B" w:rsidRPr="0058161B" w:rsidRDefault="0058161B" w:rsidP="0058161B">
            <w:pPr>
              <w:ind w:left="174"/>
              <w:rPr>
                <w:sz w:val="20"/>
                <w:szCs w:val="20"/>
                <w:lang w:val="nl-BE"/>
              </w:rPr>
            </w:pPr>
            <w:r w:rsidRPr="0058161B">
              <w:rPr>
                <w:sz w:val="20"/>
                <w:szCs w:val="20"/>
                <w:lang w:val="nl-BE"/>
              </w:rPr>
              <w:t>- toevoeging van semantische beschrijvingen</w:t>
            </w:r>
          </w:p>
          <w:p w:rsidR="0058161B" w:rsidRPr="0058161B" w:rsidRDefault="0058161B" w:rsidP="0058161B">
            <w:pPr>
              <w:ind w:left="174"/>
              <w:rPr>
                <w:sz w:val="20"/>
                <w:szCs w:val="20"/>
                <w:lang w:val="nl-BE"/>
              </w:rPr>
            </w:pPr>
            <w:r w:rsidRPr="0058161B">
              <w:rPr>
                <w:sz w:val="20"/>
                <w:szCs w:val="20"/>
                <w:lang w:val="nl-BE"/>
              </w:rPr>
              <w:t>- toetsing aan de FAIR-principes</w:t>
            </w:r>
          </w:p>
          <w:p w:rsidR="0095201D" w:rsidRPr="0058161B" w:rsidRDefault="0058161B" w:rsidP="0058161B">
            <w:pPr>
              <w:ind w:left="174"/>
              <w:rPr>
                <w:sz w:val="20"/>
                <w:szCs w:val="20"/>
                <w:lang w:val="nl-BE"/>
              </w:rPr>
            </w:pPr>
            <w:r w:rsidRPr="0058161B">
              <w:rPr>
                <w:sz w:val="20"/>
                <w:szCs w:val="20"/>
                <w:lang w:val="nl-BE"/>
              </w:rPr>
              <w:t>- validatie van de disciplinaire normen</w:t>
            </w:r>
          </w:p>
        </w:tc>
        <w:tc>
          <w:tcPr>
            <w:tcW w:w="709" w:type="dxa"/>
          </w:tcPr>
          <w:p w:rsidR="0095201D" w:rsidRPr="0058161B" w:rsidRDefault="0095201D" w:rsidP="002037AB">
            <w:pPr>
              <w:rPr>
                <w:lang w:val="nl-BE"/>
              </w:rPr>
            </w:pPr>
          </w:p>
        </w:tc>
        <w:tc>
          <w:tcPr>
            <w:tcW w:w="708" w:type="dxa"/>
            <w:shd w:val="clear" w:color="auto" w:fill="C5E0B3"/>
          </w:tcPr>
          <w:p w:rsidR="0095201D" w:rsidRPr="0058161B" w:rsidRDefault="0095201D" w:rsidP="002037AB">
            <w:pPr>
              <w:rPr>
                <w:lang w:val="nl-BE"/>
              </w:rPr>
            </w:pPr>
          </w:p>
        </w:tc>
        <w:tc>
          <w:tcPr>
            <w:tcW w:w="709" w:type="dxa"/>
            <w:shd w:val="clear" w:color="auto" w:fill="C5E0B3"/>
          </w:tcPr>
          <w:p w:rsidR="0095201D" w:rsidRPr="0058161B" w:rsidRDefault="0095201D" w:rsidP="002037AB">
            <w:pPr>
              <w:rPr>
                <w:lang w:val="nl-BE"/>
              </w:rPr>
            </w:pPr>
          </w:p>
        </w:tc>
        <w:tc>
          <w:tcPr>
            <w:tcW w:w="851" w:type="dxa"/>
            <w:shd w:val="clear" w:color="auto" w:fill="C5E0B3"/>
          </w:tcPr>
          <w:p w:rsidR="0095201D" w:rsidRPr="0058161B" w:rsidRDefault="0095201D" w:rsidP="002037AB">
            <w:pPr>
              <w:rPr>
                <w:lang w:val="nl-BE"/>
              </w:rPr>
            </w:pPr>
          </w:p>
        </w:tc>
        <w:tc>
          <w:tcPr>
            <w:tcW w:w="850" w:type="dxa"/>
            <w:shd w:val="clear" w:color="auto" w:fill="70AD47"/>
          </w:tcPr>
          <w:p w:rsidR="0095201D" w:rsidRPr="0058161B" w:rsidRDefault="0095201D" w:rsidP="002037AB">
            <w:pPr>
              <w:rPr>
                <w:lang w:val="nl-BE"/>
              </w:rPr>
            </w:pPr>
          </w:p>
        </w:tc>
        <w:tc>
          <w:tcPr>
            <w:tcW w:w="851" w:type="dxa"/>
          </w:tcPr>
          <w:p w:rsidR="0095201D" w:rsidRPr="0058161B" w:rsidRDefault="0095201D" w:rsidP="002037AB">
            <w:pPr>
              <w:rPr>
                <w:lang w:val="nl-BE"/>
              </w:rPr>
            </w:pPr>
          </w:p>
        </w:tc>
        <w:tc>
          <w:tcPr>
            <w:tcW w:w="708" w:type="dxa"/>
          </w:tcPr>
          <w:p w:rsidR="0095201D" w:rsidRPr="0058161B" w:rsidRDefault="0095201D" w:rsidP="002037AB">
            <w:pPr>
              <w:rPr>
                <w:lang w:val="nl-BE"/>
              </w:rPr>
            </w:pPr>
          </w:p>
        </w:tc>
      </w:tr>
      <w:tr w:rsidR="0095201D" w:rsidRPr="00F05FEE" w:rsidTr="002037AB">
        <w:tc>
          <w:tcPr>
            <w:tcW w:w="9067" w:type="dxa"/>
            <w:gridSpan w:val="8"/>
          </w:tcPr>
          <w:p w:rsidR="0095201D" w:rsidRPr="0058161B" w:rsidRDefault="0095201D" w:rsidP="002037AB">
            <w:pPr>
              <w:rPr>
                <w:i/>
                <w:lang w:val="nl-BE"/>
              </w:rPr>
            </w:pPr>
            <w:r w:rsidRPr="0058161B">
              <w:rPr>
                <w:i/>
                <w:color w:val="000000"/>
                <w:sz w:val="20"/>
                <w:szCs w:val="20"/>
                <w:lang w:val="nl-BE"/>
              </w:rPr>
              <w:t xml:space="preserve">2.2 </w:t>
            </w:r>
            <w:r w:rsidR="0058161B" w:rsidRPr="0058161B">
              <w:rPr>
                <w:i/>
                <w:color w:val="000000"/>
                <w:sz w:val="20"/>
                <w:szCs w:val="20"/>
                <w:lang w:val="nl-BE"/>
              </w:rPr>
              <w:t>Ondersteuning van de toepassing van de disciplinaire normen voor de beschrijving van onderzoeksgegevens</w:t>
            </w:r>
          </w:p>
        </w:tc>
      </w:tr>
      <w:tr w:rsidR="0095201D" w:rsidRPr="00F05FEE" w:rsidTr="002037AB">
        <w:tc>
          <w:tcPr>
            <w:tcW w:w="3681" w:type="dxa"/>
          </w:tcPr>
          <w:p w:rsidR="0095201D" w:rsidRPr="0058161B" w:rsidRDefault="0095201D" w:rsidP="002037AB">
            <w:pPr>
              <w:ind w:left="174"/>
              <w:rPr>
                <w:sz w:val="20"/>
                <w:szCs w:val="20"/>
                <w:lang w:val="nl-BE"/>
              </w:rPr>
            </w:pPr>
            <w:r w:rsidRPr="0058161B">
              <w:rPr>
                <w:sz w:val="20"/>
                <w:szCs w:val="20"/>
                <w:lang w:val="nl-BE"/>
              </w:rPr>
              <w:t xml:space="preserve">2.2.1 </w:t>
            </w:r>
            <w:r w:rsidR="0058161B" w:rsidRPr="0058161B">
              <w:rPr>
                <w:sz w:val="20"/>
                <w:szCs w:val="20"/>
                <w:lang w:val="nl-BE"/>
              </w:rPr>
              <w:t>Beoordeling van de integratie van discipline-specifieke standaarden in het generieke FRIS-</w:t>
            </w:r>
            <w:proofErr w:type="spellStart"/>
            <w:r w:rsidR="0058161B" w:rsidRPr="0058161B">
              <w:rPr>
                <w:sz w:val="20"/>
                <w:szCs w:val="20"/>
                <w:lang w:val="nl-BE"/>
              </w:rPr>
              <w:t>metatamodel</w:t>
            </w:r>
            <w:proofErr w:type="spellEnd"/>
          </w:p>
        </w:tc>
        <w:tc>
          <w:tcPr>
            <w:tcW w:w="709" w:type="dxa"/>
          </w:tcPr>
          <w:p w:rsidR="0095201D" w:rsidRPr="0058161B" w:rsidRDefault="0095201D" w:rsidP="002037AB">
            <w:pPr>
              <w:rPr>
                <w:lang w:val="nl-BE"/>
              </w:rPr>
            </w:pPr>
          </w:p>
        </w:tc>
        <w:tc>
          <w:tcPr>
            <w:tcW w:w="708" w:type="dxa"/>
            <w:shd w:val="clear" w:color="auto" w:fill="C5E0B3"/>
          </w:tcPr>
          <w:p w:rsidR="0095201D" w:rsidRPr="0058161B" w:rsidRDefault="0095201D" w:rsidP="002037AB">
            <w:pPr>
              <w:rPr>
                <w:lang w:val="nl-BE"/>
              </w:rPr>
            </w:pPr>
          </w:p>
        </w:tc>
        <w:tc>
          <w:tcPr>
            <w:tcW w:w="709" w:type="dxa"/>
            <w:shd w:val="clear" w:color="auto" w:fill="C5E0B3"/>
          </w:tcPr>
          <w:p w:rsidR="0095201D" w:rsidRPr="0058161B" w:rsidRDefault="0095201D" w:rsidP="002037AB">
            <w:pPr>
              <w:rPr>
                <w:lang w:val="nl-BE"/>
              </w:rPr>
            </w:pPr>
          </w:p>
        </w:tc>
        <w:tc>
          <w:tcPr>
            <w:tcW w:w="851" w:type="dxa"/>
            <w:shd w:val="clear" w:color="auto" w:fill="C5E0B3"/>
          </w:tcPr>
          <w:p w:rsidR="0095201D" w:rsidRPr="0058161B" w:rsidRDefault="0095201D" w:rsidP="002037AB">
            <w:pPr>
              <w:rPr>
                <w:lang w:val="nl-BE"/>
              </w:rPr>
            </w:pPr>
          </w:p>
        </w:tc>
        <w:tc>
          <w:tcPr>
            <w:tcW w:w="850" w:type="dxa"/>
            <w:shd w:val="clear" w:color="auto" w:fill="C5E0B3" w:themeFill="accent6" w:themeFillTint="66"/>
          </w:tcPr>
          <w:p w:rsidR="0095201D" w:rsidRPr="0058161B" w:rsidRDefault="0095201D" w:rsidP="002037AB">
            <w:pPr>
              <w:rPr>
                <w:lang w:val="nl-BE"/>
              </w:rPr>
            </w:pPr>
          </w:p>
        </w:tc>
        <w:tc>
          <w:tcPr>
            <w:tcW w:w="851" w:type="dxa"/>
            <w:shd w:val="clear" w:color="auto" w:fill="70AD47" w:themeFill="accent6"/>
          </w:tcPr>
          <w:p w:rsidR="0095201D" w:rsidRPr="0058161B" w:rsidRDefault="0095201D" w:rsidP="002037AB">
            <w:pPr>
              <w:rPr>
                <w:lang w:val="nl-BE"/>
              </w:rPr>
            </w:pPr>
          </w:p>
        </w:tc>
        <w:tc>
          <w:tcPr>
            <w:tcW w:w="708" w:type="dxa"/>
          </w:tcPr>
          <w:p w:rsidR="0095201D" w:rsidRPr="0058161B" w:rsidRDefault="0095201D" w:rsidP="002037AB">
            <w:pPr>
              <w:rPr>
                <w:lang w:val="nl-BE"/>
              </w:rPr>
            </w:pPr>
          </w:p>
        </w:tc>
      </w:tr>
      <w:tr w:rsidR="0095201D" w:rsidRPr="00F05FEE" w:rsidTr="002037AB">
        <w:tc>
          <w:tcPr>
            <w:tcW w:w="3681" w:type="dxa"/>
          </w:tcPr>
          <w:p w:rsidR="0095201D" w:rsidRPr="0058161B" w:rsidRDefault="0095201D" w:rsidP="002037AB">
            <w:pPr>
              <w:ind w:left="174"/>
              <w:rPr>
                <w:sz w:val="20"/>
                <w:szCs w:val="20"/>
                <w:lang w:val="nl-BE"/>
              </w:rPr>
            </w:pPr>
            <w:r w:rsidRPr="0058161B">
              <w:rPr>
                <w:sz w:val="20"/>
                <w:szCs w:val="20"/>
                <w:lang w:val="nl-BE"/>
              </w:rPr>
              <w:t xml:space="preserve">2.2.2 </w:t>
            </w:r>
            <w:r w:rsidR="0058161B" w:rsidRPr="0058161B">
              <w:rPr>
                <w:sz w:val="20"/>
                <w:szCs w:val="20"/>
                <w:lang w:val="nl-BE"/>
              </w:rPr>
              <w:t xml:space="preserve">Identificatie van discrepanties tussen de disciplinaire normen en de </w:t>
            </w:r>
            <w:proofErr w:type="spellStart"/>
            <w:r w:rsidR="0058161B" w:rsidRPr="0058161B">
              <w:rPr>
                <w:sz w:val="20"/>
                <w:szCs w:val="20"/>
                <w:lang w:val="nl-BE"/>
              </w:rPr>
              <w:t>instellingsspecifieke</w:t>
            </w:r>
            <w:proofErr w:type="spellEnd"/>
            <w:r w:rsidR="0058161B" w:rsidRPr="0058161B">
              <w:rPr>
                <w:sz w:val="20"/>
                <w:szCs w:val="20"/>
                <w:lang w:val="nl-BE"/>
              </w:rPr>
              <w:t xml:space="preserve"> normen, met inbegrip van het opstellen van semantisch beschreven concordantietabellen voor informatieverstrekkers</w:t>
            </w:r>
          </w:p>
        </w:tc>
        <w:tc>
          <w:tcPr>
            <w:tcW w:w="709" w:type="dxa"/>
          </w:tcPr>
          <w:p w:rsidR="0095201D" w:rsidRPr="0058161B" w:rsidRDefault="0095201D" w:rsidP="002037AB">
            <w:pPr>
              <w:rPr>
                <w:lang w:val="nl-BE"/>
              </w:rPr>
            </w:pPr>
          </w:p>
        </w:tc>
        <w:tc>
          <w:tcPr>
            <w:tcW w:w="708" w:type="dxa"/>
            <w:shd w:val="clear" w:color="auto" w:fill="C5E0B3"/>
          </w:tcPr>
          <w:p w:rsidR="0095201D" w:rsidRPr="0058161B" w:rsidRDefault="0095201D" w:rsidP="002037AB">
            <w:pPr>
              <w:rPr>
                <w:lang w:val="nl-BE"/>
              </w:rPr>
            </w:pPr>
          </w:p>
        </w:tc>
        <w:tc>
          <w:tcPr>
            <w:tcW w:w="709" w:type="dxa"/>
            <w:shd w:val="clear" w:color="auto" w:fill="C5E0B3"/>
          </w:tcPr>
          <w:p w:rsidR="0095201D" w:rsidRPr="0058161B" w:rsidRDefault="0095201D" w:rsidP="002037AB">
            <w:pPr>
              <w:rPr>
                <w:lang w:val="nl-BE"/>
              </w:rPr>
            </w:pPr>
          </w:p>
        </w:tc>
        <w:tc>
          <w:tcPr>
            <w:tcW w:w="851" w:type="dxa"/>
            <w:shd w:val="clear" w:color="auto" w:fill="C5E0B3"/>
          </w:tcPr>
          <w:p w:rsidR="0095201D" w:rsidRPr="0058161B" w:rsidRDefault="0095201D" w:rsidP="002037AB">
            <w:pPr>
              <w:rPr>
                <w:lang w:val="nl-BE"/>
              </w:rPr>
            </w:pPr>
          </w:p>
        </w:tc>
        <w:tc>
          <w:tcPr>
            <w:tcW w:w="850" w:type="dxa"/>
            <w:shd w:val="clear" w:color="auto" w:fill="C5E0B3" w:themeFill="accent6" w:themeFillTint="66"/>
          </w:tcPr>
          <w:p w:rsidR="0095201D" w:rsidRPr="0058161B" w:rsidRDefault="0095201D" w:rsidP="002037AB">
            <w:pPr>
              <w:rPr>
                <w:lang w:val="nl-BE"/>
              </w:rPr>
            </w:pPr>
          </w:p>
        </w:tc>
        <w:tc>
          <w:tcPr>
            <w:tcW w:w="851" w:type="dxa"/>
            <w:shd w:val="clear" w:color="auto" w:fill="70AD47" w:themeFill="accent6"/>
          </w:tcPr>
          <w:p w:rsidR="0095201D" w:rsidRPr="0058161B" w:rsidRDefault="0095201D" w:rsidP="002037AB">
            <w:pPr>
              <w:rPr>
                <w:lang w:val="nl-BE"/>
              </w:rPr>
            </w:pPr>
          </w:p>
        </w:tc>
        <w:tc>
          <w:tcPr>
            <w:tcW w:w="708" w:type="dxa"/>
          </w:tcPr>
          <w:p w:rsidR="0095201D" w:rsidRPr="0058161B" w:rsidRDefault="0095201D" w:rsidP="002037AB">
            <w:pPr>
              <w:rPr>
                <w:lang w:val="nl-BE"/>
              </w:rPr>
            </w:pPr>
          </w:p>
        </w:tc>
      </w:tr>
      <w:tr w:rsidR="0095201D" w:rsidRPr="00F05FEE" w:rsidTr="002037AB">
        <w:tc>
          <w:tcPr>
            <w:tcW w:w="3681" w:type="dxa"/>
          </w:tcPr>
          <w:p w:rsidR="0095201D" w:rsidRPr="0058161B" w:rsidRDefault="0095201D" w:rsidP="002037AB">
            <w:pPr>
              <w:ind w:left="174"/>
              <w:rPr>
                <w:sz w:val="20"/>
                <w:szCs w:val="20"/>
                <w:lang w:val="nl-BE"/>
              </w:rPr>
            </w:pPr>
            <w:r w:rsidRPr="0058161B">
              <w:rPr>
                <w:sz w:val="20"/>
                <w:szCs w:val="20"/>
                <w:lang w:val="nl-BE"/>
              </w:rPr>
              <w:lastRenderedPageBreak/>
              <w:t xml:space="preserve">2.2.3 </w:t>
            </w:r>
            <w:r w:rsidR="0058161B" w:rsidRPr="0058161B">
              <w:rPr>
                <w:sz w:val="20"/>
                <w:szCs w:val="20"/>
                <w:lang w:val="nl-BE"/>
              </w:rPr>
              <w:t>Het ondersteunen van de implementatie van de disciplinaire normen in FRIS en in alle Vlaamse informatieverstrekkende instellingen (in overeenstemming met het tempo en de maturiteit van elke instelling met betrekking tot RDM)</w:t>
            </w:r>
          </w:p>
        </w:tc>
        <w:tc>
          <w:tcPr>
            <w:tcW w:w="709" w:type="dxa"/>
          </w:tcPr>
          <w:p w:rsidR="0095201D" w:rsidRPr="0058161B" w:rsidRDefault="0095201D" w:rsidP="002037AB">
            <w:pPr>
              <w:rPr>
                <w:lang w:val="nl-BE"/>
              </w:rPr>
            </w:pPr>
          </w:p>
        </w:tc>
        <w:tc>
          <w:tcPr>
            <w:tcW w:w="708" w:type="dxa"/>
            <w:shd w:val="clear" w:color="auto" w:fill="C5E0B3"/>
          </w:tcPr>
          <w:p w:rsidR="0095201D" w:rsidRPr="0058161B" w:rsidRDefault="0095201D" w:rsidP="002037AB">
            <w:pPr>
              <w:rPr>
                <w:lang w:val="nl-BE"/>
              </w:rPr>
            </w:pPr>
          </w:p>
        </w:tc>
        <w:tc>
          <w:tcPr>
            <w:tcW w:w="709" w:type="dxa"/>
            <w:shd w:val="clear" w:color="auto" w:fill="C5E0B3"/>
          </w:tcPr>
          <w:p w:rsidR="0095201D" w:rsidRPr="0058161B" w:rsidRDefault="0095201D" w:rsidP="002037AB">
            <w:pPr>
              <w:rPr>
                <w:lang w:val="nl-BE"/>
              </w:rPr>
            </w:pPr>
          </w:p>
        </w:tc>
        <w:tc>
          <w:tcPr>
            <w:tcW w:w="851" w:type="dxa"/>
            <w:shd w:val="clear" w:color="auto" w:fill="C5E0B3"/>
          </w:tcPr>
          <w:p w:rsidR="0095201D" w:rsidRPr="0058161B" w:rsidRDefault="0095201D" w:rsidP="002037AB">
            <w:pPr>
              <w:rPr>
                <w:lang w:val="nl-BE"/>
              </w:rPr>
            </w:pPr>
          </w:p>
        </w:tc>
        <w:tc>
          <w:tcPr>
            <w:tcW w:w="850" w:type="dxa"/>
            <w:shd w:val="clear" w:color="auto" w:fill="C5E0B3" w:themeFill="accent6" w:themeFillTint="66"/>
          </w:tcPr>
          <w:p w:rsidR="0095201D" w:rsidRPr="0058161B" w:rsidRDefault="0095201D" w:rsidP="002037AB">
            <w:pPr>
              <w:rPr>
                <w:lang w:val="nl-BE"/>
              </w:rPr>
            </w:pPr>
          </w:p>
        </w:tc>
        <w:tc>
          <w:tcPr>
            <w:tcW w:w="851" w:type="dxa"/>
            <w:shd w:val="clear" w:color="auto" w:fill="C5E0B3" w:themeFill="accent6" w:themeFillTint="66"/>
          </w:tcPr>
          <w:p w:rsidR="0095201D" w:rsidRPr="0058161B" w:rsidRDefault="0095201D" w:rsidP="002037AB">
            <w:pPr>
              <w:rPr>
                <w:lang w:val="nl-BE"/>
              </w:rPr>
            </w:pPr>
          </w:p>
        </w:tc>
        <w:tc>
          <w:tcPr>
            <w:tcW w:w="708" w:type="dxa"/>
            <w:shd w:val="clear" w:color="auto" w:fill="C5E0B3" w:themeFill="accent6" w:themeFillTint="66"/>
          </w:tcPr>
          <w:p w:rsidR="0095201D" w:rsidRPr="0058161B" w:rsidRDefault="0095201D" w:rsidP="002037AB">
            <w:pPr>
              <w:rPr>
                <w:lang w:val="nl-BE"/>
              </w:rPr>
            </w:pPr>
          </w:p>
        </w:tc>
      </w:tr>
      <w:tr w:rsidR="0095201D" w:rsidRPr="00F05FEE" w:rsidTr="002037AB">
        <w:tc>
          <w:tcPr>
            <w:tcW w:w="3681" w:type="dxa"/>
          </w:tcPr>
          <w:p w:rsidR="0095201D" w:rsidRPr="0058161B" w:rsidRDefault="0095201D" w:rsidP="002037AB">
            <w:pPr>
              <w:ind w:left="174"/>
              <w:rPr>
                <w:sz w:val="20"/>
                <w:szCs w:val="20"/>
                <w:lang w:val="nl-BE"/>
              </w:rPr>
            </w:pPr>
            <w:r w:rsidRPr="0058161B">
              <w:rPr>
                <w:sz w:val="20"/>
                <w:szCs w:val="20"/>
                <w:lang w:val="nl-BE"/>
              </w:rPr>
              <w:t xml:space="preserve">2.2.4 </w:t>
            </w:r>
            <w:r w:rsidR="0058161B" w:rsidRPr="0058161B">
              <w:rPr>
                <w:sz w:val="20"/>
                <w:szCs w:val="20"/>
                <w:lang w:val="nl-BE"/>
              </w:rPr>
              <w:t>Toezicht op en follow-up van de disciplinaire normen</w:t>
            </w:r>
          </w:p>
        </w:tc>
        <w:tc>
          <w:tcPr>
            <w:tcW w:w="709" w:type="dxa"/>
          </w:tcPr>
          <w:p w:rsidR="0095201D" w:rsidRPr="0058161B" w:rsidRDefault="0095201D" w:rsidP="002037AB">
            <w:pPr>
              <w:rPr>
                <w:lang w:val="nl-BE"/>
              </w:rPr>
            </w:pPr>
          </w:p>
        </w:tc>
        <w:tc>
          <w:tcPr>
            <w:tcW w:w="708" w:type="dxa"/>
            <w:shd w:val="clear" w:color="auto" w:fill="C5E0B3"/>
          </w:tcPr>
          <w:p w:rsidR="0095201D" w:rsidRPr="0058161B" w:rsidRDefault="0095201D" w:rsidP="002037AB">
            <w:pPr>
              <w:rPr>
                <w:lang w:val="nl-BE"/>
              </w:rPr>
            </w:pPr>
          </w:p>
        </w:tc>
        <w:tc>
          <w:tcPr>
            <w:tcW w:w="709" w:type="dxa"/>
            <w:shd w:val="clear" w:color="auto" w:fill="C5E0B3"/>
          </w:tcPr>
          <w:p w:rsidR="0095201D" w:rsidRPr="0058161B" w:rsidRDefault="0095201D" w:rsidP="002037AB">
            <w:pPr>
              <w:rPr>
                <w:lang w:val="nl-BE"/>
              </w:rPr>
            </w:pPr>
          </w:p>
        </w:tc>
        <w:tc>
          <w:tcPr>
            <w:tcW w:w="851" w:type="dxa"/>
            <w:shd w:val="clear" w:color="auto" w:fill="C5E0B3"/>
          </w:tcPr>
          <w:p w:rsidR="0095201D" w:rsidRPr="0058161B" w:rsidRDefault="0095201D" w:rsidP="002037AB">
            <w:pPr>
              <w:rPr>
                <w:lang w:val="nl-BE"/>
              </w:rPr>
            </w:pPr>
          </w:p>
        </w:tc>
        <w:tc>
          <w:tcPr>
            <w:tcW w:w="850" w:type="dxa"/>
            <w:shd w:val="clear" w:color="auto" w:fill="C5E0B3" w:themeFill="accent6" w:themeFillTint="66"/>
          </w:tcPr>
          <w:p w:rsidR="0095201D" w:rsidRPr="0058161B" w:rsidRDefault="0095201D" w:rsidP="002037AB">
            <w:pPr>
              <w:rPr>
                <w:lang w:val="nl-BE"/>
              </w:rPr>
            </w:pPr>
          </w:p>
        </w:tc>
        <w:tc>
          <w:tcPr>
            <w:tcW w:w="851" w:type="dxa"/>
            <w:shd w:val="clear" w:color="auto" w:fill="C5E0B3" w:themeFill="accent6" w:themeFillTint="66"/>
          </w:tcPr>
          <w:p w:rsidR="0095201D" w:rsidRPr="0058161B" w:rsidRDefault="0095201D" w:rsidP="002037AB">
            <w:pPr>
              <w:rPr>
                <w:lang w:val="nl-BE"/>
              </w:rPr>
            </w:pPr>
          </w:p>
        </w:tc>
        <w:tc>
          <w:tcPr>
            <w:tcW w:w="708" w:type="dxa"/>
            <w:shd w:val="clear" w:color="auto" w:fill="C5E0B3" w:themeFill="accent6" w:themeFillTint="66"/>
          </w:tcPr>
          <w:p w:rsidR="0095201D" w:rsidRPr="0058161B" w:rsidRDefault="0095201D" w:rsidP="002037AB">
            <w:pPr>
              <w:rPr>
                <w:lang w:val="nl-BE"/>
              </w:rPr>
            </w:pPr>
          </w:p>
        </w:tc>
      </w:tr>
      <w:tr w:rsidR="0095201D" w:rsidRPr="00F05FEE" w:rsidTr="002037AB">
        <w:tc>
          <w:tcPr>
            <w:tcW w:w="9067" w:type="dxa"/>
            <w:gridSpan w:val="8"/>
          </w:tcPr>
          <w:p w:rsidR="0095201D" w:rsidRPr="0058161B" w:rsidRDefault="0058161B" w:rsidP="0058161B">
            <w:pPr>
              <w:numPr>
                <w:ilvl w:val="0"/>
                <w:numId w:val="1"/>
              </w:numPr>
              <w:pBdr>
                <w:top w:val="nil"/>
                <w:left w:val="nil"/>
                <w:bottom w:val="nil"/>
                <w:right w:val="nil"/>
                <w:between w:val="nil"/>
              </w:pBdr>
              <w:spacing w:after="0"/>
              <w:ind w:left="313"/>
              <w:rPr>
                <w:color w:val="000000"/>
                <w:sz w:val="20"/>
                <w:szCs w:val="20"/>
                <w:lang w:val="nl-BE"/>
              </w:rPr>
            </w:pPr>
            <w:bookmarkStart w:id="1" w:name="_heading=h.gjdgxs" w:colFirst="0" w:colLast="0"/>
            <w:bookmarkEnd w:id="1"/>
            <w:r>
              <w:rPr>
                <w:b/>
                <w:color w:val="000000"/>
                <w:sz w:val="20"/>
                <w:szCs w:val="20"/>
                <w:lang w:val="nl-BE"/>
              </w:rPr>
              <w:t>Monitoring</w:t>
            </w:r>
            <w:r w:rsidRPr="0058161B">
              <w:rPr>
                <w:b/>
                <w:color w:val="000000"/>
                <w:sz w:val="20"/>
                <w:szCs w:val="20"/>
                <w:lang w:val="nl-BE"/>
              </w:rPr>
              <w:t xml:space="preserve"> en aanpassing </w:t>
            </w:r>
            <w:r w:rsidRPr="0058161B">
              <w:rPr>
                <w:color w:val="000000"/>
                <w:sz w:val="20"/>
                <w:szCs w:val="20"/>
                <w:lang w:val="nl-BE"/>
              </w:rPr>
              <w:t>aan Europese en internationale trends, met name op het gebied van het</w:t>
            </w:r>
            <w:r w:rsidRPr="0058161B">
              <w:rPr>
                <w:b/>
                <w:color w:val="000000"/>
                <w:sz w:val="20"/>
                <w:szCs w:val="20"/>
                <w:lang w:val="nl-BE"/>
              </w:rPr>
              <w:t xml:space="preserve"> EOSC</w:t>
            </w:r>
          </w:p>
        </w:tc>
      </w:tr>
      <w:tr w:rsidR="0095201D" w:rsidRPr="00F05FEE" w:rsidTr="002037AB">
        <w:tc>
          <w:tcPr>
            <w:tcW w:w="3681" w:type="dxa"/>
          </w:tcPr>
          <w:p w:rsidR="0095201D" w:rsidRPr="0058161B" w:rsidRDefault="0095201D" w:rsidP="0058161B">
            <w:pPr>
              <w:ind w:left="174"/>
              <w:rPr>
                <w:sz w:val="20"/>
                <w:szCs w:val="20"/>
                <w:lang w:val="nl-BE"/>
              </w:rPr>
            </w:pPr>
            <w:r w:rsidRPr="0058161B">
              <w:rPr>
                <w:sz w:val="20"/>
                <w:szCs w:val="20"/>
                <w:lang w:val="nl-BE"/>
              </w:rPr>
              <w:t xml:space="preserve">3.1 </w:t>
            </w:r>
            <w:r w:rsidR="0058161B">
              <w:rPr>
                <w:sz w:val="20"/>
                <w:szCs w:val="20"/>
                <w:lang w:val="nl-BE"/>
              </w:rPr>
              <w:t>Actieve monitoring van</w:t>
            </w:r>
            <w:r w:rsidR="0058161B" w:rsidRPr="0058161B">
              <w:rPr>
                <w:sz w:val="20"/>
                <w:szCs w:val="20"/>
                <w:lang w:val="nl-BE"/>
              </w:rPr>
              <w:t xml:space="preserve"> Europese en internationale trends, met name op het gebied van het EOSC</w:t>
            </w:r>
          </w:p>
        </w:tc>
        <w:tc>
          <w:tcPr>
            <w:tcW w:w="709" w:type="dxa"/>
            <w:shd w:val="clear" w:color="auto" w:fill="C5E0B3"/>
          </w:tcPr>
          <w:p w:rsidR="0095201D" w:rsidRPr="0058161B" w:rsidRDefault="0095201D" w:rsidP="002037AB">
            <w:pPr>
              <w:rPr>
                <w:lang w:val="nl-BE"/>
              </w:rPr>
            </w:pPr>
          </w:p>
        </w:tc>
        <w:tc>
          <w:tcPr>
            <w:tcW w:w="708" w:type="dxa"/>
            <w:shd w:val="clear" w:color="auto" w:fill="C5E0B3"/>
          </w:tcPr>
          <w:p w:rsidR="0095201D" w:rsidRPr="0058161B" w:rsidRDefault="0095201D" w:rsidP="002037AB">
            <w:pPr>
              <w:rPr>
                <w:lang w:val="nl-BE"/>
              </w:rPr>
            </w:pPr>
          </w:p>
        </w:tc>
        <w:tc>
          <w:tcPr>
            <w:tcW w:w="709" w:type="dxa"/>
            <w:shd w:val="clear" w:color="auto" w:fill="C5E0B3"/>
          </w:tcPr>
          <w:p w:rsidR="0095201D" w:rsidRPr="0058161B" w:rsidRDefault="0095201D" w:rsidP="002037AB">
            <w:pPr>
              <w:rPr>
                <w:lang w:val="nl-BE"/>
              </w:rPr>
            </w:pPr>
          </w:p>
        </w:tc>
        <w:tc>
          <w:tcPr>
            <w:tcW w:w="851" w:type="dxa"/>
            <w:shd w:val="clear" w:color="auto" w:fill="C5E0B3"/>
          </w:tcPr>
          <w:p w:rsidR="0095201D" w:rsidRPr="0058161B" w:rsidRDefault="0095201D" w:rsidP="002037AB">
            <w:pPr>
              <w:rPr>
                <w:lang w:val="nl-BE"/>
              </w:rPr>
            </w:pPr>
          </w:p>
        </w:tc>
        <w:tc>
          <w:tcPr>
            <w:tcW w:w="850" w:type="dxa"/>
            <w:shd w:val="clear" w:color="auto" w:fill="C5E0B3"/>
          </w:tcPr>
          <w:p w:rsidR="0095201D" w:rsidRPr="0058161B" w:rsidRDefault="0095201D" w:rsidP="002037AB">
            <w:pPr>
              <w:rPr>
                <w:lang w:val="nl-BE"/>
              </w:rPr>
            </w:pPr>
          </w:p>
        </w:tc>
        <w:tc>
          <w:tcPr>
            <w:tcW w:w="851" w:type="dxa"/>
            <w:shd w:val="clear" w:color="auto" w:fill="C5E0B3"/>
          </w:tcPr>
          <w:p w:rsidR="0095201D" w:rsidRPr="0058161B" w:rsidRDefault="0095201D" w:rsidP="002037AB">
            <w:pPr>
              <w:rPr>
                <w:lang w:val="nl-BE"/>
              </w:rPr>
            </w:pPr>
          </w:p>
        </w:tc>
        <w:tc>
          <w:tcPr>
            <w:tcW w:w="708" w:type="dxa"/>
            <w:shd w:val="clear" w:color="auto" w:fill="C5E0B3"/>
          </w:tcPr>
          <w:p w:rsidR="0095201D" w:rsidRPr="0058161B" w:rsidRDefault="0095201D" w:rsidP="002037AB">
            <w:pPr>
              <w:rPr>
                <w:lang w:val="nl-BE"/>
              </w:rPr>
            </w:pPr>
          </w:p>
        </w:tc>
      </w:tr>
      <w:tr w:rsidR="0095201D" w:rsidRPr="00F05FEE" w:rsidTr="002037AB">
        <w:tc>
          <w:tcPr>
            <w:tcW w:w="3681" w:type="dxa"/>
          </w:tcPr>
          <w:p w:rsidR="0095201D" w:rsidRPr="0058161B" w:rsidRDefault="0095201D" w:rsidP="002037AB">
            <w:pPr>
              <w:ind w:left="174"/>
              <w:rPr>
                <w:sz w:val="20"/>
                <w:szCs w:val="20"/>
                <w:lang w:val="nl-BE"/>
              </w:rPr>
            </w:pPr>
            <w:r w:rsidRPr="0058161B">
              <w:rPr>
                <w:sz w:val="20"/>
                <w:szCs w:val="20"/>
                <w:lang w:val="nl-BE"/>
              </w:rPr>
              <w:t xml:space="preserve">3.2 </w:t>
            </w:r>
            <w:r w:rsidR="0058161B" w:rsidRPr="0058161B">
              <w:rPr>
                <w:sz w:val="20"/>
                <w:szCs w:val="20"/>
                <w:lang w:val="nl-BE"/>
              </w:rPr>
              <w:t xml:space="preserve">Aanpassing en verfijning van het generieke </w:t>
            </w:r>
            <w:proofErr w:type="spellStart"/>
            <w:r w:rsidR="0058161B" w:rsidRPr="0058161B">
              <w:rPr>
                <w:sz w:val="20"/>
                <w:szCs w:val="20"/>
                <w:lang w:val="nl-BE"/>
              </w:rPr>
              <w:t>metadatamodel</w:t>
            </w:r>
            <w:proofErr w:type="spellEnd"/>
            <w:r w:rsidR="0058161B" w:rsidRPr="0058161B">
              <w:rPr>
                <w:sz w:val="20"/>
                <w:szCs w:val="20"/>
                <w:lang w:val="nl-BE"/>
              </w:rPr>
              <w:t xml:space="preserve"> en de disciplinaire richtlijnen wanneer dat nodig is</w:t>
            </w:r>
          </w:p>
        </w:tc>
        <w:tc>
          <w:tcPr>
            <w:tcW w:w="709" w:type="dxa"/>
            <w:shd w:val="clear" w:color="auto" w:fill="C5E0B3"/>
          </w:tcPr>
          <w:p w:rsidR="0095201D" w:rsidRPr="0058161B" w:rsidRDefault="0095201D" w:rsidP="002037AB">
            <w:pPr>
              <w:rPr>
                <w:lang w:val="nl-BE"/>
              </w:rPr>
            </w:pPr>
          </w:p>
        </w:tc>
        <w:tc>
          <w:tcPr>
            <w:tcW w:w="708" w:type="dxa"/>
            <w:shd w:val="clear" w:color="auto" w:fill="C5E0B3"/>
          </w:tcPr>
          <w:p w:rsidR="0095201D" w:rsidRPr="0058161B" w:rsidRDefault="0095201D" w:rsidP="002037AB">
            <w:pPr>
              <w:rPr>
                <w:lang w:val="nl-BE"/>
              </w:rPr>
            </w:pPr>
          </w:p>
        </w:tc>
        <w:tc>
          <w:tcPr>
            <w:tcW w:w="709" w:type="dxa"/>
            <w:shd w:val="clear" w:color="auto" w:fill="C5E0B3"/>
          </w:tcPr>
          <w:p w:rsidR="0095201D" w:rsidRPr="0058161B" w:rsidRDefault="0095201D" w:rsidP="002037AB">
            <w:pPr>
              <w:rPr>
                <w:lang w:val="nl-BE"/>
              </w:rPr>
            </w:pPr>
          </w:p>
        </w:tc>
        <w:tc>
          <w:tcPr>
            <w:tcW w:w="851" w:type="dxa"/>
            <w:shd w:val="clear" w:color="auto" w:fill="C5E0B3"/>
          </w:tcPr>
          <w:p w:rsidR="0095201D" w:rsidRPr="0058161B" w:rsidRDefault="0095201D" w:rsidP="002037AB">
            <w:pPr>
              <w:rPr>
                <w:lang w:val="nl-BE"/>
              </w:rPr>
            </w:pPr>
          </w:p>
        </w:tc>
        <w:tc>
          <w:tcPr>
            <w:tcW w:w="850" w:type="dxa"/>
            <w:shd w:val="clear" w:color="auto" w:fill="C5E0B3"/>
          </w:tcPr>
          <w:p w:rsidR="0095201D" w:rsidRPr="0058161B" w:rsidRDefault="0095201D" w:rsidP="002037AB">
            <w:pPr>
              <w:rPr>
                <w:lang w:val="nl-BE"/>
              </w:rPr>
            </w:pPr>
          </w:p>
        </w:tc>
        <w:tc>
          <w:tcPr>
            <w:tcW w:w="851" w:type="dxa"/>
            <w:shd w:val="clear" w:color="auto" w:fill="C5E0B3"/>
          </w:tcPr>
          <w:p w:rsidR="0095201D" w:rsidRPr="0058161B" w:rsidRDefault="0095201D" w:rsidP="002037AB">
            <w:pPr>
              <w:rPr>
                <w:lang w:val="nl-BE"/>
              </w:rPr>
            </w:pPr>
          </w:p>
        </w:tc>
        <w:tc>
          <w:tcPr>
            <w:tcW w:w="708" w:type="dxa"/>
            <w:shd w:val="clear" w:color="auto" w:fill="C5E0B3"/>
          </w:tcPr>
          <w:p w:rsidR="0095201D" w:rsidRPr="0058161B" w:rsidRDefault="0095201D" w:rsidP="002037AB">
            <w:pPr>
              <w:rPr>
                <w:lang w:val="nl-BE"/>
              </w:rPr>
            </w:pPr>
          </w:p>
        </w:tc>
      </w:tr>
    </w:tbl>
    <w:p w:rsidR="0095201D" w:rsidRPr="0058161B" w:rsidRDefault="0095201D" w:rsidP="0095201D">
      <w:pPr>
        <w:rPr>
          <w:lang w:val="nl-BE"/>
        </w:rPr>
      </w:pPr>
    </w:p>
    <w:p w:rsidR="001346EE" w:rsidRPr="0058161B" w:rsidRDefault="001346EE" w:rsidP="001346EE">
      <w:pPr>
        <w:rPr>
          <w:lang w:val="nl-BE"/>
        </w:rPr>
      </w:pPr>
    </w:p>
    <w:sectPr w:rsidR="001346EE" w:rsidRPr="0058161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B744A"/>
    <w:multiLevelType w:val="multilevel"/>
    <w:tmpl w:val="0D1058E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6EE"/>
    <w:rsid w:val="001346EE"/>
    <w:rsid w:val="001F5E7F"/>
    <w:rsid w:val="00252104"/>
    <w:rsid w:val="003A4AF0"/>
    <w:rsid w:val="003B1C03"/>
    <w:rsid w:val="00482784"/>
    <w:rsid w:val="004B7898"/>
    <w:rsid w:val="0058161B"/>
    <w:rsid w:val="0095201D"/>
    <w:rsid w:val="00957E86"/>
    <w:rsid w:val="00CC4A81"/>
    <w:rsid w:val="00D140FF"/>
    <w:rsid w:val="00D2148D"/>
    <w:rsid w:val="00D93E04"/>
    <w:rsid w:val="00E3251F"/>
    <w:rsid w:val="00F05FEE"/>
    <w:rsid w:val="00F31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8075"/>
  <w15:chartTrackingRefBased/>
  <w15:docId w15:val="{1C6E2CB9-3CA9-4CC8-8005-4D6135BE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UHasselt</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VANCAUWENBERGH Sadia</dc:creator>
  <cp:keywords/>
  <dc:description/>
  <cp:lastModifiedBy> </cp:lastModifiedBy>
  <cp:revision>15</cp:revision>
  <dcterms:created xsi:type="dcterms:W3CDTF">2020-06-12T20:31:00Z</dcterms:created>
  <dcterms:modified xsi:type="dcterms:W3CDTF">2020-06-12T21:26:00Z</dcterms:modified>
</cp:coreProperties>
</file>