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color w:val="1E3D59"/>
          <w:sz w:val="40"/>
        </w:rPr>
        <w:t>ForestProof — краткий исследовательский отчёт</w:t>
      </w:r>
    </w:p>
    <w:p>
      <w:pPr>
        <w:jc w:val="center"/>
      </w:pPr>
      <w:r>
        <w:rPr>
          <w:rFonts w:ascii="Liberation Sans" w:hAnsi="Liberation Sans" w:eastAsia="Liberation Sans"/>
          <w:color w:val="646464"/>
          <w:sz w:val="19"/>
        </w:rPr>
        <w:t>Executive Summary · 19.09.2026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3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E3D59"/>
                <w:sz w:val="18"/>
              </w:rPr>
              <w:t xml:space="preserve">Назначение: </w:t>
            </w:r>
            <w:r>
              <w:rPr>
                <w:rFonts w:ascii="Liberation Sans" w:hAnsi="Liberation Sans" w:eastAsia="Liberation Sans"/>
                <w:sz w:val="18"/>
              </w:rPr>
              <w:t>Предпроектный экспресс-скрининг лесных участков по открытым спутниковым данным. ForestProof не выпускает сертифицированные единицы; Q — потенциальное количество единиц по правилам кейса.</w:t>
            </w:r>
          </w:p>
        </w:tc>
      </w:tr>
    </w:tbl>
    <w:p>
      <w:pPr>
        <w:pStyle w:val="Heading1"/>
      </w:pPr>
      <w:r>
        <w:t>1. Как пришли к решению</w:t>
      </w:r>
    </w:p>
    <w:p>
      <w:r>
        <w:rPr>
          <w:rFonts w:ascii="Liberation Sans" w:hAnsi="Liberation Sans" w:eastAsia="Liberation Sans"/>
          <w:i w:val="0"/>
        </w:rPr>
        <w:t>Сначала команда считала физическое изменение запаса углерода. Затем стало ясно, что рост леса необходимо сравнивать с baseline. На 4 официальных AOI за 2019–2024 гг. R оказался ≤0, поэтому Q=0. Проверка всех 60 пар лет выявила 9 интервалов с R&gt;0, но во всех них H/R≥8.55. Это привело к отдельному sensitivity-анализу параметров ρs и ρt. ML-эксперимент вынесен в независимый контур риска потерь покрова и не влияет на Q.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88000" cy="10863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086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Схема исследовательского пути.</w:t>
      </w:r>
    </w:p>
    <w:p>
      <w:pPr>
        <w:pStyle w:val="Heading1"/>
      </w:pPr>
      <w:r>
        <w:t>2. Методика в четырёх шагах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rPr>
          <w:tblHeader w:val="true"/>
        </w:trP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5EE"/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/>
                <w:sz w:val="15"/>
              </w:rPr>
              <w:t>1. Физика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5EE"/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/>
                <w:sz w:val="15"/>
              </w:rPr>
              <w:t>2. Baseline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5EE"/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/>
                <w:sz w:val="15"/>
              </w:rPr>
              <w:t>3. Uncertainty</w:t>
            </w:r>
          </w:p>
        </w:tc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5EE"/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/>
                <w:sz w:val="15"/>
              </w:rPr>
              <w:t>4. Q и экономика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AGB → C;</w:t>
              <w:br/>
              <w:t>E_proj = -ΔC·44/12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Годовые endpoints baseline.csv; историческая динамика 2015–2019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AGB_SD → var_C → sqrt → σ; ρs=0.5, ρt=0.7, k=1.645</w:t>
            </w:r>
          </w:p>
        </w:tc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R=E_base-E_proj; H/R; UNC; buffer 15%; V=Q×P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c>
          <w:tcPr>
            <w:tcW w:type="dxa" w:w="2691"/>
            <w:shd w:fill="EEF3F7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E3D59"/>
                <w:sz w:val="34"/>
              </w:rPr>
              <w:t>4</w:t>
              <w:br/>
            </w:r>
            <w:r>
              <w:rPr>
                <w:rFonts w:ascii="Liberation Sans" w:hAnsi="Liberation Sans" w:eastAsia="Liberation Sans"/>
                <w:color w:val="464646"/>
                <w:sz w:val="16"/>
              </w:rPr>
              <w:t>официальных AOI</w:t>
            </w:r>
          </w:p>
        </w:tc>
        <w:tc>
          <w:tcPr>
            <w:tcW w:type="dxa" w:w="2691"/>
            <w:shd w:fill="EEF3F7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E3D59"/>
                <w:sz w:val="34"/>
              </w:rPr>
              <w:t>60</w:t>
              <w:br/>
            </w:r>
            <w:r>
              <w:rPr>
                <w:rFonts w:ascii="Liberation Sans" w:hAnsi="Liberation Sans" w:eastAsia="Liberation Sans"/>
                <w:color w:val="464646"/>
                <w:sz w:val="16"/>
              </w:rPr>
              <w:t>пар лет</w:t>
            </w:r>
          </w:p>
        </w:tc>
        <w:tc>
          <w:tcPr>
            <w:tcW w:type="dxa" w:w="2691"/>
            <w:shd w:fill="EEF3F7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E3D59"/>
                <w:sz w:val="34"/>
              </w:rPr>
              <w:t>9</w:t>
              <w:br/>
            </w:r>
            <w:r>
              <w:rPr>
                <w:rFonts w:ascii="Liberation Sans" w:hAnsi="Liberation Sans" w:eastAsia="Liberation Sans"/>
                <w:color w:val="464646"/>
                <w:sz w:val="16"/>
              </w:rPr>
              <w:t>пар с R&gt;0</w:t>
            </w:r>
          </w:p>
        </w:tc>
        <w:tc>
          <w:tcPr>
            <w:tcW w:type="dxa" w:w="2691"/>
            <w:shd w:fill="EEF3F7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E3D59"/>
                <w:sz w:val="34"/>
              </w:rPr>
              <w:t>8.55</w:t>
              <w:br/>
            </w:r>
            <w:r>
              <w:rPr>
                <w:rFonts w:ascii="Liberation Sans" w:hAnsi="Liberation Sans" w:eastAsia="Liberation Sans"/>
                <w:color w:val="464646"/>
                <w:sz w:val="16"/>
              </w:rPr>
              <w:t>минимум H/R</w:t>
            </w:r>
          </w:p>
        </w:tc>
      </w:tr>
    </w:tbl>
    <w:p>
      <w:pPr>
        <w:pStyle w:val="Heading1"/>
      </w:pPr>
      <w:r>
        <w:t>3. Ключевые результаты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</w:rPr>
        <w:t>2019–2024: все 4 официальных AOI имеют R≤0 и Q=0.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</w:rPr>
        <w:t>Из 60 временных пар: 51 (85%) имеют R≤0; 9 (15%) имеют R&gt;0.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</w:rPr>
        <w:t>Для всех 9 положительных интервалов H/R≥8.5522, поэтому срабатывает стоп-правило H/R≥1.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</w:rPr>
        <w:t>Sensitivity 5×6: Q&gt;0 только в 3 из 30 комбинаций — при ρs=0 и ρt≥0.90.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</w:rPr>
        <w:t>ML: L2-логистика ROC-AUC 0.8465 против 0.8291 у лучшего одиночного признака; прирост +0.0174.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88000" cy="21767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s_h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176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Итог 60 пар лет и масштаб неопределённости в 9 положительных интервалах.</w:t>
      </w:r>
    </w:p>
    <w:p>
      <w:r>
        <w:br w:type="page"/>
      </w:r>
    </w:p>
    <w:p>
      <w:pPr>
        <w:pStyle w:val="Heading1"/>
      </w:pPr>
      <w:r>
        <w:t>4. Чувствительность, ML и практическая интерпретация</w:t>
      </w:r>
    </w:p>
    <w:p>
      <w:r>
        <w:rPr>
          <w:rFonts w:ascii="Liberation Sans" w:hAnsi="Liberation Sans" w:eastAsia="Liberation Sans"/>
          <w:i w:val="0"/>
        </w:rPr>
        <w:t>Sensitivity-анализ показал, что Q&gt;0 возникает только в 3 из 30 проверенных комбинаций параметров корреляции. Это означает, что интерпретация пограничных случаев должна сопровождаться явным показом assumptions модели ошибок.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4392000" cy="18819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i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1881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Sensitivity 5×6 для RU_TVER_01, 2019–2020.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3888000" cy="17216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au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1721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ML: L2-модель даёт небольшой прирост +0.0174 ROC-AUC.</w:t>
      </w:r>
    </w:p>
    <w:p>
      <w:r>
        <w:rPr>
          <w:rFonts w:ascii="Liberation Sans" w:hAnsi="Liberation Sans" w:eastAsia="Liberation Sans"/>
          <w:i w:val="0"/>
        </w:rPr>
        <w:t>Сценарная стоимость V=Q×P при ценах 500/1500/4000 руб. равна нулю для проверенных официальных интервалов, поскольку Q=0. Ценность подхода — не «автоматический выпуск кредитов», а прозрачный screening: отделить отсутствие положительного эффекта от случаев, где эффект есть, но недостаточно устойчив к принятой модели неопределённости.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3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E3D59"/>
                <w:sz w:val="18"/>
              </w:rPr>
              <w:t xml:space="preserve">Главный вывод: </w:t>
            </w:r>
            <w:r>
              <w:rPr>
                <w:rFonts w:ascii="Liberation Sans" w:hAnsi="Liberation Sans" w:eastAsia="Liberation Sans"/>
                <w:sz w:val="18"/>
              </w:rPr>
              <w:t>На исследованных AOI результат определяется последовательной проверкой baseline → R → uncertainty → sensitivity. Q=0 является результатом расчётных фильтров, а не техническим сбоем системы.</w:t>
            </w:r>
          </w:p>
        </w:tc>
      </w:tr>
    </w:tbl>
    <w:p>
      <w:r>
        <w:rPr>
          <w:rFonts w:ascii="Liberation Sans" w:hAnsi="Liberation Sans" w:eastAsia="Liberation Sans"/>
          <w:i/>
          <w:sz w:val="16"/>
        </w:rPr>
        <w:t>Ограничения: результат относится к 4 официальным AOI; ρs, ρt и k — modeling priors команды; ForestProof не заменяет формальную валидацию/верификацию.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09" w:bottom="652" w:left="765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/>
        <w:color w:val="6E6E6E"/>
        <w:sz w:val="17"/>
      </w:rPr>
      <w:t xml:space="preserve">Стр.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color w:val="7D7D7D"/>
        <w:sz w:val="16"/>
      </w:rPr>
      <w:t>FORESTPROOF  |  исследовательский отчёт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59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E3D5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D50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E3D5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30" w:after="80"/>
    </w:pPr>
    <w:rPr>
      <w:rFonts w:ascii="Liberation Sans" w:hAnsi="Liberation Sans"/>
      <w:i/>
      <w:color w:val="50505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