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rFonts w:ascii="Liberation Sans" w:hAnsi="Liberation Sans" w:eastAsia="Liberation Sans"/>
          <w:b/>
          <w:color w:val="1E3D59"/>
          <w:sz w:val="62"/>
        </w:rPr>
        <w:t>ForestProof</w:t>
      </w:r>
    </w:p>
    <w:p>
      <w:pPr>
        <w:jc w:val="center"/>
      </w:pPr>
      <w:r>
        <w:rPr>
          <w:rFonts w:ascii="Liberation Sans" w:hAnsi="Liberation Sans" w:eastAsia="Liberation Sans"/>
          <w:b/>
          <w:color w:val="282828"/>
          <w:sz w:val="35"/>
        </w:rPr>
        <w:t>Исследовательский отчёт</w:t>
      </w:r>
    </w:p>
    <w:p>
      <w:pPr>
        <w:jc w:val="center"/>
      </w:pPr>
      <w:r>
        <w:rPr>
          <w:rFonts w:ascii="Liberation Sans" w:hAnsi="Liberation Sans" w:eastAsia="Liberation Sans"/>
          <w:color w:val="5A5A5A"/>
          <w:sz w:val="21"/>
        </w:rPr>
        <w:t>Методология, неопределённость, эмпирические результаты и исследовательский путь команды</w:t>
      </w:r>
    </w:p>
    <w:p>
      <w:pPr>
        <w:spacing w:before="720"/>
        <w:jc w:val="center"/>
      </w:pPr>
      <w:r>
        <w:rPr>
          <w:rFonts w:ascii="Liberation Sans" w:hAnsi="Liberation Sans" w:eastAsia="Liberation Sans"/>
          <w:color w:val="5A5A5A"/>
          <w:sz w:val="21"/>
        </w:rPr>
        <w:t>Исследовательский проект · 19 сентября 2026 г.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EF3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color w:val="374650"/>
                <w:sz w:val="18"/>
              </w:rPr>
              <w:t>Полная версия. Объём рассчитан на не более 10 страниц A4.</w:t>
            </w:r>
          </w:p>
        </w:tc>
      </w:tr>
    </w:tbl>
    <w:p>
      <w:r>
        <w:br w:type="page"/>
      </w:r>
    </w:p>
    <w:p>
      <w:pPr>
        <w:pStyle w:val="Heading1"/>
      </w:pPr>
      <w:r>
        <w:t>1. Введение и постановка задачи</w:t>
      </w:r>
    </w:p>
    <w:p>
      <w:r>
        <w:rPr>
          <w:rFonts w:ascii="Liberation Sans" w:hAnsi="Liberation Sans" w:eastAsia="Liberation Sans"/>
          <w:i w:val="0"/>
        </w:rPr>
        <w:t>ForestProof разработан как инструмент предпроектного экспресс-скрининга лесных территорий. Его задача — до дорогостоящих полевых работ проверить, показывает ли участок положительный расчётный эффект относительно базовой линии, насколько этот эффект устойчив к неопределённости спутниковых данных и есть ли основания продолжать детальную проработку проекта.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EF3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E3D59"/>
                <w:sz w:val="18"/>
              </w:rPr>
              <w:t xml:space="preserve">Границы результата: </w:t>
            </w:r>
            <w:r>
              <w:rPr>
                <w:rFonts w:ascii="Liberation Sans" w:hAnsi="Liberation Sans" w:eastAsia="Liberation Sans"/>
                <w:sz w:val="18"/>
              </w:rPr>
              <w:t>ForestProof не заменяет орган по валидации и верификации и не выпускает углеродные единицы в реестр. Q — потенциальное количество единиц по правилам кейса, а не сертифицированные кредиты.</w:t>
            </w:r>
          </w:p>
        </w:tc>
      </w:tr>
    </w:tbl>
    <w:p>
      <w:pPr>
        <w:pStyle w:val="Heading2"/>
      </w:pPr>
      <w:r>
        <w:t>1.1. Как команда пришла к текущему решению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Сначала был реализован прямой физический расчёт изменения надземной биомассы и запаса углерода.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Затем стало ясно, что сам рост леса недостаточен: его нужно сравнивать с тем, что ожидалось бы без проекта. Поэтому в расчёт введена динамическая базовая линия.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На 4 официальных участках за 2019–2024 гг. получено R≤0 и Q=0. Чтобы исключить зависимость вывода от выбранных граничных дат, проверены все 60 пар лет внутри 2019–2024 гг.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В 9 интервалах R оказался положительным. Следующим вопросом стала надёжность этого эффекта с учётом AGB_SD. Для этого введена пространственно-временная модель переноса неопределённости.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Во всех 9 положительных интервалах H/R оказался ≥8.55. Поскольку ρs, ρt и k — модельные допущения команды, был выполнен sensitivity-анализ на сетке 5×6.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Отдельно был проведён ML-эксперимент по последующим потерям древесного покрова. Он оставлен независимым контуром и не влияет на Q.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48000" cy="1155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155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Рисунок 1. Исследовательский путь ForestProof: от физического запаса к baseline, uncertainty, sensitivity и отдельному ML-скринингу.</w:t>
      </w:r>
    </w:p>
    <w:p>
      <w:pPr>
        <w:pStyle w:val="Heading1"/>
      </w:pPr>
      <w:r>
        <w:t>2. Исходные данные и пространственный охват</w:t>
      </w:r>
    </w:p>
    <w:p>
      <w:r>
        <w:rPr>
          <w:rFonts w:ascii="Liberation Sans" w:hAnsi="Liberation Sans" w:eastAsia="Liberation Sans"/>
          <w:i w:val="0"/>
        </w:rPr>
        <w:t>Основой физического расчёта служат ежегодные слои ESA CCI Biomass v7: AGB (надземная древесная биомасса, т/га) и AGB_SD (стандартное отклонение оценки AGB). Для контекста нарушений используется Hansen Global Forest Change: в основном расчётном контуре — вырезки v1.13, в ML-эксперименте — тайлы v1.12.</w:t>
      </w:r>
    </w:p>
    <w:p>
      <w:r>
        <w:rPr>
          <w:rFonts w:ascii="Liberation Sans" w:hAnsi="Liberation Sans" w:eastAsia="Liberation Sans"/>
          <w:i w:val="0"/>
        </w:rPr>
        <w:t>Площадь пикселей не принимается равной 1 га. На широтах исследуемых участков пиксель ESA CCI имеет площадь около 0.54 га; для крайних пикселей учитывается фактическая доля пересечения с геометрией AOI.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215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5EE"/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/>
                <w:sz w:val="16"/>
              </w:rPr>
              <w:t>AOI</w:t>
            </w:r>
          </w:p>
        </w:tc>
        <w:tc>
          <w:tcPr>
            <w:tcW w:type="dxa" w:w="53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5EE"/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/>
                <w:sz w:val="16"/>
              </w:rPr>
              <w:t>Характеристика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5EE"/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/>
                <w:sz w:val="16"/>
              </w:rPr>
              <w:t>Площадь, га</w:t>
            </w:r>
          </w:p>
        </w:tc>
      </w:tr>
      <w:tr>
        <w:tc>
          <w:tcPr>
            <w:tcW w:type="dxa" w:w="215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  <w:t>RU_TVER_01</w:t>
            </w:r>
          </w:p>
        </w:tc>
        <w:tc>
          <w:tcPr>
            <w:tcW w:type="dxa" w:w="53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  <w:t>Тверская область, контрольный массив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  <w:t>1 750.47</w:t>
            </w:r>
          </w:p>
        </w:tc>
      </w:tr>
      <w:tr>
        <w:tc>
          <w:tcPr>
            <w:tcW w:type="dxa" w:w="215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  <w:t>RU_VOLOGDA_02</w:t>
            </w:r>
          </w:p>
        </w:tc>
        <w:tc>
          <w:tcPr>
            <w:tcW w:type="dxa" w:w="53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  <w:t>Вологодская область, мозаика нарушений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  <w:t>1 617.71</w:t>
            </w:r>
          </w:p>
        </w:tc>
      </w:tr>
      <w:tr>
        <w:tc>
          <w:tcPr>
            <w:tcW w:type="dxa" w:w="215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  <w:t>RU_MORDOVIA_03</w:t>
            </w:r>
          </w:p>
        </w:tc>
        <w:tc>
          <w:tcPr>
            <w:tcW w:type="dxa" w:w="53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  <w:t>Мордовия, повторные нарушения и пожары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  <w:t>1 829.60</w:t>
            </w:r>
          </w:p>
        </w:tc>
      </w:tr>
      <w:tr>
        <w:tc>
          <w:tcPr>
            <w:tcW w:type="dxa" w:w="215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  <w:t>RU_MORDOVIA_04</w:t>
            </w:r>
          </w:p>
        </w:tc>
        <w:tc>
          <w:tcPr>
            <w:tcW w:type="dxa" w:w="53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  <w:t>Мордовия, ранние потери и гарь 2021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  <w:t>1 832.75</w:t>
            </w:r>
          </w:p>
        </w:tc>
      </w:tr>
    </w:tbl>
    <w:p>
      <w:r>
        <w:rPr>
          <w:rFonts w:ascii="Liberation Sans" w:hAnsi="Liberation Sans" w:eastAsia="Liberation Sans"/>
          <w:i/>
          <w:sz w:val="17"/>
        </w:rPr>
        <w:t>Дополнительные полигоны использовались для инженерных и вспомогательных экспериментов и не входят в эксперимент по 60 временным парам.</w:t>
      </w:r>
    </w:p>
    <w:p>
      <w:r>
        <w:br w:type="page"/>
      </w:r>
    </w:p>
    <w:p>
      <w:pPr>
        <w:pStyle w:val="Heading1"/>
      </w:pPr>
      <w:r>
        <w:t>3. Методология расчёта углеродного баланса</w:t>
      </w:r>
    </w:p>
    <w:p>
      <w:r>
        <w:rPr>
          <w:rFonts w:ascii="Liberation Sans" w:hAnsi="Liberation Sans" w:eastAsia="Liberation Sans"/>
          <w:i w:val="0"/>
        </w:rPr>
        <w:t>Запас углерода рассчитывается как площадно-взвешенная сумма по пикселям. CF_AGB=0.47 используется как параметр кейса; перевод углерода в CO₂-эквивалент выполняется множителем 44/12. Для всех AOI production-расчёт использует годовые endpoints из baseline.csv. Сценарная базовая линия построена по исторической динамике ESA CCI Biomass 2015–2019: g=(c_2019-c_2015)/4, после чего значения экстраполируются по годам.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668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arb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6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Ключевые формулы физического запаса и расчётного эффекта.</w:t>
      </w:r>
    </w:p>
    <w:p>
      <w:r>
        <w:rPr>
          <w:rFonts w:ascii="Liberation Sans" w:hAnsi="Liberation Sans" w:eastAsia="Liberation Sans"/>
          <w:i w:val="0"/>
        </w:rPr>
        <w:t>Знак принят атмосферный: выбросы положительны, поглощение отрицательно. Поэтому рост запаса даёт E_proj&lt;0. Показатель R сравнивает проектный поток с baseline; при R≤0 расчёт не показывает положительного эффекта относительно базовой линии.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EF3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E3D59"/>
                <w:sz w:val="18"/>
              </w:rPr>
              <w:t xml:space="preserve">Ключевой смысл baseline: </w:t>
            </w:r>
            <w:r>
              <w:rPr>
                <w:rFonts w:ascii="Liberation Sans" w:hAnsi="Liberation Sans" w:eastAsia="Liberation Sans"/>
                <w:sz w:val="18"/>
              </w:rPr>
              <w:t>Лес может физически накапливать углерод, но всё равно иметь R≤0, если базовая линия предполагает ещё более высокий фоновый прирост.</w:t>
            </w:r>
          </w:p>
        </w:tc>
      </w:tr>
    </w:tbl>
    <w:p>
      <w:r>
        <w:br w:type="page"/>
      </w:r>
    </w:p>
    <w:p>
      <w:pPr>
        <w:pStyle w:val="Heading1"/>
      </w:pPr>
      <w:r>
        <w:t>4. Модель пространственно-временной неопределённости</w:t>
      </w:r>
    </w:p>
    <w:p>
      <w:r>
        <w:rPr>
          <w:rFonts w:ascii="Liberation Sans" w:hAnsi="Liberation Sans" w:eastAsia="Liberation Sans"/>
          <w:i w:val="0"/>
        </w:rPr>
        <w:t>AGB_SD агрегируется по AOI с учётом площадных весов и параметра пространственной корреляции ρs. Затем неопределённости двух временных срезов объединяются с параметром временной корреляции ρt. Квадратный корень берётся после расчёта дисперсии — это принципиально для соответствия расчётному ядру.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668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spat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6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Пространственная агрегация неопределённости AGB_SD.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668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tempor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6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Временная агрегация и переход к полуширине модельного диапазона H.</w:t>
      </w:r>
    </w:p>
    <w:p>
      <w:r>
        <w:rPr>
          <w:rFonts w:ascii="Liberation Sans" w:hAnsi="Liberation Sans" w:eastAsia="Liberation Sans"/>
          <w:i w:val="0"/>
        </w:rPr>
        <w:t>В базовом сценарии команды используются ρs=0.5, ρt=0.7 и k=1.645. Эти значения не заданы организаторами и трактуются как modeling priors. k=1.645 соответствует номинальному центральному 90%-ному диапазону в принятом нормальном приближении; H не является эмпирически откалиброванным доверительным интервалом.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4752000" cy="6771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q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677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Правило перехода от H/R к дисконту UNC и потенциальным единицам Q.</w:t>
      </w:r>
    </w:p>
    <w:p>
      <w:r>
        <w:rPr>
          <w:rFonts w:ascii="Liberation Sans" w:hAnsi="Liberation Sans" w:eastAsia="Liberation Sans"/>
          <w:i w:val="0"/>
        </w:rPr>
        <w:t>Логика отсечения последовательна: при R≤0 получаем Q=0 и H/R не рассчитывается; при R&gt;0 вычисляется H/R; если H/R≥1, Q=0; только при H/R&lt;1 применяются UNC, буфер 15% и округление вниз.</w:t>
      </w:r>
    </w:p>
    <w:p>
      <w:r>
        <w:br w:type="page"/>
      </w:r>
    </w:p>
    <w:p>
      <w:pPr>
        <w:pStyle w:val="Heading1"/>
      </w:pPr>
      <w:r>
        <w:t>5. ML-эксперимент: последующие потери древесного покрова</w:t>
      </w:r>
    </w:p>
    <w:p>
      <w:r>
        <w:rPr>
          <w:rFonts w:ascii="Liberation Sans" w:hAnsi="Liberation Sans" w:eastAsia="Liberation Sans"/>
          <w:i w:val="0"/>
        </w:rPr>
        <w:t>ML-контур исследует не объём углеродных единиц, а последующие потери древесного покрова. Выборка содержит 800 полигонов примерно по 1800 га: 560 train и 240 test, 327 положительных и 473 отрицательных примера. Признаки рассчитаны по истории 2001–2019 гг., целевая метка — потери &gt;1% площади в 2020–2024 гг.</w:t>
      </w:r>
    </w:p>
    <w:p>
      <w:r>
        <w:rPr>
          <w:rFonts w:ascii="Liberation Sans" w:hAnsi="Liberation Sans" w:eastAsia="Liberation Sans"/>
          <w:i w:val="0"/>
        </w:rPr>
        <w:t>Логистическая регрессия с L2-регуляризацией использует 6 признаков и достигает ROC-AUC 0.8465 на test. Сильный одиночный признак recent_loss_2017_2019_pct даёт 0.8291. Прирост +0.0174 существует, но остаётся небольшим; поэтому ML следует трактовать как дополнительный индикатор стабильности, а не источник Q.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0723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au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72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Рисунок 2. ROC-AUC на отложенной выборке: комплексная L2-модель и лучший одиночный исторический признак.</w:t>
      </w:r>
    </w:p>
    <w:p>
      <w:r>
        <w:br w:type="page"/>
      </w:r>
    </w:p>
    <w:p>
      <w:pPr>
        <w:pStyle w:val="Heading1"/>
      </w:pPr>
      <w:r>
        <w:t>6. Эмпирические результаты по 4 официальным участкам</w:t>
      </w:r>
    </w:p>
    <w:p>
      <w:r>
        <w:rPr>
          <w:rFonts w:ascii="Liberation Sans" w:hAnsi="Liberation Sans" w:eastAsia="Liberation Sans"/>
          <w:i w:val="0"/>
        </w:rPr>
        <w:t>За период 2019–2024 гг. все 4 официальных участка дали R≤0 и Q=0. Тверской участок при этом физически накапливал углерод, но базовая линия предполагала более высокий фоновый темп поглощения.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5EE"/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/>
                <w:sz w:val="15"/>
              </w:rPr>
              <w:t>AOI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5EE"/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/>
                <w:sz w:val="15"/>
              </w:rPr>
              <w:t>E_proj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5EE"/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/>
                <w:sz w:val="15"/>
              </w:rPr>
              <w:t>E_base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5EE"/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/>
                <w:sz w:val="15"/>
              </w:rPr>
              <w:t>R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5EE"/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/>
                <w:sz w:val="15"/>
              </w:rPr>
              <w:t>H</w:t>
            </w:r>
          </w:p>
        </w:tc>
        <w:tc>
          <w:tcPr>
            <w:tcW w:type="dxa" w:w="6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5EE"/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/>
                <w:sz w:val="15"/>
              </w:rPr>
              <w:t>Q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TVER_01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-6 484.77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-11 031.69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-4 546.92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240 546.20</w:t>
            </w:r>
          </w:p>
        </w:tc>
        <w:tc>
          <w:tcPr>
            <w:tcW w:type="dxa" w:w="6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0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VOLOGDA_02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+24 604.17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+3 083.38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-21 520.79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114 359.66</w:t>
            </w:r>
          </w:p>
        </w:tc>
        <w:tc>
          <w:tcPr>
            <w:tcW w:type="dxa" w:w="6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0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MORDOVIA_03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+126 073.60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+83 220.66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-42 852.94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71 194.64</w:t>
            </w:r>
          </w:p>
        </w:tc>
        <w:tc>
          <w:tcPr>
            <w:tcW w:type="dxa" w:w="6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0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MORDOVIA_04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+72 154.84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-1 494.78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-73 649.62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24 086.05</w:t>
            </w:r>
          </w:p>
        </w:tc>
        <w:tc>
          <w:tcPr>
            <w:tcW w:type="dxa" w:w="6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b w:val="0"/>
                <w:sz w:val="15"/>
              </w:rPr>
              <w:t>0</w:t>
            </w:r>
          </w:p>
        </w:tc>
      </w:tr>
    </w:tbl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539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oi_flow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53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Рисунок 3. E_proj, E_base и итоговый эффект R за 2019–2024 гг. по 4 официальным AOI.</w:t>
      </w:r>
    </w:p>
    <w:p>
      <w:r>
        <w:rPr>
          <w:rFonts w:ascii="Liberation Sans" w:hAnsi="Liberation Sans" w:eastAsia="Liberation Sans"/>
          <w:i w:val="0"/>
        </w:rPr>
        <w:t>Чтобы проверить, не является ли Q=0 следствием выбора только пятилетнего интервала, были перебраны все C(6,2)=15 пар лет на каждом участке — всего 60. В 51 паре R≤0. В 9 парах R&gt;0, но минимальное H/R равно 8.5522, поэтому все 9 интервалов также остановлены по правилу H/R≥1.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732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s_h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7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Рисунок 4. Результат перебора 60 пар лет и H/R для всех 9 положительных по R интервалов.</w:t>
      </w:r>
    </w:p>
    <w:p>
      <w:r>
        <w:br w:type="page"/>
      </w:r>
    </w:p>
    <w:p>
      <w:pPr>
        <w:pStyle w:val="Heading1"/>
      </w:pPr>
      <w:r>
        <w:t>7. Анализ чувствительности</w:t>
      </w:r>
    </w:p>
    <w:p>
      <w:r>
        <w:rPr>
          <w:rFonts w:ascii="Liberation Sans" w:hAnsi="Liberation Sans" w:eastAsia="Liberation Sans"/>
          <w:i w:val="0"/>
        </w:rPr>
        <w:t>Поскольку ρs и ρt не были заданы организаторами, для интервала RU_TVER_01 2019–2020 (R=4553.32 т CO₂-экв.) исследована сетка 5×6: ρs∈{0,0.25,0.5,0.75,1.0} и ρt∈{0,0.5,0.7,0.9,0.95,0.99}.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138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13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Рисунок 5. Потенциальные единицы Q в 30 комбинациях параметров пространственной и временной корреляции.</w:t>
      </w:r>
    </w:p>
    <w:p>
      <w:r>
        <w:rPr>
          <w:rFonts w:ascii="Liberation Sans" w:hAnsi="Liberation Sans" w:eastAsia="Liberation Sans"/>
          <w:i w:val="0"/>
        </w:rPr>
        <w:t>Ненулевой Q возникает только в 3 из 30 ячеек: при ρs=0 и ρt≥0.90. Этот результат не доказывает универсальную «правильность» конкретных priors, но показывает, что пограничные случаи существенно зависят от допущений модели ошибок. Поэтому sensitivity-анализ является обязательной частью интерпретации результата.</w:t>
      </w:r>
    </w:p>
    <w:p>
      <w:r>
        <w:br w:type="page"/>
      </w:r>
    </w:p>
    <w:p>
      <w:pPr>
        <w:pStyle w:val="Heading1"/>
      </w:pPr>
      <w:r>
        <w:t>8. Сценарная экономика, ограничения и выводы</w:t>
      </w:r>
    </w:p>
    <w:p>
      <w:r>
        <w:rPr>
          <w:rFonts w:ascii="Liberation Sans" w:hAnsi="Liberation Sans" w:eastAsia="Liberation Sans"/>
          <w:i w:val="0"/>
        </w:rPr>
        <w:t>Сценарная стоимость рассчитывается как V=Q×P при P=500, 1500 и 4000 руб./ед. Поскольку для официальных AOI и всех 60 временных пар Q=0, сценарная валовая стоимость также равна нулю. Этот результат не является прогнозом рынка; он лишь переводит расчётный Q в заданные ценовые сценарии.</w:t>
      </w:r>
    </w:p>
    <w:p>
      <w:pPr>
        <w:pStyle w:val="Heading2"/>
      </w:pPr>
      <w:r>
        <w:t>8.1. Ограничения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Спутниковые оценки биомассы имеют собственную неопределённость, ограничивающую надёжность оценки малых межгодовых изменений.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Результат baseline зависит от выбранного исторического интервала 2015–2019.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ρs, ρt и k являются modeling priors команды и требуют дальнейшей эмпирической калибровки.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Q=0 относится к исследованным участкам и условиям текущей методики; он не означает, что все лесоклиматические проекты бесперспективны.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ForestProof — screening-инструмент и не заменяет формальные процедуры валидации/верификации.</w:t>
      </w:r>
    </w:p>
    <w:p>
      <w:pPr>
        <w:pStyle w:val="Heading2"/>
      </w:pPr>
      <w:r>
        <w:t>8.2. Направления дальнейшей работы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Оценить ρs и ρt эмпирически по вариограммам и временной автокорреляции.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Проверить чувствительность к k для нескольких номинальных уровней диапазона.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Добавить формализованную модель предпроектных затрат и break-even.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</w:rPr>
        <w:t>Сопоставить спутниковый контур с региональными материалами лесоустройства и таблицами хода роста.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EF3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E3D59"/>
                <w:sz w:val="18"/>
              </w:rPr>
              <w:t xml:space="preserve">Итоговый исследовательский вывод: </w:t>
            </w:r>
            <w:r>
              <w:rPr>
                <w:rFonts w:ascii="Liberation Sans" w:hAnsi="Liberation Sans" w:eastAsia="Liberation Sans"/>
                <w:sz w:val="18"/>
              </w:rPr>
              <w:t>На 4 официальных AOI большинство временных пар не показывают положительного эффекта относительно baseline. В 9 положительных по R интервалах uncertainty при выбранных priors превышает эффект. Практический результат исследования — необходимость одновременно учитывать baseline, uncertainty и sensitivity при предпроектном screening.</w:t>
            </w:r>
          </w:p>
        </w:tc>
      </w:tr>
    </w:tbl>
    <w:p>
      <w:pPr>
        <w:pStyle w:val="Heading2"/>
      </w:pPr>
      <w:r>
        <w:t>Источники данных и реализации</w:t>
      </w:r>
    </w:p>
    <w:p>
      <w:r>
        <w:rPr>
          <w:rFonts w:ascii="Liberation Sans" w:hAnsi="Liberation Sans" w:eastAsia="Liberation Sans"/>
          <w:i w:val="0"/>
          <w:sz w:val="16"/>
        </w:rPr>
        <w:t>forestproof_core/case_calculation.py; data/methodology/baseline.csv; data/methodology/parameters.csv; app/src/data/case-data.json; app/src/data/research.ts; sensitivity-tver-2019-2020.json; data/training_set.meta.json; app/src/data/stability-model.json; tools/train_stability.py; forestproof_core/scenario_economics.py.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765" w:bottom="765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6E6E6E"/>
        <w:sz w:val="17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color w:val="7D7D7D"/>
        <w:sz w:val="16"/>
      </w:rPr>
      <w:t>FORESTPROOF  |  исследовательский отчёт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E3D5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D50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E3D5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30" w:after="80"/>
    </w:pPr>
    <w:rPr>
      <w:rFonts w:ascii="Liberation Sans" w:hAnsi="Liberation Sans"/>
      <w:i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