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1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Metryczka bazowa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dane dziecka, wariant wsparcia, podstawa formalna, zdrowie i farmakoterapia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2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wstępna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procedura wrześniowej obserwacji Kwestionariuszem Oceny Funkcjonalnej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3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pogłębiona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wskazania i narzędzia: ABC, Profil Biopsychospołeczny, Profil Sensoryczny, mowa i AAC, ToM</w:t>
            </w:r>
          </w:p>
        </w:tc>
      </w:tr>
    </w:tbl>
    <w:p>
      <w:pPr>
        <w:spacing w:after="9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ILOŚCIOWE I JAKOŚCIOWE, OCENA POGŁĘBIONA, KIERUNKI WSPARCIA W IPE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4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Funkcjonowanie w placówce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mocne strony, uzdolnienia i trudności</w:t>
            </w:r>
          </w:p>
        </w:tc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5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Wyniki liczbowe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KPOF / KSzOF w 9 domenach ICF</w:t>
            </w:r>
          </w:p>
        </w:tc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6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Analiza jakościowa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opis barier i zalecenia do IPE</w:t>
            </w:r>
          </w:p>
        </w:tc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7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wyniki arkuszy specjalistycznych</w:t>
            </w:r>
          </w:p>
        </w:tc>
        <w:tc>
          <w:tcPr>
            <w:tcW w:type="dxa" w:w="198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8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Podjęte działania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zakres wsparcia i efektywność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ilościowe i jakościowe, ocena pogłębiona oraz kierunki wsparcia w IPE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6"/>
          <w:sz w:val="13"/>
          <w:szCs w:val="13"/>
        </w:rPr>
        <w:t xml:space="preserve">WYNIKI POSZCZEGÓLNYCH ARKUSZY OBSERWACJI · § 7 UST. 6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/ KSzOF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 / STEN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· Sten 4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(Umiarkowany)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ZALECENIA DO IPE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powiązana bezpośrednio ze sformułowanymi rekomendacjami do Indywidualnego Programu Edukacyjnego (IPE):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Zalecenia do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d1, 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samodzielnej organizacji pracy, rozumieniu poleceń złożonych oraz transferze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Wprowadzenie planów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Stosowanie pomocy sensorycznych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Wdrożenie tablic wyboru i skryptów dialogowych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sarkazmu,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 – sygnalizowanie: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Indywidualna terapia logopedyczna/neurologopedyczna (2x w tyg.).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interakcje międzyludzkie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d7, 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Treningu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zachowań prospołecznych z wykorzystaniem Historyjek Społecznych (Social Stories).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Asystowanie w zabawach grupowych na zasadzie rówieśnika-mentora.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motoryka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d4, d5, 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zapachowe. Spowolniona koordynacja ruchowa i trudności z planowaniem motorycznym (dyspraksja).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Indywidualne ćwiczenia rewalidacyjne ukierunkowane na motorykę małą i dużą.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Podjęte działania i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PODJĘTYCH W CELU POPRAWY FUNKCJONOWANIA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2026-09-11T07:35:57.417Z</dcterms:created>
  <dcterms:modified xsi:type="dcterms:W3CDTF">2026-09-11T07:35:57.421Z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