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30"/>
          <w:sz w:val="18"/>
          <w:szCs w:val="18"/>
        </w:rPr>
        <w:t xml:space="preserve">EduPlaner2026-MJ-PCTP</w:t>
      </w:r>
    </w:p>
    <w:p>
      <w:pPr>
        <w:spacing w:after="30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15"/>
          <w:szCs w:val="15"/>
        </w:rPr>
        <w:t xml:space="preserve">PCTP Koszalin · Pomorskie Centrum Terapii Pedagogicznej</w:t>
      </w:r>
    </w:p>
    <w:p>
      <w:pPr>
        <w:pBdr>
          <w:bottom w:val="single" w:color="E8450A" w:sz="24" w:space="1"/>
        </w:pBdr>
        <w:spacing w:after="160" w:before="80"/>
      </w:pPr>
    </w:p>
    <w:p>
      <w:pPr>
        <w:spacing w:after="0" w:before="0" w:line="5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BANK ROZWIĄZAŃ</w:t>
      </w:r>
    </w:p>
    <w:p>
      <w:pPr>
        <w:spacing w:after="220" w:before="0" w:line="5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DO IPE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8D2C5"/>
          <w:sz w:val="40"/>
          <w:szCs w:val="40"/>
        </w:rPr>
        <w:t xml:space="preserve">   ·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52"/>
          <w:szCs w:val="52"/>
        </w:rPr>
        <w:t xml:space="preserve">OBSZAR 3</w:t>
      </w:r>
    </w:p>
    <w:p>
      <w:pPr>
        <w:spacing w:after="60" w:before="0" w:lin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530"/>
          <w:sz w:val="30"/>
          <w:szCs w:val="30"/>
        </w:rPr>
        <w:t xml:space="preserve">KOMUNIKACJA I POROZUMIEWANIE SIĘ</w:t>
      </w:r>
    </w:p>
    <w:p>
      <w:pPr>
        <w:spacing w:after="26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0"/>
          <w:sz w:val="16"/>
          <w:szCs w:val="16"/>
        </w:rPr>
        <w:t xml:space="preserve">KODY ICF: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0"/>
          <w:szCs w:val="20"/>
        </w:rPr>
        <w:t xml:space="preserve">d310–d350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8D2C5"/>
          <w:sz w:val="16"/>
          <w:szCs w:val="16"/>
        </w:rPr>
        <w:t xml:space="preserve">     |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0"/>
          <w:sz w:val="16"/>
          <w:szCs w:val="16"/>
        </w:rPr>
        <w:t xml:space="preserve">ETAP: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KLASY 1–3 (EDUKACJA WCZESNOSZKOLNA)</w:t>
      </w:r>
    </w:p>
    <w:p>
      <w:pPr>
        <w:pBdr>
          <w:bottom w:val="single" w:color="2D1B69" w:sz="12" w:space="1"/>
        </w:pBdr>
        <w:spacing w:after="160" w:before="80"/>
      </w:pPr>
    </w:p>
    <w:p>
      <w:pPr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E8450A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10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4"/>
                <w:sz w:val="15"/>
                <w:szCs w:val="15"/>
              </w:rPr>
              <w:t xml:space="preserve">JAK KORZYSTAĆ Z TEGO BANKU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Ten dokument obejmuje kody ICF dotyczące odbioru i nadawania wiadomości.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Wybierz karty odpowiednie dla potrzeb Twojego ucznia.</w:t>
            </w:r>
          </w:p>
        </w:tc>
      </w:tr>
    </w:tbl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Liczba kart celu</w:t>
            </w:r>
          </w:p>
        </w:tc>
        <w:tc>
          <w:tcPr>
            <w:tcW w:type="dxa" w:w="243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Zakres kodów ICF</w:t>
            </w:r>
          </w:p>
        </w:tc>
        <w:tc>
          <w:tcPr>
            <w:tcW w:type="dxa" w:w="2437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Wersja</w:t>
            </w:r>
          </w:p>
        </w:tc>
        <w:tc>
          <w:tcPr>
            <w:tcW w:type="dxa" w:w="2437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Data wydruku</w:t>
            </w:r>
          </w:p>
        </w:tc>
      </w:tr>
      <w:tr>
        <w:tc>
          <w:tcPr>
            <w:tcW w:type="dxa" w:w="243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5</w:t>
            </w:r>
          </w:p>
        </w:tc>
        <w:tc>
          <w:tcPr>
            <w:tcW w:type="dxa" w:w="243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d310–d350</w:t>
            </w:r>
          </w:p>
        </w:tc>
        <w:tc>
          <w:tcPr>
            <w:tcW w:type="dxa" w:w="2437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wyd. 2026</w:t>
            </w:r>
          </w:p>
        </w:tc>
        <w:tc>
          <w:tcPr>
            <w:tcW w:type="dxa" w:w="2437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....... / ....... / 20.......</w:t>
            </w:r>
          </w:p>
        </w:tc>
      </w:tr>
    </w:tbl>
    <w:p>
      <w:pPr>
        <w:spacing w:after="400" w:before="0"/>
      </w:pPr>
    </w:p>
    <w:p>
      <w:pPr>
        <w:pBdr>
          <w:bottom w:val="single" w:color="D8D2C5" w:sz="6" w:space="1"/>
        </w:pBdr>
        <w:spacing w:after="160" w:before="80"/>
      </w:pPr>
    </w:p>
    <w:p>
      <w:pPr>
        <w:spacing w:after="4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15"/>
          <w:szCs w:val="15"/>
        </w:rPr>
        <w:t xml:space="preserve">Opracowanie: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mgr Mirosława Jurczyszyn</w:t>
      </w:r>
    </w:p>
    <w:p>
      <w:pPr>
        <w:spacing w:after="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Materiał wspiera zespół w konstruowaniu celów IPE na podstawie WOPFU. Nie zastępuje indywidualnej diagnozy ucznia.</w:t>
      </w:r>
    </w:p>
    <w:p>
      <w:r>
        <w:br w:type="page"/>
      </w:r>
    </w:p>
    <w:p>
      <w:pPr>
        <w:spacing w:after="40" w:before="0" w:lin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LISTA KONTROLNA</w:t>
      </w:r>
    </w:p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9"/>
          <w:szCs w:val="19"/>
        </w:rPr>
        <w:t xml:space="preserve">Kluczowe pytania diagnostyczne — zanim wpiszesz cel do IPE</w:t>
      </w:r>
    </w:p>
    <w:p>
      <w:pPr>
        <w:pBdr>
          <w:bottom w:val="single" w:color="E8450A" w:sz="18" w:space="1"/>
        </w:pBdr>
        <w:spacing w:after="160" w:before="80"/>
      </w:pP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206"/>
        <w:gridCol w:w="900"/>
      </w:tblGrid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wynika bezpośrednio z WOPFU? (Czy trudności komunikacyjne zostały opisane w Wielospecjalistycznej Ocenie?)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jest SMART? (Sprecyzowany, Mierzalny, Atrakcyjny, Realistyczny, Terminowy)?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problem dotyczy bardziej ODBIORU (rozumienia) czy NADAWANIA (mówienia) komunikatów?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uczeń ma sprawdzony słuch fizyczny?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określono poziom wsparcia (gesty, obrazki, modelowanie)?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jest zrozumiały dla dziecka (np. „Będę patrzył na panią, gdy mówi”)?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środowisko (hałas w klasie) nie utrudnia realizacji celu?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przygotowano pomoce AAC (komunikacja alternatywna) jeśli są potrzebne?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9.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ustalono system nagradzania prób komunikacji (nawet nieudanych)?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10.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wszyscy nauczyciele reagują tak samo na komunikaty dziecka?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11.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rodzic wie, jak ćwiczyć te umiejętności w domu?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12.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uwzględnia komunikację z rówieśnikami, a nie tylko z dorosłym?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13.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mamy narzędzie do monitorowania postępów (np. karta obserwacji logopedycznej)?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14.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przewidziano „koła ratunkowe” w sytuacji braku zrozumienia?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15.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termin ewaluacji jest realny (terapia mowy to proces długotrwały)?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</w:tbl>
    <w:p>
      <w:pPr>
        <w:spacing w:after="2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E8450A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0"/>
                <w:sz w:val="15"/>
                <w:szCs w:val="15"/>
              </w:rPr>
              <w:t xml:space="preserve">ZASADA PCTP: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każde „NIE” w tej liście to zadanie do wykonania przed zatwierdzeniem celu przez zespół — nie powód do rezygnacji z celu.</w:t>
            </w:r>
          </w:p>
        </w:tc>
      </w:tr>
    </w:tbl>
    <w:p>
      <w:r>
        <w:br w:type="page"/>
      </w:r>
    </w:p>
    <w:p>
      <w:pPr>
        <w:spacing w:after="40" w:before="0" w:lin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SPIS KART CELU</w:t>
      </w:r>
    </w:p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9"/>
          <w:szCs w:val="19"/>
        </w:rPr>
        <w:t xml:space="preserve">Wydrukuj tylko te karty, które dotyczą Twojego ucznia.</w:t>
      </w:r>
    </w:p>
    <w:p>
      <w:pPr>
        <w:pBdr>
          <w:bottom w:val="single" w:color="E8450A" w:sz="18" w:space="1"/>
        </w:pBdr>
        <w:spacing w:after="160" w:before="80"/>
      </w:pP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600"/>
        <w:gridCol w:w="2746"/>
      </w:tblGrid>
      <w:tr>
        <w:trPr>
          <w:tblHeader/>
        </w:trP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Karta</w:t>
            </w:r>
          </w:p>
        </w:tc>
        <w:tc>
          <w:tcPr>
            <w:tcW w:type="dxa" w:w="15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Kod ICF</w:t>
            </w:r>
          </w:p>
        </w:tc>
        <w:tc>
          <w:tcPr>
            <w:tcW w:type="dxa" w:w="46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Obszar umiejętności</w:t>
            </w:r>
          </w:p>
        </w:tc>
        <w:tc>
          <w:tcPr>
            <w:tcW w:type="dxa" w:w="27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Osoba odpowiedzialna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d310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Odbiór wiadomości ustnych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Logopeda, Nauczyciel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d315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Odbiór wiadomości niewerbalnych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Psycholog, Pedagog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d330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Mówienie (Artykulacja/Płynność)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Logopeda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d335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Tworzenie wiadomości niewerbalnych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wsp., Rodzic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d350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Rozmowa (Prowadzenie dialogu)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Wychowawca, Logopeda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d310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Odbiór wiadomości ustnych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Trudność w rozumieniu mowy w hałasie, mylenie podobnie brzmiących słów, nierozumienie poleceń kierowanych do grupy.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poprawnie zrozumie i wykona proste polecenie słowne nauczyciela (np. „otwórz okno”) bez konieczności powtarzania, w warunkach klasowych (przy umiarkowanym szumie). (Sukces: 4/5 prób).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Strategia Skupiania Uwagi Słuchowej + Wizualizacja.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nawiązuje kontakt wzrokowy, dotyka ramienia ucznia i mówi powoli wprost do niego.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używa słowa-klucza (imienia dziecka) przed wydaniem polecenia grupowego.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prosi o powtórzenie („Proszę powtórzyć”), jeśli nie zrozumiał (samoregulacja).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Piktogramy wspierające treść („Otwórz”, „Zeszyt”), system FM (jeśli uczeń niedosłyszący).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Trening Słuchowy (elementy Tomatisa/Johansena – na terapii), Zabawy słuchowe („Głuchy telefon”).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Miejsce w pierwszej ławce, z dala od źródła hałasu (okno, korytarz).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Zapisywanie kluczowych haseł na tablicy podczas mówienia (wsparcie dla wszystkich).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stosuje sygnał „Uwaga” (klaśnięcie).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Wydanie krótkiego, prostego komunikatu (unikanie zdań wielokrotnie złożonych).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parafrazuje polecenie („Mam otworzyć okno”).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Wykonanie zadania i pochwała opisowa („Dobrze usłyszałeś”).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Logopeda, Nauczyciel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semestru.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d315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Odbiór wiadomości niewerbalnych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Nierozumienie mowy ciała, mimiki (np. złości nauczyciela, znudzenia kolegów), brak reakcji na gesty uciszające.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poprawnie zidentyfikuje emocję lub intencję innej osoby na podstawie mimiki/gestu (np. „Palec na ustach” = cisza, zmarszczone brwi = złość) w sytuacjach szkolnych. (3/5 sytuacji).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Trening Umiejętności Społecznych (TUS) + Karty Emocji.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werbalizuje swój stan: „Mam zmarszczone brwi, bo jestem zła”.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pokazuje kartę z odpowiednią minką (emoji) obok swojej twarzy.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robi znaczącą pauzę i patrzy na ucznia, czekając na odczytanie sygnału.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Plakat „Nasze Emocje”, Lustro, Karty z gestami (Cisza, Stop, Proszę).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Modelowanie, Odgrywanie scenek (Drama), Analiza zdjęć/filmów.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Wyrazista (nieco przerysowana) mimika nauczyciela w kontakcie z uczniem.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Wprowadzenie w klasie umownych znaków migowych dla wszystkich (np. ręka w górę = zgłaszam się).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Nauka znaczenia podstawowych gestów klasowych (cisza, siadamy).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Ćwiczenia w rozpoznawaniu emocji ze zdjęć (TUS).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Zastosowanie w praktyce: N. pokazuje gest → Uczeń reaguje.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Nagradzanie adekwatnej reakcji na komunikat niewerbalny.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Psycholog, Pedagog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Obserwacja bieżąca.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d330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Mówienie (Artykulacja/Płynność)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Mowa niewyraźna, cicha, bełkotliwa lub mutyzm wybiórczy (lęk przed mówieniem).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Podczas odpowiedzi ustnej lub rozmowy z nauczycielem, uczeń wypowie zrozumiałe zdanie (min. 3 wyrazy) z odpowiednią głośnością, utrzymując tempo pozwalające na zrozumienie.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Korekcja Logopedyczna + Metoda Małych Kroków (dla lęku).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odpowiada tylko „Tak/Nie” lub szepcze do ucha nauczyciela (w przypadku mutyzmu).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Odpowiedź w małej grupie lub parze, a nie na forum klasy.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odpowiada na forum, Nauczyciel dyskretnie przypomina: „Głośno i wolno”.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Mikrofon (zabawkowy lub prawdziwy do ośmielania), Pacynka (pośrednik w rozmowie).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Ćwiczenia oddechowe i fonacyjne, Logorytmika, Technika „Przedłużonego mówienia”.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Wydłużony czas na odpowiedź, niepoprawianie błędów artykulacyjnych przy klasie.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Możliwość nagrania odpowiedzi w domu (podcast/audio) zamiast występu na żywo.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Ćwiczenia usprawniające narządy mowy (wg zaleceń logopedy).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Ośmielanie do krótkich wypowiedzi w kontakcie 1:1.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Wydłużanie wypowiedzi (budowanie zdań).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Generalizacja: wypowiedź na forum klasy (np. przeczytanie jednego zdania).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Logopeda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roku.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d335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Tworzenie wiadomości niewerbalnych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Brak używania gestów (wskazywania, kiwania głową), uboga ekspresja, brak kontaktu wzrokowego podczas komunikacji.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Chcąc zakomunikować potrzebę lub odpowiedź, uczeń użyje adekwatnego gestu (np. podniesienie ręki, wskazanie palcem, kiwnięcie głową na „tak”), nawiązując przy tym krótki kontakt wzrokowy.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Komunikacja Totalna (Gesty + Mowa).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modeluje gest ręką ucznia (np. pomaga wskazać obrazek).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pyta: „Pokaż mi, czego chcesz?” (zachęta werbalna).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czeka na nawiązanie kontaktu wzrokowego przed udzieleniem odpowiedzi.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Tablice wyboru, Książka do komunikacji (PECS – jeśli dotyczy), Lustro.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AAC (Wspomagające i alternatywne metody komunikacji), Makaton (podstawowe gesty).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Akceptowanie gestu jako pełnoprawnej odpowiedzi (np. kciuk w górę zamiast słowa „dobrze”).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Zabawy w kalambury dla całej klasy (rozwijanie ekspresji ciała).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Wprowadzenie gestów oznaczających „Tak” i „Nie”.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Nauka gestu zgłaszania potrzeby (podniesienie ręki/kartonika).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Wzmacnianie każdej próby kontaktu wzrokowego (uśmiechem, uwagą).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Łączenie gestu ze słowem (np. mówienie „Cześć” i machanie ręką).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wsp., Rodzic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Obserwacja.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d350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Rozmowa (Prowadzenie dialogu)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Przerywanie innym, monologowanie (niezwracanie uwagi na rozmówcę), trudność w utrzymaniu tematu rozmowy (d350.3).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Podczas pracy w parze lub rozmowy z nauczycielem, uczeń przeprowadzi krótką wymianę zdań (min. 3 tury: pytanie-odpowiedź-pytanie), czekając na swoją kolej i trzymając się tematu.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Trening Naprzemienności (Turn-taking).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Użycie rekwizytu (np. „Mikrofonu”). Mówi tylko ten, kto trzyma przedmiot.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daje znak gestem (otwarta dłoń), kiedy jest kolej ucznia.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Przypomnienie zasady: „Jedna osoba mówi, reszta słucha”.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Piłka (rzucamy do osoby, która ma głos), „Gadający Kamień”, Komiks konwersacyjny (dymki).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TUS, Historyjki społeczne, Gry planszowe (wymuszają kolejki).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Dobranie spokojnego partnera do pary (modelowanie poprawnej rozmowy).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Zasady dyskusji wiszące na ścianie w formie graficznej (dla całej klasy).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Nauka zasady naprzemienności w zabawie (rzucanie piłką).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Krótkie dialogi sterowane (N. zadaje pytanie, U. odpowiada).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Zachęcanie ucznia do zadawania pytań koledze (inicjowanie).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Rozmowa swobodna na temat zainteresowań (z pilnowaniem tematu).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Wychowawca, Logopeda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roku.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080" w:bottom="144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Bank rozwiązań do IPE · wyd.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mgr Mirosława Jurczyszyn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6"/>
        <w:szCs w:val="16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6"/>
        <w:szCs w:val="16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6"/>
        <w:szCs w:val="16"/>
      </w:rPr>
      <w:t xml:space="preserve">BANK IPE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4"/>
        <w:szCs w:val="14"/>
      </w:rPr>
      <w:t xml:space="preserve">Obszar 3: Komunikacja  · 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4"/>
        <w:szCs w:val="14"/>
      </w:rPr>
      <w:t xml:space="preserve">d310–d350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E8450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rozwiązań do IPE — Obszar 3: KOMUNIKACJA I POROZUMIEWANIE SIĘ</dc:title>
  <dc:creator>mgr Mirosława Jurczyszyn</dc:creator>
  <dc:description>EduPlaner2026-MJ-PCTP · karty celu IPE dla kodów ICF d310–d350</dc:description>
  <cp:lastModifiedBy>Un-named</cp:lastModifiedBy>
  <cp:revision>1</cp:revision>
  <dcterms:created xsi:type="dcterms:W3CDTF">2026-09-14T05:23:59.839Z</dcterms:created>
  <dcterms:modified xsi:type="dcterms:W3CDTF">2026-09-14T05:23:59.839Z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