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8"/>
        </w:rPr>
        <w:t>EDUPLANER 2026 · PCTP · PRODUKCJA</w:t>
      </w:r>
    </w:p>
    <w:p>
      <w:pPr>
        <w:spacing w:before="0" w:after="40" w:line="264" w:lineRule="auto"/>
      </w:pPr>
      <w:r>
        <w:rPr>
          <w:rFonts w:ascii="Arial" w:hAnsi="Arial" w:cs="Arial" w:eastAsia="Arial"/>
          <w:b/>
          <w:i w:val="0"/>
          <w:color w:val="2D1B69"/>
          <w:sz w:val="50"/>
        </w:rPr>
        <w:t>Karta dogrywek do materiału filmowego</w:t>
      </w:r>
    </w:p>
    <w:p>
      <w:pPr>
        <w:spacing w:before="0" w:after="160" w:line="264" w:lineRule="auto"/>
      </w:pPr>
      <w:r>
        <w:rPr>
          <w:rFonts w:ascii="Arial" w:hAnsi="Arial" w:cs="Arial" w:eastAsia="Arial"/>
          <w:b/>
          <w:i w:val="0"/>
          <w:color w:val="2D1B69"/>
          <w:sz w:val="26"/>
        </w:rPr>
        <w:t>Przedszkole · szkolenie rady pedagogicznej · sześć modułów M1–M6</w:t>
      </w:r>
    </w:p>
    <w:p>
      <w:pPr>
        <w:spacing w:before="0" w:after="200" w:line="264" w:lineRule="auto"/>
      </w:pPr>
      <w:r>
        <w:rPr>
          <w:rFonts w:ascii="Arial" w:hAnsi="Arial" w:cs="Arial" w:eastAsia="Arial"/>
          <w:b w:val="0"/>
          <w:i w:val="0"/>
          <w:color w:val="1A1A1A"/>
          <w:sz w:val="20"/>
        </w:rPr>
        <w:t>Dokument przekłada ustalenia audytu Strażnika Prawa z 5 września 2026 r. na konkretne dogrywki: wskazuje moduł, planszę, po której następuje cięcie, gotowy tekst do przeczytania oraz treść planszy do wymiany. Nic nie trzeba nagrywać od nowa — wszystkie zmiany są wstawkami.</w:t>
      </w:r>
    </w:p>
    <w:p>
      <w:pPr>
        <w:pBdr>
          <w:bottom w:val="single" w:sz="4" w:space="2" w:color="D6D1E4"/>
        </w:pBdr>
        <w:spacing w:before="40" w:after="160"/>
      </w:pPr>
    </w:p>
    <w:tbl>
      <w:tblPr>
        <w:tblW w:type="auto" w:w="0"/>
        <w:jc w:val="left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0F7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0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7"/>
              </w:rPr>
              <w:t>CO TRZEBA ZROBIĆ — W CZTERECH ZDANIACH</w:t>
            </w:r>
          </w:p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Dogrywek do nagrania: 9. Łączny materiał do dogrania: około 5:44 (344 sekund) przy tempie zmierzonym na istniejącym filmie — 107 słów na minutę.</w:t>
            </w:r>
          </w:p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Modułów dotkniętych zmianą: cztery (M1, M3, M4, M6). Moduły M2 i M5 pozostają bez zmian i nie wymagają żadnej ingerencji.</w:t>
            </w:r>
          </w:p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Wszystkie zmiany są WSTAWKAMI między istniejące plansze. Nie ma ani jednej podmiany zdania wewnątrz nagranego już fragmentu — dzięki temu nie trzeba nagrywać niczego ponownie, a montaż sprowadza się do wklejenia nowego materiału w podanych miejscach.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Do wymiany jest natomiast pięć plansz z podstawą prawną — to zmiana wyłącznie graficzna, bez ingerencji w ścieżkę dźwiękową.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40" w:after="120" w:line="264" w:lineRule="auto"/>
      </w:pPr>
      <w:r>
        <w:rPr>
          <w:rFonts w:ascii="Arial" w:hAnsi="Arial" w:cs="Arial" w:eastAsia="Arial"/>
          <w:b/>
          <w:i w:val="0"/>
          <w:color w:val="2D1B69"/>
          <w:sz w:val="23"/>
        </w:rPr>
        <w:t>Zestawienie modułów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907"/>
        <w:gridCol w:w="4309"/>
        <w:gridCol w:w="1134"/>
        <w:gridCol w:w="1020"/>
        <w:gridCol w:w="907"/>
        <w:gridCol w:w="1191"/>
      </w:tblGrid>
      <w:tr>
        <w:tc>
          <w:tcPr>
            <w:tcW w:type="dxa" w:w="90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Moduł</w:t>
            </w:r>
          </w:p>
        </w:tc>
        <w:tc>
          <w:tcPr>
            <w:tcW w:type="dxa" w:w="4309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Tytuł</w:t>
            </w:r>
          </w:p>
        </w:tc>
        <w:tc>
          <w:tcPr>
            <w:tcW w:type="dxa" w:w="1134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Czas obecny</w:t>
            </w:r>
          </w:p>
        </w:tc>
        <w:tc>
          <w:tcPr>
            <w:tcW w:type="dxa" w:w="102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Dogrywek</w:t>
            </w:r>
          </w:p>
        </w:tc>
        <w:tc>
          <w:tcPr>
            <w:tcW w:type="dxa" w:w="90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Przyrost</w:t>
            </w:r>
          </w:p>
        </w:tc>
        <w:tc>
          <w:tcPr>
            <w:tcW w:type="dxa" w:w="1191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Czas po zmianie</w:t>
            </w:r>
          </w:p>
        </w:tc>
      </w:tr>
      <w:tr>
        <w:tc>
          <w:tcPr>
            <w:tcW w:type="dxa" w:w="90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M1</w:t>
            </w:r>
          </w:p>
        </w:tc>
        <w:tc>
          <w:tcPr>
            <w:tcW w:type="dxa" w:w="4309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Podstawa prawna — co obowiązuje od 1 września 2026 r.</w:t>
            </w:r>
          </w:p>
        </w:tc>
        <w:tc>
          <w:tcPr>
            <w:tcW w:type="dxa" w:w="113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9:30</w:t>
            </w:r>
          </w:p>
        </w:tc>
        <w:tc>
          <w:tcPr>
            <w:tcW w:type="dxa" w:w="102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4</w:t>
            </w:r>
          </w:p>
        </w:tc>
        <w:tc>
          <w:tcPr>
            <w:tcW w:type="dxa" w:w="90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+171 s</w:t>
            </w:r>
          </w:p>
        </w:tc>
        <w:tc>
          <w:tcPr>
            <w:tcW w:type="dxa" w:w="1191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12:21</w:t>
            </w:r>
          </w:p>
        </w:tc>
      </w:tr>
      <w:tr>
        <w:tc>
          <w:tcPr>
            <w:tcW w:type="dxa" w:w="907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M3</w:t>
            </w:r>
          </w:p>
        </w:tc>
        <w:tc>
          <w:tcPr>
            <w:tcW w:type="dxa" w:w="4309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Metryczka dziecka — pierwszy dokument września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5:45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907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+65 s</w:t>
            </w:r>
          </w:p>
        </w:tc>
        <w:tc>
          <w:tcPr>
            <w:tcW w:type="dxa" w:w="1191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6:50</w:t>
            </w:r>
          </w:p>
        </w:tc>
      </w:tr>
      <w:tr>
        <w:tc>
          <w:tcPr>
            <w:tcW w:type="dxa" w:w="90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M4</w:t>
            </w:r>
          </w:p>
        </w:tc>
        <w:tc>
          <w:tcPr>
            <w:tcW w:type="dxa" w:w="4309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KPOF — budowa narzędzia, skala, liczenie wyniku, odczyt profilu</w:t>
            </w:r>
          </w:p>
        </w:tc>
        <w:tc>
          <w:tcPr>
            <w:tcW w:type="dxa" w:w="113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10:08</w:t>
            </w:r>
          </w:p>
        </w:tc>
        <w:tc>
          <w:tcPr>
            <w:tcW w:type="dxa" w:w="102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90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+34 s</w:t>
            </w:r>
          </w:p>
        </w:tc>
        <w:tc>
          <w:tcPr>
            <w:tcW w:type="dxa" w:w="1191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10:42</w:t>
            </w:r>
          </w:p>
        </w:tc>
      </w:tr>
      <w:tr>
        <w:tc>
          <w:tcPr>
            <w:tcW w:type="dxa" w:w="907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M6</w:t>
            </w:r>
          </w:p>
        </w:tc>
        <w:tc>
          <w:tcPr>
            <w:tcW w:type="dxa" w:w="4309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WOPF, IPET, cele SMART, ewaluacja i opinia dla poradni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13:12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907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+74 s</w:t>
            </w:r>
          </w:p>
        </w:tc>
        <w:tc>
          <w:tcPr>
            <w:tcW w:type="dxa" w:w="1191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14:26</w:t>
            </w:r>
          </w:p>
        </w:tc>
      </w:tr>
      <w:tr>
        <w:tc>
          <w:tcPr>
            <w:tcW w:type="dxa" w:w="90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M2</w:t>
            </w:r>
          </w:p>
        </w:tc>
        <w:tc>
          <w:tcPr>
            <w:tcW w:type="dxa" w:w="4309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Obieg dokumentów — jak jeden wynika z drugiego</w:t>
            </w:r>
          </w:p>
        </w:tc>
        <w:tc>
          <w:tcPr>
            <w:tcW w:type="dxa" w:w="113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5:36</w:t>
            </w:r>
          </w:p>
        </w:tc>
        <w:tc>
          <w:tcPr>
            <w:tcW w:type="dxa" w:w="102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90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191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5:36</w:t>
            </w:r>
          </w:p>
        </w:tc>
      </w:tr>
      <w:tr>
        <w:tc>
          <w:tcPr>
            <w:tcW w:type="dxa" w:w="907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M5</w:t>
            </w:r>
          </w:p>
        </w:tc>
        <w:tc>
          <w:tcPr>
            <w:tcW w:type="dxa" w:w="4309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Obserwacja pogłębiona — ABC, sensoryka, teoria umysłu, mowa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9:46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907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1191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9:46</w:t>
            </w:r>
          </w:p>
        </w:tc>
      </w:tr>
      <w:tr>
        <w:tc>
          <w:tcPr>
            <w:tcW w:type="dxa" w:w="90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RAZEM</w:t>
            </w:r>
          </w:p>
        </w:tc>
        <w:tc>
          <w:tcPr>
            <w:tcW w:type="dxa" w:w="4309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sześć modułów</w:t>
            </w:r>
          </w:p>
        </w:tc>
        <w:tc>
          <w:tcPr>
            <w:tcW w:type="dxa" w:w="113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53:57</w:t>
            </w:r>
          </w:p>
        </w:tc>
        <w:tc>
          <w:tcPr>
            <w:tcW w:type="dxa" w:w="102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9</w:t>
            </w:r>
          </w:p>
        </w:tc>
        <w:tc>
          <w:tcPr>
            <w:tcW w:type="dxa" w:w="90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+344 s</w:t>
            </w:r>
          </w:p>
        </w:tc>
        <w:tc>
          <w:tcPr>
            <w:tcW w:type="dxa" w:w="1191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59:41</w:t>
            </w:r>
          </w:p>
        </w:tc>
      </w:tr>
    </w:tbl>
    <w:p>
      <w:pPr>
        <w:spacing w:before="0" w:after="120" w:line="264" w:lineRule="auto"/>
      </w:pPr>
    </w:p>
    <w:p>
      <w:pPr>
        <w:keepNext/>
        <w:spacing w:before="240" w:after="120" w:line="264" w:lineRule="auto"/>
      </w:pPr>
      <w:r>
        <w:rPr>
          <w:rFonts w:ascii="Arial" w:hAnsi="Arial" w:cs="Arial" w:eastAsia="Arial"/>
          <w:b/>
          <w:i w:val="0"/>
          <w:color w:val="2D1B69"/>
          <w:sz w:val="23"/>
        </w:rPr>
        <w:t>Jak korzystać z tej karty</w:t>
      </w:r>
    </w:p>
    <w:p>
      <w:pPr>
        <w:spacing w:before="0" w:after="100"/>
        <w:ind w:left="369" w:hanging="369"/>
      </w:pPr>
      <w:r>
        <w:rPr>
          <w:rFonts w:ascii="Arial" w:hAnsi="Arial" w:cs="Arial" w:eastAsia="Arial"/>
          <w:b/>
          <w:i w:val="0"/>
          <w:color w:val="2D1B69"/>
          <w:sz w:val="20"/>
        </w:rPr>
        <w:t xml:space="preserve">▸  </w:t>
      </w:r>
      <w:r>
        <w:rPr>
          <w:rFonts w:ascii="Arial" w:hAnsi="Arial" w:cs="Arial" w:eastAsia="Arial"/>
          <w:b/>
          <w:i w:val="0"/>
          <w:color w:val="1A1A1A"/>
          <w:sz w:val="20"/>
        </w:rPr>
        <w:t>Nagraj tylko fragmenty z ramek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oznaczonych „TEKST DO PRZECZYTANIA”. Każdy jest osobnym plikiem — nazwa pliku podana jest przy każdej dogrywce.</w:t>
      </w:r>
    </w:p>
    <w:p>
      <w:pPr>
        <w:spacing w:before="0" w:after="100"/>
        <w:ind w:left="369" w:hanging="369"/>
      </w:pPr>
      <w:r>
        <w:rPr>
          <w:rFonts w:ascii="Arial" w:hAnsi="Arial" w:cs="Arial" w:eastAsia="Arial"/>
          <w:b/>
          <w:i w:val="0"/>
          <w:color w:val="2D1B69"/>
          <w:sz w:val="20"/>
        </w:rPr>
        <w:t xml:space="preserve">▸  </w:t>
      </w:r>
      <w:r>
        <w:rPr>
          <w:rFonts w:ascii="Arial" w:hAnsi="Arial" w:cs="Arial" w:eastAsia="Arial"/>
          <w:b/>
          <w:i w:val="0"/>
          <w:color w:val="1A1A1A"/>
          <w:sz w:val="20"/>
        </w:rPr>
        <w:t>Wklej je w miejscach cięcia.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Miejsce cięcia opisane jest numerem planszy i ostatnim zdaniem, które po niej pada — wystarczy znaleźć je w nagraniu. Kodów czasowych nie podaję, bo nie mam dostępu do plików wideo; numer planszy i cytat wystarczą, żeby trafić w sekundę.</w:t>
      </w:r>
    </w:p>
    <w:p>
      <w:pPr>
        <w:spacing w:before="0" w:after="100"/>
        <w:ind w:left="369" w:hanging="369"/>
      </w:pPr>
      <w:r>
        <w:rPr>
          <w:rFonts w:ascii="Arial" w:hAnsi="Arial" w:cs="Arial" w:eastAsia="Arial"/>
          <w:b/>
          <w:i w:val="0"/>
          <w:color w:val="2D1B69"/>
          <w:sz w:val="20"/>
        </w:rPr>
        <w:t xml:space="preserve">▸  </w:t>
      </w:r>
      <w:r>
        <w:rPr>
          <w:rFonts w:ascii="Arial" w:hAnsi="Arial" w:cs="Arial" w:eastAsia="Arial"/>
          <w:b/>
          <w:i w:val="0"/>
          <w:color w:val="1A1A1A"/>
          <w:sz w:val="20"/>
        </w:rPr>
        <w:t>Wymień pięć plansz z podstawą prawną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według wykazu na końcu karty. To zmiana graficzna, ścieżka dźwiękowa pozostaje bez zmian.</w:t>
      </w:r>
    </w:p>
    <w:p>
      <w:pPr>
        <w:spacing w:before="0" w:after="100"/>
        <w:ind w:left="369" w:hanging="369"/>
      </w:pPr>
      <w:r>
        <w:rPr>
          <w:rFonts w:ascii="Arial" w:hAnsi="Arial" w:cs="Arial" w:eastAsia="Arial"/>
          <w:b/>
          <w:i w:val="0"/>
          <w:color w:val="2D1B69"/>
          <w:sz w:val="20"/>
        </w:rPr>
        <w:t xml:space="preserve">▸  </w:t>
      </w:r>
      <w:r>
        <w:rPr>
          <w:rFonts w:ascii="Arial" w:hAnsi="Arial" w:cs="Arial" w:eastAsia="Arial"/>
          <w:b/>
          <w:i w:val="0"/>
          <w:color w:val="1A1A1A"/>
          <w:sz w:val="20"/>
        </w:rPr>
        <w:t>Dodaj nowe plansze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do wstawek — treść każdej podana jest obok tekstu narracji.</w:t>
      </w:r>
    </w:p>
    <w:p>
      <w:pPr>
        <w:spacing w:before="0" w:after="100"/>
        <w:ind w:left="369" w:hanging="369"/>
      </w:pPr>
      <w:r>
        <w:rPr>
          <w:rFonts w:ascii="Arial" w:hAnsi="Arial" w:cs="Arial" w:eastAsia="Arial"/>
          <w:b/>
          <w:i w:val="0"/>
          <w:color w:val="2D1B69"/>
          <w:sz w:val="20"/>
        </w:rPr>
        <w:t xml:space="preserve">▸  </w:t>
      </w:r>
      <w:r>
        <w:rPr>
          <w:rFonts w:ascii="Arial" w:hAnsi="Arial" w:cs="Arial" w:eastAsia="Arial"/>
          <w:b/>
          <w:i w:val="0"/>
          <w:color w:val="1A1A1A"/>
          <w:sz w:val="20"/>
        </w:rPr>
        <w:t>Zaktualizuj czasy w spisie części skryptu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po zmontowaniu — nowe długości modułów są w tabeli powyżej.</w:t>
      </w:r>
    </w:p>
    <w:p>
      <w:pPr>
        <w:spacing w:after="0"/>
      </w:pPr>
      <w:r>
        <w:br w:type="page"/>
      </w:r>
    </w:p>
    <w:p>
      <w:pPr>
        <w:shd w:val="clear" w:color="auto" w:fill="F2F0F7"/>
        <w:spacing w:before="120" w:after="160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  M1  </w:t>
      </w:r>
      <w:r>
        <w:rPr>
          <w:rFonts w:ascii="Arial" w:hAnsi="Arial" w:cs="Arial" w:eastAsia="Arial"/>
          <w:b/>
          <w:i w:val="0"/>
          <w:color w:val="2D1B69"/>
          <w:sz w:val="26"/>
        </w:rPr>
        <w:t xml:space="preserve">   Podstawa prawna — co obowiązuje od 1 września 2026 r.</w:t>
      </w:r>
      <w:r>
        <w:rPr>
          <w:rFonts w:ascii="Arial" w:hAnsi="Arial" w:cs="Arial" w:eastAsia="Arial"/>
          <w:b/>
          <w:i w:val="0"/>
          <w:color w:val="E8450A"/>
          <w:sz w:val="20"/>
        </w:rPr>
        <w:t xml:space="preserve">   ·   9:30 → 12:21  ·  4 dogrywek  ·  +171 s</w:t>
      </w:r>
    </w:p>
    <w:p>
      <w:pPr>
        <w:keepNext/>
        <w:spacing w:before="200" w:after="80" w:line="264" w:lineRule="auto"/>
      </w:pPr>
      <w:r>
        <w:rPr>
          <w:rFonts w:ascii="Arial" w:hAnsi="Arial" w:cs="Arial" w:eastAsia="Arial"/>
          <w:b/>
          <w:i w:val="0"/>
          <w:caps w:val="1"/>
          <w:color w:val="E8450A"/>
          <w:sz w:val="19"/>
        </w:rPr>
        <w:t>M1 · dogrywka 1 — WSTAWKA po planszy 08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3175"/>
        <w:gridCol w:w="680"/>
        <w:gridCol w:w="680"/>
        <w:gridCol w:w="1757"/>
      </w:tblGrid>
      <w:tr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Miejsce cięcia</w:t>
            </w:r>
          </w:p>
        </w:tc>
        <w:tc>
          <w:tcPr>
            <w:tcW w:type="dxa" w:w="124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Rodzaj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Powód (ustalenie audytu)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Słów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Czas</w:t>
            </w:r>
          </w:p>
        </w:tc>
        <w:tc>
          <w:tcPr>
            <w:tcW w:type="dxa" w:w="175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Plik</w:t>
            </w:r>
          </w:p>
        </w:tc>
      </w:tr>
      <w:tr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bezpośrednio po planszy 08</w:t>
            </w:r>
          </w:p>
        </w:tc>
        <w:tc>
          <w:tcPr>
            <w:tcW w:type="dxa" w:w="124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WSTAWKA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Ustalenie C3 — brak aktu zmieniającego podstawę programową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28 s</w:t>
            </w:r>
          </w:p>
        </w:tc>
        <w:tc>
          <w:tcPr>
            <w:tcW w:type="dxa" w:w="175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M1_dogrywka_1.wav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2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6"/>
              </w:rPr>
              <w:t>TEKST DO PRZECZYTANIA</w:t>
            </w:r>
          </w:p>
          <w:p>
            <w:pPr>
              <w:spacing w:before="0" w:after="0" w:line="32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23"/>
              </w:rPr>
              <w:t>Jedno uzupełnienie do tego rozporządzenia. Zostało ono zmienione rozporządzeniem z Dziennika Ustaw z dwa tysiące dwudziestego szóstego roku, pozycja dziewięćset pięćdziesiąt osiem, które również wchodzi w życie pierwszego września. Zmiana nie dotyczy jednak załącznika numer jeden, czyli podstawy programowej wychowania przedszkolnego. W naszym załączniku nie zmienia się nic.</w:t>
            </w:r>
          </w:p>
        </w:tc>
      </w:tr>
    </w:tbl>
    <w:p>
      <w:pPr>
        <w:spacing w:before="0" w:after="120" w:line="264" w:lineRule="auto"/>
      </w:pPr>
    </w:p>
    <w:p>
      <w:pPr>
        <w:spacing w:before="4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6"/>
        </w:rPr>
        <w:t>PLANSZA DO WYŚWIETLENIA W CZASIE TEJ WSTAWKI</w:t>
      </w:r>
    </w:p>
    <w:p>
      <w:pPr>
        <w:spacing w:before="0" w:after="80" w:line="264" w:lineRule="auto"/>
        <w:ind w:left="227"/>
      </w:pPr>
      <w:r>
        <w:rPr>
          <w:rFonts w:ascii="Arial" w:hAnsi="Arial" w:cs="Arial" w:eastAsia="Arial"/>
          <w:b/>
          <w:i w:val="0"/>
          <w:color w:val="2D1B69"/>
          <w:sz w:val="19"/>
        </w:rPr>
        <w:t>PODSTAWA PROGRAMOWA — AKT ZMIENIAJĄCY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Dz.U. 2026 poz. 958 — od 1.09.2026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zmiana NIE dotyczy załącznika nr 1 (wychowanie przedszkolne)</w:t>
      </w:r>
    </w:p>
    <w:p>
      <w:pPr>
        <w:spacing w:before="0" w:after="160" w:line="264" w:lineRule="auto"/>
      </w:pPr>
    </w:p>
    <w:p>
      <w:pPr>
        <w:keepNext/>
        <w:spacing w:before="200" w:after="80" w:line="264" w:lineRule="auto"/>
      </w:pPr>
      <w:r>
        <w:rPr>
          <w:rFonts w:ascii="Arial" w:hAnsi="Arial" w:cs="Arial" w:eastAsia="Arial"/>
          <w:b/>
          <w:i w:val="0"/>
          <w:caps w:val="1"/>
          <w:color w:val="E8450A"/>
          <w:sz w:val="19"/>
        </w:rPr>
        <w:t>M1 · dogrywka 2 — WSTAWKA po planszy 12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3175"/>
        <w:gridCol w:w="680"/>
        <w:gridCol w:w="680"/>
        <w:gridCol w:w="1757"/>
      </w:tblGrid>
      <w:tr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Miejsce cięcia</w:t>
            </w:r>
          </w:p>
        </w:tc>
        <w:tc>
          <w:tcPr>
            <w:tcW w:type="dxa" w:w="124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Rodzaj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Powód (ustalenie audytu)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Słów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Czas</w:t>
            </w:r>
          </w:p>
        </w:tc>
        <w:tc>
          <w:tcPr>
            <w:tcW w:type="dxa" w:w="175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Plik</w:t>
            </w:r>
          </w:p>
        </w:tc>
      </w:tr>
      <w:tr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bezpośrednio po planszy 12</w:t>
            </w:r>
          </w:p>
        </w:tc>
        <w:tc>
          <w:tcPr>
            <w:tcW w:type="dxa" w:w="124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WSTAWKA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Ustalenie C4 — brak informacji o uchyleniu poprzedniego rozporządzenia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60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35 s</w:t>
            </w:r>
          </w:p>
        </w:tc>
        <w:tc>
          <w:tcPr>
            <w:tcW w:type="dxa" w:w="175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M1_dogrywka_2.wav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2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6"/>
              </w:rPr>
              <w:t>TEKST DO PRZECZYTANIA</w:t>
            </w:r>
          </w:p>
          <w:p>
            <w:pPr>
              <w:spacing w:before="0" w:after="0" w:line="32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23"/>
              </w:rPr>
              <w:t>Powiedzmy też wyraźnie, co to rozporządzenie zrobiło z poprzednim stanem prawnym. Z dniem czternastego kwietnia uchyliło rozporządzenie Ministra Edukacji Narodowej z siódmego września dwa tysiące siedemnastego roku, którego tekst jednolity znajdziemy w Dzienniku Ustaw z dwa tysiące dwudziestego trzeciego roku, pozycja dwa tysiące sześćdziesiąt jeden. Ten publikator przestał być aktualny. Jeżeli ktoś ma go w swoich drukach, trzeba go wymienić.</w:t>
            </w:r>
          </w:p>
        </w:tc>
      </w:tr>
    </w:tbl>
    <w:p>
      <w:pPr>
        <w:spacing w:before="0" w:after="120" w:line="264" w:lineRule="auto"/>
      </w:pPr>
    </w:p>
    <w:p>
      <w:pPr>
        <w:spacing w:before="4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6"/>
        </w:rPr>
        <w:t>PLANSZA DO WYŚWIETLENIA W CZASIE TEJ WSTAWKI</w:t>
      </w:r>
    </w:p>
    <w:p>
      <w:pPr>
        <w:spacing w:before="0" w:after="80" w:line="264" w:lineRule="auto"/>
        <w:ind w:left="227"/>
      </w:pPr>
      <w:r>
        <w:rPr>
          <w:rFonts w:ascii="Arial" w:hAnsi="Arial" w:cs="Arial" w:eastAsia="Arial"/>
          <w:b/>
          <w:i w:val="0"/>
          <w:color w:val="2D1B69"/>
          <w:sz w:val="19"/>
        </w:rPr>
        <w:t>CO UCHYLIŁO NOWE ROZPORZĄDZENIE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Dz.U. 2026 poz. 428 obowiązuje od 14.04.2026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uchyliło rozp. MEN z 7.09.2017 (t.j. Dz.U. 2023 poz. 2061)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starego publikatora nie cytujemy</w:t>
      </w:r>
    </w:p>
    <w:p>
      <w:pPr>
        <w:spacing w:before="0" w:after="160" w:line="264" w:lineRule="auto"/>
      </w:pPr>
    </w:p>
    <w:p>
      <w:pPr>
        <w:keepNext/>
        <w:spacing w:before="200" w:after="80" w:line="264" w:lineRule="auto"/>
      </w:pPr>
      <w:r>
        <w:rPr>
          <w:rFonts w:ascii="Arial" w:hAnsi="Arial" w:cs="Arial" w:eastAsia="Arial"/>
          <w:b/>
          <w:i w:val="0"/>
          <w:caps w:val="1"/>
          <w:color w:val="E8450A"/>
          <w:sz w:val="19"/>
        </w:rPr>
        <w:t>M1 · dogrywka 3 — WSTAWKA po planszy 21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3175"/>
        <w:gridCol w:w="680"/>
        <w:gridCol w:w="680"/>
        <w:gridCol w:w="1757"/>
      </w:tblGrid>
      <w:tr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Miejsce cięcia</w:t>
            </w:r>
          </w:p>
        </w:tc>
        <w:tc>
          <w:tcPr>
            <w:tcW w:type="dxa" w:w="124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Rodzaj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Powód (ustalenie audytu)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Słów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Czas</w:t>
            </w:r>
          </w:p>
        </w:tc>
        <w:tc>
          <w:tcPr>
            <w:tcW w:type="dxa" w:w="175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Plik</w:t>
            </w:r>
          </w:p>
        </w:tc>
      </w:tr>
      <w:tr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bezpośrednio po planszy 21</w:t>
            </w:r>
          </w:p>
        </w:tc>
        <w:tc>
          <w:tcPr>
            <w:tcW w:type="dxa" w:w="124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WSTAWKA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Ustalenie A4 — pułapka dydaktyczna przy publikatorach pierwotnych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56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33 s</w:t>
            </w:r>
          </w:p>
        </w:tc>
        <w:tc>
          <w:tcPr>
            <w:tcW w:type="dxa" w:w="175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M1_dogrywka_3.wav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2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6"/>
              </w:rPr>
              <w:t>TEKST DO PRZECZYTANIA</w:t>
            </w:r>
          </w:p>
          <w:p>
            <w:pPr>
              <w:spacing w:before="0" w:after="0" w:line="32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23"/>
              </w:rPr>
              <w:t>I od razu zastrzeżenie, bo to zdanie bywa źle rozumiane. Pozycje tysiąc pięćset siedemdziesiąt osiem i tysiąc pięćset dziewięćdziesiąt jeden to publikatory pierwotne. Służą do rozpoznania, o który akt chodzi, a nie do cytowania. W dokumencie dziecka wpisujemy wyłącznie obowiązujące teksty jednolite: tysiąc trzysta dziewięć dla kształcenia specjalnego i tysiąc siedemset dziewięćdziesiąt osiem dla pomocy psychologiczno-pedagogicznej.</w:t>
            </w:r>
          </w:p>
        </w:tc>
      </w:tr>
    </w:tbl>
    <w:p>
      <w:pPr>
        <w:spacing w:before="0" w:after="120" w:line="264" w:lineRule="auto"/>
      </w:pPr>
    </w:p>
    <w:p>
      <w:pPr>
        <w:spacing w:before="4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6"/>
        </w:rPr>
        <w:t>PLANSZA DO WYŚWIETLENIA W CZASIE TEJ WSTAWKI</w:t>
      </w:r>
    </w:p>
    <w:p>
      <w:pPr>
        <w:spacing w:before="0" w:after="80" w:line="264" w:lineRule="auto"/>
        <w:ind w:left="227"/>
      </w:pPr>
      <w:r>
        <w:rPr>
          <w:rFonts w:ascii="Arial" w:hAnsi="Arial" w:cs="Arial" w:eastAsia="Arial"/>
          <w:b/>
          <w:i w:val="0"/>
          <w:color w:val="2D1B69"/>
          <w:sz w:val="19"/>
        </w:rPr>
        <w:t>DO ROZPOZNANIA ≠ DO CYTOWANIA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1578 i 1591 — publikatory pierwotne, do rozpoznania aktu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w dokumencie dziecka: t.j. Dz.U. 2020 poz. 1309 · t.j. Dz.U. 2023 poz. 1798</w:t>
      </w:r>
    </w:p>
    <w:p>
      <w:pPr>
        <w:spacing w:before="0" w:after="160" w:line="264" w:lineRule="auto"/>
      </w:pPr>
    </w:p>
    <w:p>
      <w:pPr>
        <w:keepNext/>
        <w:spacing w:before="200" w:after="80" w:line="264" w:lineRule="auto"/>
      </w:pPr>
      <w:r>
        <w:rPr>
          <w:rFonts w:ascii="Arial" w:hAnsi="Arial" w:cs="Arial" w:eastAsia="Arial"/>
          <w:b/>
          <w:i w:val="0"/>
          <w:caps w:val="1"/>
          <w:color w:val="E8450A"/>
          <w:sz w:val="19"/>
        </w:rPr>
        <w:t>M1 · dogrywka 4 — NOWA PLANSZA po planszy 25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3175"/>
        <w:gridCol w:w="680"/>
        <w:gridCol w:w="680"/>
        <w:gridCol w:w="1757"/>
      </w:tblGrid>
      <w:tr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Miejsce cięcia</w:t>
            </w:r>
          </w:p>
        </w:tc>
        <w:tc>
          <w:tcPr>
            <w:tcW w:type="dxa" w:w="124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Rodzaj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Powód (ustalenie audytu)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Słów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Czas</w:t>
            </w:r>
          </w:p>
        </w:tc>
        <w:tc>
          <w:tcPr>
            <w:tcW w:type="dxa" w:w="175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Plik</w:t>
            </w:r>
          </w:p>
        </w:tc>
      </w:tr>
      <w:tr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bezpośrednio po planszy 25</w:t>
            </w:r>
          </w:p>
        </w:tc>
        <w:tc>
          <w:tcPr>
            <w:tcW w:type="dxa" w:w="124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NOWA PLANSZA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Ustalenia C1 i C2 — dwa akty nieobecne w wydaniu 1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131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75 s</w:t>
            </w:r>
          </w:p>
        </w:tc>
        <w:tc>
          <w:tcPr>
            <w:tcW w:type="dxa" w:w="175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M1_dogrywka_4.wav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2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6"/>
              </w:rPr>
              <w:t>TEKST DO PRZECZYTANIA</w:t>
            </w:r>
          </w:p>
          <w:p>
            <w:pPr>
              <w:spacing w:before="0" w:after="0" w:line="32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23"/>
              </w:rPr>
              <w:t>Zanim przejdziemy do aktów nadrzędnych, dwa rozporządzenia, o których w pierwszej wersji nie powiedziałam, a bez których dwa nasze dokumenty wiszą w próżni. Pierwsze to rozporządzenie Ministra Edukacji i Nauki z siódmego czerwca dwa tysiące dwudziestego trzeciego roku w sprawie świadectw, dyplomów państwowych i innych druków, Dziennik Ustaw pozycja tysiąc sto dwadzieścia. To ono określa wzór informacji o gotowości dziecka do podjęcia nauki w szkole podstawowej. Informację sporządzamy na tym wzorze, a nie na druku własnym. Drugie to rozporządzenie Ministra Edukacji Narodowej z dwudziestego ósmego lutego dwa tysiące dziewiętnastego roku w sprawie szczegółowej organizacji publicznych szkół i publicznych przedszkoli, w tekście jednolitym z dwa tysiące dwudziestego trzeciego roku, pozycja dwa tysiące siedemset trzydzieści sześć. Z niego wynikają dane, które wpisujemy w drugiej sekcji metryczki: organizacja pobytu, oddziały i godziny pracy przedszkola.</w:t>
            </w:r>
          </w:p>
        </w:tc>
      </w:tr>
    </w:tbl>
    <w:p>
      <w:pPr>
        <w:spacing w:before="0" w:after="120" w:line="264" w:lineRule="auto"/>
      </w:pPr>
    </w:p>
    <w:p>
      <w:pPr>
        <w:spacing w:before="4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6"/>
        </w:rPr>
        <w:t>PLANSZA DO WYŚWIETLENIA W CZASIE TEJ WSTAWKI</w:t>
      </w:r>
    </w:p>
    <w:p>
      <w:pPr>
        <w:spacing w:before="0" w:after="80" w:line="264" w:lineRule="auto"/>
        <w:ind w:left="227"/>
      </w:pPr>
      <w:r>
        <w:rPr>
          <w:rFonts w:ascii="Arial" w:hAnsi="Arial" w:cs="Arial" w:eastAsia="Arial"/>
          <w:b/>
          <w:i w:val="0"/>
          <w:color w:val="2D1B69"/>
          <w:sz w:val="19"/>
        </w:rPr>
        <w:t>DWA AKTY, KTÓRE MUSZĄ BYĆ W NASZEJ LIŚCIE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Świadectwa i druki — Dz.U. 2023 poz. 1120 → wzór informacji o gotowości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Organizacja przedszkoli — t.j. Dz.U. 2023 poz. 2736 → sekcja II metryczki</w:t>
      </w:r>
    </w:p>
    <w:p>
      <w:pPr>
        <w:spacing w:before="0" w:after="160" w:line="264" w:lineRule="auto"/>
      </w:pPr>
    </w:p>
    <w:p>
      <w:pPr>
        <w:spacing w:after="0"/>
      </w:pPr>
      <w:r>
        <w:br w:type="page"/>
      </w:r>
    </w:p>
    <w:p>
      <w:pPr>
        <w:shd w:val="clear" w:color="auto" w:fill="F2F0F7"/>
        <w:spacing w:before="120" w:after="160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  M3  </w:t>
      </w:r>
      <w:r>
        <w:rPr>
          <w:rFonts w:ascii="Arial" w:hAnsi="Arial" w:cs="Arial" w:eastAsia="Arial"/>
          <w:b/>
          <w:i w:val="0"/>
          <w:color w:val="2D1B69"/>
          <w:sz w:val="26"/>
        </w:rPr>
        <w:t xml:space="preserve">   Metryczka dziecka — pierwszy dokument września</w:t>
      </w:r>
      <w:r>
        <w:rPr>
          <w:rFonts w:ascii="Arial" w:hAnsi="Arial" w:cs="Arial" w:eastAsia="Arial"/>
          <w:b/>
          <w:i w:val="0"/>
          <w:color w:val="E8450A"/>
          <w:sz w:val="20"/>
        </w:rPr>
        <w:t xml:space="preserve">   ·   5:45 → 6:50  ·  2 dogrywek  ·  +65 s</w:t>
      </w:r>
    </w:p>
    <w:p>
      <w:pPr>
        <w:keepNext/>
        <w:spacing w:before="200" w:after="80" w:line="264" w:lineRule="auto"/>
      </w:pPr>
      <w:r>
        <w:rPr>
          <w:rFonts w:ascii="Arial" w:hAnsi="Arial" w:cs="Arial" w:eastAsia="Arial"/>
          <w:b/>
          <w:i w:val="0"/>
          <w:caps w:val="1"/>
          <w:color w:val="E8450A"/>
          <w:sz w:val="19"/>
        </w:rPr>
        <w:t>M3 · dogrywka 1 — WSTAWKA po planszy 12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3175"/>
        <w:gridCol w:w="680"/>
        <w:gridCol w:w="680"/>
        <w:gridCol w:w="1757"/>
      </w:tblGrid>
      <w:tr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Miejsce cięcia</w:t>
            </w:r>
          </w:p>
        </w:tc>
        <w:tc>
          <w:tcPr>
            <w:tcW w:type="dxa" w:w="124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Rodzaj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Powód (ustalenie audytu)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Słów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Czas</w:t>
            </w:r>
          </w:p>
        </w:tc>
        <w:tc>
          <w:tcPr>
            <w:tcW w:type="dxa" w:w="175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Plik</w:t>
            </w:r>
          </w:p>
        </w:tc>
      </w:tr>
      <w:tr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bezpośrednio po planszy 12</w:t>
            </w:r>
          </w:p>
        </w:tc>
        <w:tc>
          <w:tcPr>
            <w:tcW w:type="dxa" w:w="124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WSTAWKA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Ustalenie C1 — informacja o gotowości bez wskazania urzędowego wzoru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27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16 s</w:t>
            </w:r>
          </w:p>
        </w:tc>
        <w:tc>
          <w:tcPr>
            <w:tcW w:type="dxa" w:w="175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M3_dogrywka_1.wav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2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6"/>
              </w:rPr>
              <w:t>TEKST DO PRZECZYTANIA</w:t>
            </w:r>
          </w:p>
          <w:p>
            <w:pPr>
              <w:spacing w:before="0" w:after="0" w:line="32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23"/>
              </w:rPr>
              <w:t>Dopowiedzmy od razu jedno. Informację o gotowości sporządzamy na urzędowym wzorze, który określa rozporządzenie o świadectwach, dyplomach państwowych i innych drukach. Nie tworzymy do niej druku własnego.</w:t>
            </w:r>
          </w:p>
        </w:tc>
      </w:tr>
    </w:tbl>
    <w:p>
      <w:pPr>
        <w:spacing w:before="0" w:after="120" w:line="264" w:lineRule="auto"/>
      </w:pPr>
    </w:p>
    <w:p>
      <w:pPr>
        <w:spacing w:before="4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6"/>
        </w:rPr>
        <w:t>PLANSZA DO WYŚWIETLENIA W CZASIE TEJ WSTAWKI</w:t>
      </w:r>
    </w:p>
    <w:p>
      <w:pPr>
        <w:spacing w:before="0" w:after="80" w:line="264" w:lineRule="auto"/>
        <w:ind w:left="227"/>
      </w:pPr>
      <w:r>
        <w:rPr>
          <w:rFonts w:ascii="Arial" w:hAnsi="Arial" w:cs="Arial" w:eastAsia="Arial"/>
          <w:b/>
          <w:i w:val="0"/>
          <w:color w:val="2D1B69"/>
          <w:sz w:val="19"/>
        </w:rPr>
        <w:t>INFORMACJA O GOTOWOŚCI — URZĘDOWY WZÓR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wzór: rozp. MEiN z 7.06.2023 (Dz.U. 2023 poz. 1120)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termin: do końca kwietnia</w:t>
      </w:r>
    </w:p>
    <w:p>
      <w:pPr>
        <w:spacing w:before="0" w:after="160" w:line="264" w:lineRule="auto"/>
      </w:pPr>
    </w:p>
    <w:p>
      <w:pPr>
        <w:keepNext/>
        <w:spacing w:before="200" w:after="80" w:line="264" w:lineRule="auto"/>
      </w:pPr>
      <w:r>
        <w:rPr>
          <w:rFonts w:ascii="Arial" w:hAnsi="Arial" w:cs="Arial" w:eastAsia="Arial"/>
          <w:b/>
          <w:i w:val="0"/>
          <w:caps w:val="1"/>
          <w:color w:val="E8450A"/>
          <w:sz w:val="19"/>
        </w:rPr>
        <w:t>M3 · dogrywka 2 — WSTAWKA po planszy 16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3175"/>
        <w:gridCol w:w="680"/>
        <w:gridCol w:w="680"/>
        <w:gridCol w:w="1757"/>
      </w:tblGrid>
      <w:tr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Miejsce cięcia</w:t>
            </w:r>
          </w:p>
        </w:tc>
        <w:tc>
          <w:tcPr>
            <w:tcW w:type="dxa" w:w="124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Rodzaj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Powód (ustalenie audytu)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Słów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Czas</w:t>
            </w:r>
          </w:p>
        </w:tc>
        <w:tc>
          <w:tcPr>
            <w:tcW w:type="dxa" w:w="175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Plik</w:t>
            </w:r>
          </w:p>
        </w:tc>
      </w:tr>
      <w:tr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bezpośrednio po planszy 16</w:t>
            </w:r>
          </w:p>
        </w:tc>
        <w:tc>
          <w:tcPr>
            <w:tcW w:type="dxa" w:w="124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WSTAWKA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Ustalenie A3 — „na jakiej podstawie” sugeruje nieistniejący przepis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85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49 s</w:t>
            </w:r>
          </w:p>
        </w:tc>
        <w:tc>
          <w:tcPr>
            <w:tcW w:type="dxa" w:w="175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M3_dogrywka_2.wav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2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6"/>
              </w:rPr>
              <w:t>TEKST DO PRZECZYTANIA</w:t>
            </w:r>
          </w:p>
          <w:p>
            <w:pPr>
              <w:spacing w:before="0" w:after="0" w:line="32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23"/>
              </w:rPr>
              <w:t>Doprecyzujmy, co znaczy „na jakiej podstawie”, bo to pytanie wraca na każdym szkoleniu. Nie chodzi o przepis ustawy, bo takiego przepisu dla przedszkola nie ma. Ustawa o opiece zdrowotnej nad uczniami dotyczy uczniów, a nie dzieci objętych wychowaniem przedszkolnym. Chodzi o trzy dokumenty. Pisemne upoważnienie rodziców, ze wskazaniem leku, dawki i godzin podania. Dobrowolną pisemną zgodę nauczyciela, który lek podaje. I procedurę przyjętą zarządzeniem dyrektora. Bez tego kompletu leku nie podajemy. I jeszcze jedno zdanie, ważne dla nas wszystkich: nauczyciel nie ma obowiązku podania leku.</w:t>
            </w:r>
          </w:p>
        </w:tc>
      </w:tr>
    </w:tbl>
    <w:p>
      <w:pPr>
        <w:spacing w:before="0" w:after="120" w:line="264" w:lineRule="auto"/>
      </w:pPr>
    </w:p>
    <w:p>
      <w:pPr>
        <w:spacing w:before="4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6"/>
        </w:rPr>
        <w:t>PLANSZA DO WYŚWIETLENIA W CZASIE TEJ WSTAWKI</w:t>
      </w:r>
    </w:p>
    <w:p>
      <w:pPr>
        <w:spacing w:before="0" w:after="80" w:line="264" w:lineRule="auto"/>
        <w:ind w:left="227"/>
      </w:pPr>
      <w:r>
        <w:rPr>
          <w:rFonts w:ascii="Arial" w:hAnsi="Arial" w:cs="Arial" w:eastAsia="Arial"/>
          <w:b/>
          <w:i w:val="0"/>
          <w:color w:val="2D1B69"/>
          <w:sz w:val="19"/>
        </w:rPr>
        <w:t>PODAWANIE LEKU — NA JAKIEJ PODSTAWIE?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brak przepisu ustawowego dla przedszkola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ustawa o opiece zdrowotnej nad uczniami dotyczy UCZNIÓW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podstawa: upoważnienie rodziców + zgoda nauczyciela + procedura dyrektora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nauczyciel NIE MA OBOWIĄZKU podania leku</w:t>
      </w:r>
    </w:p>
    <w:p>
      <w:pPr>
        <w:spacing w:before="0" w:after="160" w:line="264" w:lineRule="auto"/>
      </w:pPr>
    </w:p>
    <w:p>
      <w:pPr>
        <w:spacing w:after="0"/>
      </w:pPr>
      <w:r>
        <w:br w:type="page"/>
      </w:r>
    </w:p>
    <w:p>
      <w:pPr>
        <w:shd w:val="clear" w:color="auto" w:fill="F2F0F7"/>
        <w:spacing w:before="120" w:after="160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  M4  </w:t>
      </w:r>
      <w:r>
        <w:rPr>
          <w:rFonts w:ascii="Arial" w:hAnsi="Arial" w:cs="Arial" w:eastAsia="Arial"/>
          <w:b/>
          <w:i w:val="0"/>
          <w:color w:val="2D1B69"/>
          <w:sz w:val="26"/>
        </w:rPr>
        <w:t xml:space="preserve">   KPOF — budowa narzędzia, skala, liczenie wyniku, odczyt profilu</w:t>
      </w:r>
      <w:r>
        <w:rPr>
          <w:rFonts w:ascii="Arial" w:hAnsi="Arial" w:cs="Arial" w:eastAsia="Arial"/>
          <w:b/>
          <w:i w:val="0"/>
          <w:color w:val="E8450A"/>
          <w:sz w:val="20"/>
        </w:rPr>
        <w:t xml:space="preserve">   ·   10:08 → 10:42  ·  1 dogrywek  ·  +34 s</w:t>
      </w:r>
    </w:p>
    <w:p>
      <w:pPr>
        <w:keepNext/>
        <w:spacing w:before="200" w:after="80" w:line="264" w:lineRule="auto"/>
      </w:pPr>
      <w:r>
        <w:rPr>
          <w:rFonts w:ascii="Arial" w:hAnsi="Arial" w:cs="Arial" w:eastAsia="Arial"/>
          <w:b/>
          <w:i w:val="0"/>
          <w:caps w:val="1"/>
          <w:color w:val="E8450A"/>
          <w:sz w:val="19"/>
        </w:rPr>
        <w:t>M4 · dogrywka 1 — WSTAWKA po planszy 08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3175"/>
        <w:gridCol w:w="680"/>
        <w:gridCol w:w="680"/>
        <w:gridCol w:w="1757"/>
      </w:tblGrid>
      <w:tr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Miejsce cięcia</w:t>
            </w:r>
          </w:p>
        </w:tc>
        <w:tc>
          <w:tcPr>
            <w:tcW w:type="dxa" w:w="124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Rodzaj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Powód (ustalenie audytu)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Słów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Czas</w:t>
            </w:r>
          </w:p>
        </w:tc>
        <w:tc>
          <w:tcPr>
            <w:tcW w:type="dxa" w:w="175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Plik</w:t>
            </w:r>
          </w:p>
        </w:tc>
      </w:tr>
      <w:tr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bezpośrednio po planszy 08</w:t>
            </w:r>
          </w:p>
        </w:tc>
        <w:tc>
          <w:tcPr>
            <w:tcW w:type="dxa" w:w="124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WSTAWKA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Ustalenie A2 — błędne przypisanie obowiązku obserwacji i analizy gotowości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59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34 s</w:t>
            </w:r>
          </w:p>
        </w:tc>
        <w:tc>
          <w:tcPr>
            <w:tcW w:type="dxa" w:w="175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M4_dogrywka_1.wav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2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6"/>
              </w:rPr>
              <w:t>TEKST DO PRZECZYTANIA</w:t>
            </w:r>
          </w:p>
          <w:p>
            <w:pPr>
              <w:spacing w:before="0" w:after="0" w:line="32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23"/>
              </w:rPr>
              <w:t>Jeszcze słowo o tym, skąd bierze się nasza obserwacja, bo to dwie różne podstawy. Rozporządzenie o dokumentacji jest podstawą dla samych arkuszy, jako dokumentacji badań i czynności uzupełniających. Natomiast obowiązek prowadzenia obserwacji pedagogicznych i przeprowadzenia analizy gotowości dziecka do nauki w szkole wynika z zadań przedszkola zapisanych w podstawie programowej. Arkusz bierzemy z jednego przepisu, a obowiązek z drugiego.</w:t>
            </w:r>
          </w:p>
        </w:tc>
      </w:tr>
    </w:tbl>
    <w:p>
      <w:pPr>
        <w:spacing w:before="0" w:after="120" w:line="264" w:lineRule="auto"/>
      </w:pPr>
    </w:p>
    <w:p>
      <w:pPr>
        <w:spacing w:before="4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6"/>
        </w:rPr>
        <w:t>PLANSZA DO WYŚWIETLENIA W CZASIE TEJ WSTAWKI</w:t>
      </w:r>
    </w:p>
    <w:p>
      <w:pPr>
        <w:spacing w:before="0" w:after="80" w:line="264" w:lineRule="auto"/>
        <w:ind w:left="227"/>
      </w:pPr>
      <w:r>
        <w:rPr>
          <w:rFonts w:ascii="Arial" w:hAnsi="Arial" w:cs="Arial" w:eastAsia="Arial"/>
          <w:b/>
          <w:i w:val="0"/>
          <w:color w:val="2D1B69"/>
          <w:sz w:val="19"/>
        </w:rPr>
        <w:t>DWIE RÓŻNE PODSTAWY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arkusze obserwacji → rozp. o dokumentacji (t.j. Dz.U. 2024 poz. 50)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obowiązek obserwacji i analizy gotowości → podstawa programowa (Dz.U. 2026 poz. 378)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wzór informacji o gotowości → rozp. o świadectwach (Dz.U. 2023 poz. 1120)</w:t>
      </w:r>
    </w:p>
    <w:p>
      <w:pPr>
        <w:spacing w:before="0" w:after="160" w:line="264" w:lineRule="auto"/>
      </w:pPr>
    </w:p>
    <w:p>
      <w:pPr>
        <w:spacing w:after="0"/>
      </w:pPr>
      <w:r>
        <w:br w:type="page"/>
      </w:r>
    </w:p>
    <w:p>
      <w:pPr>
        <w:shd w:val="clear" w:color="auto" w:fill="F2F0F7"/>
        <w:spacing w:before="120" w:after="160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  M6  </w:t>
      </w:r>
      <w:r>
        <w:rPr>
          <w:rFonts w:ascii="Arial" w:hAnsi="Arial" w:cs="Arial" w:eastAsia="Arial"/>
          <w:b/>
          <w:i w:val="0"/>
          <w:color w:val="2D1B69"/>
          <w:sz w:val="26"/>
        </w:rPr>
        <w:t xml:space="preserve">   WOPF, IPET, cele SMART, ewaluacja i opinia dla poradni</w:t>
      </w:r>
      <w:r>
        <w:rPr>
          <w:rFonts w:ascii="Arial" w:hAnsi="Arial" w:cs="Arial" w:eastAsia="Arial"/>
          <w:b/>
          <w:i w:val="0"/>
          <w:color w:val="E8450A"/>
          <w:sz w:val="20"/>
        </w:rPr>
        <w:t xml:space="preserve">   ·   13:12 → 14:26  ·  2 dogrywek  ·  +74 s</w:t>
      </w:r>
    </w:p>
    <w:p>
      <w:pPr>
        <w:keepNext/>
        <w:spacing w:before="200" w:after="80" w:line="264" w:lineRule="auto"/>
      </w:pPr>
      <w:r>
        <w:rPr>
          <w:rFonts w:ascii="Arial" w:hAnsi="Arial" w:cs="Arial" w:eastAsia="Arial"/>
          <w:b/>
          <w:i w:val="0"/>
          <w:caps w:val="1"/>
          <w:color w:val="E8450A"/>
          <w:sz w:val="19"/>
        </w:rPr>
        <w:t>M6 · dogrywka 1 — WSTAWKA po planszy 04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3175"/>
        <w:gridCol w:w="680"/>
        <w:gridCol w:w="680"/>
        <w:gridCol w:w="1757"/>
      </w:tblGrid>
      <w:tr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Miejsce cięcia</w:t>
            </w:r>
          </w:p>
        </w:tc>
        <w:tc>
          <w:tcPr>
            <w:tcW w:type="dxa" w:w="124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Rodzaj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Powód (ustalenie audytu)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Słów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Czas</w:t>
            </w:r>
          </w:p>
        </w:tc>
        <w:tc>
          <w:tcPr>
            <w:tcW w:type="dxa" w:w="175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Plik</w:t>
            </w:r>
          </w:p>
        </w:tc>
      </w:tr>
      <w:tr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bezpośrednio po planszy 04</w:t>
            </w:r>
          </w:p>
        </w:tc>
        <w:tc>
          <w:tcPr>
            <w:tcW w:type="dxa" w:w="124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WSTAWKA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Ustalenie A1 — numeracja ustępów § 6 niepotwierdzona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77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44 s</w:t>
            </w:r>
          </w:p>
        </w:tc>
        <w:tc>
          <w:tcPr>
            <w:tcW w:type="dxa" w:w="175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M6_dogrywka_1.wav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2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6"/>
              </w:rPr>
              <w:t>TEKST DO PRZECZYTANIA</w:t>
            </w:r>
          </w:p>
          <w:p>
            <w:pPr>
              <w:spacing w:before="0" w:after="0" w:line="32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23"/>
              </w:rPr>
              <w:t>Jedna uwaga redakcyjna, którą proszę potraktować poważnie. W materiałach spotkają Państwo odesłania do konkretnych ustępów paragrafu szóstego. Numerację ustępów sprawdzajcie w ogłoszonym tekście jednolitym, zanim przepiszecie ją do dokumentu dziecka. Sam paragraf szósty jest właściwy na pewno, ale okresowa ocena, prawo rodziców do udziału w spotkaniach zespołu, obowiązek pisemnego zawiadomienia o terminie oraz prawo do kopii oceny i programu to cztery odrębne ustępy, a nie trzy. Bezpieczny zapis w dokumencie dziecka brzmi po prostu: paragraf szósty rozporządzenia.</w:t>
            </w:r>
          </w:p>
        </w:tc>
      </w:tr>
    </w:tbl>
    <w:p>
      <w:pPr>
        <w:spacing w:before="0" w:after="120" w:line="264" w:lineRule="auto"/>
      </w:pPr>
    </w:p>
    <w:p>
      <w:pPr>
        <w:spacing w:before="4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6"/>
        </w:rPr>
        <w:t>PLANSZA DO WYŚWIETLENIA W CZASIE TEJ WSTAWKI</w:t>
      </w:r>
    </w:p>
    <w:p>
      <w:pPr>
        <w:spacing w:before="0" w:after="80" w:line="264" w:lineRule="auto"/>
        <w:ind w:left="227"/>
      </w:pPr>
      <w:r>
        <w:rPr>
          <w:rFonts w:ascii="Arial" w:hAnsi="Arial" w:cs="Arial" w:eastAsia="Arial"/>
          <w:b/>
          <w:i w:val="0"/>
          <w:color w:val="2D1B69"/>
          <w:sz w:val="19"/>
        </w:rPr>
        <w:t>NUMERACJA USTĘPÓW § 6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§ 6 — właściwy na pewno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cztery odrębne materie, nie trzy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w druku dziecka: „§ 6 rozporządzenia” bez numeru ustępu</w:t>
      </w:r>
    </w:p>
    <w:p>
      <w:pPr>
        <w:spacing w:before="0" w:after="160" w:line="264" w:lineRule="auto"/>
      </w:pPr>
    </w:p>
    <w:p>
      <w:pPr>
        <w:keepNext/>
        <w:spacing w:before="200" w:after="80" w:line="264" w:lineRule="auto"/>
      </w:pPr>
      <w:r>
        <w:rPr>
          <w:rFonts w:ascii="Arial" w:hAnsi="Arial" w:cs="Arial" w:eastAsia="Arial"/>
          <w:b/>
          <w:i w:val="0"/>
          <w:caps w:val="1"/>
          <w:color w:val="E8450A"/>
          <w:sz w:val="19"/>
        </w:rPr>
        <w:t>M6 · dogrywka 2 — WSTAWKA po planszy 30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3175"/>
        <w:gridCol w:w="680"/>
        <w:gridCol w:w="680"/>
        <w:gridCol w:w="1757"/>
      </w:tblGrid>
      <w:tr>
        <w:tc>
          <w:tcPr>
            <w:tcW w:type="dxa" w:w="1928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Miejsce cięcia</w:t>
            </w:r>
          </w:p>
        </w:tc>
        <w:tc>
          <w:tcPr>
            <w:tcW w:type="dxa" w:w="124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Rodzaj</w:t>
            </w:r>
          </w:p>
        </w:tc>
        <w:tc>
          <w:tcPr>
            <w:tcW w:type="dxa" w:w="3175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Powód (ustalenie audytu)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Słów</w:t>
            </w:r>
          </w:p>
        </w:tc>
        <w:tc>
          <w:tcPr>
            <w:tcW w:type="dxa" w:w="68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Czas</w:t>
            </w:r>
          </w:p>
        </w:tc>
        <w:tc>
          <w:tcPr>
            <w:tcW w:type="dxa" w:w="1757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Plik</w:t>
            </w:r>
          </w:p>
        </w:tc>
      </w:tr>
      <w:tr>
        <w:tc>
          <w:tcPr>
            <w:tcW w:type="dxa" w:w="1928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bezpośrednio po planszy 30</w:t>
            </w:r>
          </w:p>
        </w:tc>
        <w:tc>
          <w:tcPr>
            <w:tcW w:type="dxa" w:w="124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WSTAWKA</w:t>
            </w:r>
          </w:p>
        </w:tc>
        <w:tc>
          <w:tcPr>
            <w:tcW w:type="dxa" w:w="3175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Ustalenie C1 — kalendarz ewaluacji bez podstawy druku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51</w:t>
            </w:r>
          </w:p>
        </w:tc>
        <w:tc>
          <w:tcPr>
            <w:tcW w:type="dxa" w:w="68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30 s</w:t>
            </w:r>
          </w:p>
        </w:tc>
        <w:tc>
          <w:tcPr>
            <w:tcW w:type="dxa" w:w="1757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6"/>
              </w:rPr>
              <w:t>M6_dogrywka_2.wav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Borders>
          <w:top w:val="single" w:sz="2" w:color="F2F0F7"/>
          <w:left w:val="single" w:sz="18" w:color="0B4F9E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FF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20" w:line="264" w:lineRule="auto"/>
            </w:pPr>
            <w:r>
              <w:rPr>
                <w:rFonts w:ascii="Arial" w:hAnsi="Arial" w:cs="Arial" w:eastAsia="Arial"/>
                <w:b/>
                <w:i w:val="0"/>
                <w:color w:val="0B4F9E"/>
                <w:sz w:val="16"/>
              </w:rPr>
              <w:t>TEKST DO PRZECZYTANIA</w:t>
            </w:r>
          </w:p>
          <w:p>
            <w:pPr>
              <w:spacing w:before="0" w:after="0" w:line="32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23"/>
              </w:rPr>
              <w:t>I podstawa tego ostatniego druku, bo w pierwszej wersji jej nie podałam. Wzór informacji o gotowości dziecka do podjęcia nauki w szkole podstawowej określa rozporządzenie Ministra Edukacji i Nauki z siódmego czerwca dwa tysiące dwudziestego trzeciego roku w sprawie świadectw, dyplomów państwowych i innych druków, Dziennik Ustaw pozycja tysiąc sto dwadzieścia.</w:t>
            </w:r>
          </w:p>
        </w:tc>
      </w:tr>
    </w:tbl>
    <w:p>
      <w:pPr>
        <w:spacing w:before="0" w:after="120" w:line="264" w:lineRule="auto"/>
      </w:pPr>
    </w:p>
    <w:p>
      <w:pPr>
        <w:spacing w:before="40" w:after="80" w:line="264" w:lineRule="auto"/>
      </w:pPr>
      <w:r>
        <w:rPr>
          <w:rFonts w:ascii="Arial" w:hAnsi="Arial" w:cs="Arial" w:eastAsia="Arial"/>
          <w:b/>
          <w:i w:val="0"/>
          <w:color w:val="E8450A"/>
          <w:sz w:val="16"/>
        </w:rPr>
        <w:t>PLANSZA DO WYŚWIETLENIA W CZASIE TEJ WSTAWKI</w:t>
      </w:r>
    </w:p>
    <w:p>
      <w:pPr>
        <w:spacing w:before="0" w:after="80" w:line="264" w:lineRule="auto"/>
        <w:ind w:left="227"/>
      </w:pPr>
      <w:r>
        <w:rPr>
          <w:rFonts w:ascii="Arial" w:hAnsi="Arial" w:cs="Arial" w:eastAsia="Arial"/>
          <w:b/>
          <w:i w:val="0"/>
          <w:color w:val="2D1B69"/>
          <w:sz w:val="19"/>
        </w:rPr>
        <w:t>INFORMACJA O GOTOWOŚCI SZKOLNEJ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wzór: Dz.U. 2023 poz. 1120</w:t>
      </w:r>
    </w:p>
    <w:p>
      <w:pPr>
        <w:spacing w:before="0" w:after="40" w:line="264" w:lineRule="auto"/>
        <w:ind w:left="227"/>
      </w:pPr>
      <w:r>
        <w:rPr>
          <w:rFonts w:ascii="Arial" w:hAnsi="Arial" w:cs="Arial" w:eastAsia="Arial"/>
          <w:b w:val="0"/>
          <w:i w:val="0"/>
          <w:color w:val="1A1A1A"/>
          <w:sz w:val="18"/>
        </w:rPr>
        <w:t>• termin: do końca kwietnia · jeden raz w roku</w:t>
      </w:r>
    </w:p>
    <w:p>
      <w:pPr>
        <w:spacing w:before="0" w:after="160" w:line="264" w:lineRule="auto"/>
      </w:pPr>
    </w:p>
    <w:p>
      <w:pPr>
        <w:spacing w:after="0"/>
      </w:pPr>
      <w:r>
        <w:br w:type="page"/>
      </w:r>
    </w:p>
    <w:p>
      <w:pPr>
        <w:shd w:val="clear" w:color="auto" w:fill="F2F0F7"/>
        <w:spacing w:before="120" w:after="160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  PLANSZE  </w:t>
      </w:r>
      <w:r>
        <w:rPr>
          <w:rFonts w:ascii="Arial" w:hAnsi="Arial" w:cs="Arial" w:eastAsia="Arial"/>
          <w:b/>
          <w:i w:val="0"/>
          <w:color w:val="2D1B69"/>
          <w:sz w:val="26"/>
        </w:rPr>
        <w:t xml:space="preserve">   Wykaz plansz do wymiany — zmiana wyłącznie graficzna</w:t>
      </w:r>
    </w:p>
    <w:p>
      <w:pPr>
        <w:spacing w:before="0" w:after="160" w:line="264" w:lineRule="auto"/>
      </w:pPr>
      <w:r>
        <w:rPr>
          <w:rFonts w:ascii="Arial" w:hAnsi="Arial" w:cs="Arial" w:eastAsia="Arial"/>
          <w:b w:val="0"/>
          <w:i w:val="0"/>
          <w:color w:val="1A1A1A"/>
          <w:sz w:val="20"/>
        </w:rPr>
        <w:t>Poniższe plansze zawierają podstawę prawną i wymagają korekty. Ścieżka dźwiękowa w tych miejscach pozostaje bez zmian — plansza jest wyświetlana pod istniejącą narracją.</w:t>
      </w:r>
    </w:p>
    <w:tbl>
      <w:tblPr>
        <w:tblW w:type="dxa" w:w="9468"/>
        <w:jc w:val="left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2494"/>
        <w:gridCol w:w="5953"/>
      </w:tblGrid>
      <w:tr>
        <w:tc>
          <w:tcPr>
            <w:tcW w:type="dxa" w:w="1020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Moduł</w:t>
            </w:r>
          </w:p>
        </w:tc>
        <w:tc>
          <w:tcPr>
            <w:tcW w:type="dxa" w:w="2494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Plansza</w:t>
            </w:r>
          </w:p>
        </w:tc>
        <w:tc>
          <w:tcPr>
            <w:tcW w:type="dxa" w:w="5953"/>
            <w:shd w:val="clear" w:color="auto" w:fill="2D1B69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Co poprawić</w:t>
            </w:r>
          </w:p>
        </w:tc>
      </w:tr>
      <w:tr>
        <w:tc>
          <w:tcPr>
            <w:tcW w:type="dxa" w:w="102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M1</w:t>
            </w:r>
          </w:p>
        </w:tc>
        <w:tc>
          <w:tcPr>
            <w:tcW w:type="dxa" w:w="249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plansza „PODSTAWA PRAWNA CZĘŚCI”</w:t>
            </w:r>
          </w:p>
        </w:tc>
        <w:tc>
          <w:tcPr>
            <w:tcW w:type="dxa" w:w="5953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Dopisać dwie pozycje: rozporządzenie o świadectwach (Dz.U. 2023 poz. 1120) oraz rozporządzenie o organizacji przedszkoli (t.j. Dz.U. 2023 poz. 2736, z późn. zm.). Przy podstawie programowej dopisać „zm. Dz.U. 2026 poz. 958 — nie dotyczy zał. nr 1”. Przy rozporządzeniu o orzekaniu dopisać „obowiązuje od 14.04.2026; uchyliło t.j. Dz.U. 2023 poz. 2061”.</w:t>
            </w:r>
          </w:p>
        </w:tc>
      </w:tr>
      <w:tr>
        <w:tc>
          <w:tcPr>
            <w:tcW w:type="dxa" w:w="1020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M3</w:t>
            </w:r>
          </w:p>
        </w:tc>
        <w:tc>
          <w:tcPr>
            <w:tcW w:type="dxa" w:w="249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plansza „PODSTAWA PRAWNA CZĘŚCI”</w:t>
            </w:r>
          </w:p>
        </w:tc>
        <w:tc>
          <w:tcPr>
            <w:tcW w:type="dxa" w:w="5953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Dopisać pozycję o podawaniu leków: brak podstawy ustawowej dla przedszkola; ustawa o opiece zdrowotnej nad uczniami (Dz.U. 2019 poz. 1078) dotyczy uczniów; podstawą jest upoważnienie rodziców, pisemna zgoda nauczyciela i procedura dyrektora.</w:t>
            </w:r>
          </w:p>
        </w:tc>
      </w:tr>
      <w:tr>
        <w:tc>
          <w:tcPr>
            <w:tcW w:type="dxa" w:w="102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M4</w:t>
            </w:r>
          </w:p>
        </w:tc>
        <w:tc>
          <w:tcPr>
            <w:tcW w:type="dxa" w:w="249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plansza „PODSTAWA PRAWNA CZĘŚCI”</w:t>
            </w:r>
          </w:p>
        </w:tc>
        <w:tc>
          <w:tcPr>
            <w:tcW w:type="dxa" w:w="5953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Rozdzielić dotychczasową pozycję na dwie: rozporządzenie o dokumentacji — arkusze obserwacji; podstawa programowa (Dz.U. 2026 poz. 378) — obowiązek obserwacji i analizy gotowości. Dodać wzór informacji o gotowości (Dz.U. 2023 poz. 1120).</w:t>
            </w:r>
          </w:p>
        </w:tc>
      </w:tr>
      <w:tr>
        <w:tc>
          <w:tcPr>
            <w:tcW w:type="dxa" w:w="1020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M6</w:t>
            </w:r>
          </w:p>
        </w:tc>
        <w:tc>
          <w:tcPr>
            <w:tcW w:type="dxa" w:w="2494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plansza „PODSTAWA PRAWNA CZĘŚCI”</w:t>
            </w:r>
          </w:p>
        </w:tc>
        <w:tc>
          <w:tcPr>
            <w:tcW w:type="dxa" w:w="5953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Zamienić „ust. 9–11 (ocena co najmniej dwa razy w roku, prawa rodziców)” na „§ 6 rozporządzenia — ocena co najmniej dwa razy w roku szkolnym oraz prawa rodziców do udziału, zawiadomienia i kopii; numerację ustępów sprawdzić w ogłoszonym tekście jednolitym”.</w:t>
            </w:r>
          </w:p>
        </w:tc>
      </w:tr>
      <w:tr>
        <w:tc>
          <w:tcPr>
            <w:tcW w:type="dxa" w:w="1020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/>
                <w:i w:val="0"/>
                <w:color w:val="1A1A1A"/>
                <w:sz w:val="17"/>
              </w:rPr>
              <w:t>DODATEK</w:t>
            </w:r>
          </w:p>
        </w:tc>
        <w:tc>
          <w:tcPr>
            <w:tcW w:type="dxa" w:w="2494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plansza / tabela „Kalendarz dokumentacji na rok szkolny”</w:t>
            </w:r>
          </w:p>
        </w:tc>
        <w:tc>
          <w:tcPr>
            <w:tcW w:type="dxa" w:w="5953"/>
            <w:shd w:val="clear" w:color="auto" w:fill="F7F6F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 w:line="250" w:lineRule="auto"/>
            </w:pPr>
            <w:r>
              <w:rPr>
                <w:rFonts w:ascii="Arial" w:hAnsi="Arial" w:cs="Arial" w:eastAsia="Arial"/>
                <w:b w:val="0"/>
                <w:i w:val="0"/>
                <w:color w:val="1A1A1A"/>
                <w:sz w:val="17"/>
              </w:rPr>
              <w:t>W wierszu „do końca kwietnia” przy dokumencie „Informacja o gotowości szkolnej” dopisać podstawę wzoru: Dz.U. 2023 poz. 1120.</w:t>
            </w:r>
          </w:p>
        </w:tc>
      </w:tr>
    </w:tbl>
    <w:p>
      <w:pPr>
        <w:spacing w:before="0" w:after="120" w:line="264" w:lineRule="auto"/>
      </w:pPr>
    </w:p>
    <w:p>
      <w:pPr>
        <w:keepNext/>
        <w:spacing w:before="240" w:after="120" w:line="264" w:lineRule="auto"/>
      </w:pPr>
      <w:r>
        <w:rPr>
          <w:rFonts w:ascii="Arial" w:hAnsi="Arial" w:cs="Arial" w:eastAsia="Arial"/>
          <w:b/>
          <w:i w:val="0"/>
          <w:color w:val="2D1B69"/>
          <w:sz w:val="23"/>
        </w:rPr>
        <w:t>Kolejność prac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1.  </w:t>
      </w:r>
      <w:r>
        <w:rPr>
          <w:rFonts w:ascii="Arial" w:hAnsi="Arial" w:cs="Arial" w:eastAsia="Arial"/>
          <w:b/>
          <w:i w:val="0"/>
          <w:color w:val="1A1A1A"/>
          <w:sz w:val="20"/>
        </w:rPr>
        <w:t>Wymiana plansz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— pięć pozycji z wykazu powyżej. Można wykonać od razu, niezależnie od nagrań.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2.  </w:t>
      </w:r>
      <w:r>
        <w:rPr>
          <w:rFonts w:ascii="Arial" w:hAnsi="Arial" w:cs="Arial" w:eastAsia="Arial"/>
          <w:b/>
          <w:i w:val="0"/>
          <w:color w:val="1A1A1A"/>
          <w:sz w:val="20"/>
        </w:rPr>
        <w:t>Nagranie dziewięciu dogrywek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— łącznie około czterech minut materiału. Warto nagrać je jednym ciągiem, w tych samych warunkach akustycznych co oryginał.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3.  </w:t>
      </w:r>
      <w:r>
        <w:rPr>
          <w:rFonts w:ascii="Arial" w:hAnsi="Arial" w:cs="Arial" w:eastAsia="Arial"/>
          <w:b/>
          <w:i w:val="0"/>
          <w:color w:val="1A1A1A"/>
          <w:sz w:val="20"/>
        </w:rPr>
        <w:t>Montaż wstawek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— w kolejności modułów, od M1 do M6. Po każdej wstawce sprawdzić płynność przejścia; wszystkie wstawki zaczynają się zdaniem wprowadzającym, więc nie powinny brzmieć jak sklejka.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4.  </w:t>
      </w:r>
      <w:r>
        <w:rPr>
          <w:rFonts w:ascii="Arial" w:hAnsi="Arial" w:cs="Arial" w:eastAsia="Arial"/>
          <w:b/>
          <w:i w:val="0"/>
          <w:color w:val="1A1A1A"/>
          <w:sz w:val="20"/>
        </w:rPr>
        <w:t>Aktualizacja spisu części w skrypcie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— nowe czasy modułów z tabeli zestawienia.</w:t>
      </w:r>
    </w:p>
    <w:p>
      <w:pPr>
        <w:spacing w:before="0" w:after="100"/>
        <w:ind w:left="454" w:hanging="454"/>
      </w:pPr>
      <w:r>
        <w:rPr>
          <w:rFonts w:ascii="Arial" w:hAnsi="Arial" w:cs="Arial" w:eastAsia="Arial"/>
          <w:b/>
          <w:i w:val="0"/>
          <w:color w:val="E8450A"/>
          <w:sz w:val="20"/>
        </w:rPr>
        <w:t xml:space="preserve">5.  </w:t>
      </w:r>
      <w:r>
        <w:rPr>
          <w:rFonts w:ascii="Arial" w:hAnsi="Arial" w:cs="Arial" w:eastAsia="Arial"/>
          <w:b/>
          <w:i w:val="0"/>
          <w:color w:val="1A1A1A"/>
          <w:sz w:val="20"/>
        </w:rPr>
        <w:t>Aktualizacja napisów</w:t>
      </w:r>
      <w:r>
        <w:rPr>
          <w:rFonts w:ascii="Arial" w:hAnsi="Arial" w:cs="Arial" w:eastAsia="Arial"/>
          <w:b w:val="0"/>
          <w:i w:val="0"/>
          <w:color w:val="1A1A1A"/>
          <w:sz w:val="20"/>
        </w:rPr>
        <w:t xml:space="preserve"> (jeżeli film ma napisy) — tekst wstawek jest gotowy do wklejenia w pliku towarzyszącym „dogrywki-narracja.txt”.</w:t>
      </w:r>
    </w:p>
    <w:tbl>
      <w:tblPr>
        <w:tblW w:type="auto" w:w="0"/>
        <w:jc w:val="left"/>
        <w:tblBorders>
          <w:top w:val="single" w:sz="2" w:color="F2F0F7"/>
          <w:left w:val="single" w:sz="18" w:color="E8450A"/>
          <w:bottom w:val="single" w:sz="2" w:color="F2F0F7"/>
          <w:right w:val="single" w:sz="2" w:color="F2F0F7"/>
          <w:insideH w:val="none" w:sz="0" w:color="F2F0F7"/>
          <w:insideV w:val="none" w:sz="0" w:color="F2F0F7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0F7"/>
            <w:tcMar>
              <w:top w:w="140" w:type="dxa"/>
              <w:left w:w="200" w:type="dxa"/>
              <w:bottom w:w="140" w:type="dxa"/>
              <w:right w:w="180" w:type="dxa"/>
            </w:tcMar>
          </w:tcPr>
          <w:p>
            <w:pPr>
              <w:spacing w:before="0" w:after="100" w:line="264" w:lineRule="auto"/>
            </w:pPr>
            <w:r>
              <w:rPr>
                <w:rFonts w:ascii="Arial" w:hAnsi="Arial" w:cs="Arial" w:eastAsia="Arial"/>
                <w:b/>
                <w:i w:val="0"/>
                <w:color w:val="E8450A"/>
                <w:sz w:val="17"/>
              </w:rPr>
              <w:t>DWIE UWAGI NA KONIEC</w:t>
            </w:r>
          </w:p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/>
                <w:i w:val="0"/>
                <w:color w:val="E8450A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Czego ta karta NIE zmienia: żadnego już nagranego zdania. Audyt nie zakwestionował ani jednej tezy wypowiedzianej w filmie — wszystkie dziewięć dogrywek to uzupełnienia i doprecyzowania.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E8450A"/>
                <w:sz w:val="18"/>
              </w:rPr>
              <w:t xml:space="preserve">· 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18"/>
              </w:rPr>
              <w:t>Gdyby zdecydowała się Pani nagrać tylko część: najważniejsze są dogrywki M3 · 2 (podawanie leków — dotyczy bezpieczeństwa nauczyciela) oraz M1 · 4 (dwa brakujące akty — bez nich informacja o gotowości nie ma podstawy). Reszta to precyzja, nie ryzyko.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6D1E4"/>
      </w:pBdr>
      <w:spacing w:before="60"/>
      <w:jc w:val="center"/>
    </w:pPr>
    <w:r>
      <w:rPr>
        <w:rFonts w:ascii="Arial" w:hAnsi="Arial" w:cs="Arial" w:eastAsia="Arial"/>
        <w:b w:val="0"/>
        <w:i w:val="0"/>
        <w:color w:val="8A8A8A"/>
        <w:sz w:val="15"/>
      </w:rPr>
      <w:t xml:space="preserve">Strona </w:t>
    </w:r>
    <w:fldSimple w:instr="PAGE"/>
    <w:r>
      <w:rPr>
        <w:rFonts w:ascii="Arial" w:hAnsi="Arial" w:cs="Arial" w:eastAsia="Arial"/>
        <w:b w:val="0"/>
        <w:i w:val="0"/>
        <w:color w:val="8A8A8A"/>
        <w:sz w:val="15"/>
      </w:rPr>
      <w:t xml:space="preserve"> z </w:t>
    </w:r>
    <w:fldSimple w:instr="NUMPAGES"/>
    <w:r>
      <w:rPr>
        <w:rFonts w:ascii="Arial" w:hAnsi="Arial" w:cs="Arial" w:eastAsia="Arial"/>
        <w:b w:val="0"/>
        <w:i w:val="0"/>
        <w:color w:val="8A8A8A"/>
        <w:sz w:val="15"/>
      </w:rPr>
      <w:t xml:space="preserve"> · karta dogrywek · materiał filmowy przedszkole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6D1E4"/>
      </w:pBdr>
      <w:spacing w:after="60"/>
    </w:pPr>
    <w:r>
      <w:rPr>
        <w:rFonts w:ascii="Arial" w:hAnsi="Arial" w:cs="Arial" w:eastAsia="Arial"/>
        <w:b/>
        <w:i w:val="0"/>
        <w:color w:val="E8450A"/>
        <w:sz w:val="15"/>
      </w:rPr>
      <w:t>PCTP · EduPlaner 2026</w:t>
    </w:r>
    <w:r>
      <w:rPr>
        <w:rFonts w:ascii="Arial" w:hAnsi="Arial" w:cs="Arial" w:eastAsia="Arial"/>
        <w:b w:val="0"/>
        <w:i w:val="0"/>
        <w:color w:val="8A8A8A"/>
        <w:sz w:val="15"/>
      </w:rPr>
      <w:t xml:space="preserve">     Karta dogrywek do materiału filmowego · przedszkole · po audycie z 5 września 2026 r.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