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Arial" w:hAnsi="Arial" w:cs="Arial" w:eastAsia="Arial"/>
          <w:b/>
          <w:i w:val="0"/>
          <w:color w:val="E8450A"/>
          <w:sz w:val="18"/>
        </w:rPr>
        <w:t>EDUPLANER 2026 · PCTP · STRAŻNIK PRAWA</w:t>
      </w:r>
    </w:p>
    <w:p>
      <w:pPr>
        <w:spacing w:before="0" w:after="40" w:line="264" w:lineRule="auto"/>
      </w:pPr>
      <w:r>
        <w:rPr>
          <w:rFonts w:ascii="Arial" w:hAnsi="Arial" w:cs="Arial" w:eastAsia="Arial"/>
          <w:b/>
          <w:i w:val="0"/>
          <w:color w:val="2D1B69"/>
          <w:sz w:val="52"/>
        </w:rPr>
        <w:t>Raport Strażnika Prawa</w:t>
      </w:r>
    </w:p>
    <w:p>
      <w:pPr>
        <w:spacing w:before="0" w:after="160" w:line="264" w:lineRule="auto"/>
      </w:pPr>
      <w:r>
        <w:rPr>
          <w:rFonts w:ascii="Arial" w:hAnsi="Arial" w:cs="Arial" w:eastAsia="Arial"/>
          <w:b/>
          <w:i w:val="0"/>
          <w:color w:val="2D1B69"/>
          <w:sz w:val="26"/>
        </w:rPr>
        <w:t>Audyt podstaw prawnych skryptu dla nauczycieli — przedszkole</w:t>
      </w:r>
    </w:p>
    <w:p>
      <w:pPr>
        <w:spacing w:before="0" w:after="40" w:line="264" w:lineRule="auto"/>
      </w:pPr>
      <w:r>
        <w:rPr>
          <w:rFonts w:ascii="Arial" w:hAnsi="Arial" w:cs="Arial" w:eastAsia="Arial"/>
          <w:b w:val="0"/>
          <w:i w:val="0"/>
          <w:color w:val="1A1A1A"/>
          <w:sz w:val="20"/>
        </w:rPr>
        <w:t>Przedmiot: „Skrypt dla nauczycieli. Transkrypcja filmu · podstawy prawne · sposób przygotowania dokumentów”, dokumentacja przedszkolna, rok szkolny 2026/2027, sześć części, 53 minuty 57 sekund.</w:t>
      </w:r>
    </w:p>
    <w:p>
      <w:pPr>
        <w:spacing w:before="0" w:after="200" w:line="264" w:lineRule="auto"/>
      </w:pPr>
      <w:r>
        <w:rPr>
          <w:rFonts w:ascii="Arial" w:hAnsi="Arial" w:cs="Arial" w:eastAsia="Arial"/>
          <w:b w:val="0"/>
          <w:i w:val="0"/>
          <w:color w:val="8A8A8A"/>
          <w:sz w:val="20"/>
        </w:rPr>
        <w:t>Data audytu: 5 września 2026 r.   ·   Metoda: ta sama, którą zastosowano do skryptu szkolnego.</w:t>
      </w:r>
    </w:p>
    <w:p>
      <w:pPr>
        <w:pBdr>
          <w:bottom w:val="single" w:sz="4" w:space="2" w:color="D6D1E4"/>
        </w:pBdr>
        <w:spacing w:before="40" w:after="160"/>
      </w:pPr>
    </w:p>
    <w:tbl>
      <w:tblPr>
        <w:tblW w:type="auto" w:w="0"/>
        <w:jc w:val="left"/>
        <w:tblBorders>
          <w:top w:val="single" w:sz="2" w:color="F2F0F7"/>
          <w:left w:val="single" w:sz="18" w:color="2D1B69"/>
          <w:bottom w:val="single" w:sz="2" w:color="F2F0F7"/>
          <w:right w:val="single" w:sz="2" w:color="F2F0F7"/>
          <w:insideH w:val="none" w:sz="0" w:color="F2F0F7"/>
          <w:insideV w:val="none" w:sz="0" w:color="F2F0F7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0F7"/>
            <w:tcMar>
              <w:top w:w="140" w:type="dxa"/>
              <w:left w:w="200" w:type="dxa"/>
              <w:bottom w:w="140" w:type="dxa"/>
              <w:right w:w="180" w:type="dxa"/>
            </w:tcMar>
          </w:tcPr>
          <w:p>
            <w:pPr>
              <w:spacing w:before="0" w:after="100" w:line="264" w:lineRule="auto"/>
            </w:pPr>
            <w:r>
              <w:rPr>
                <w:rFonts w:ascii="Arial" w:hAnsi="Arial" w:cs="Arial" w:eastAsia="Arial"/>
                <w:b/>
                <w:i w:val="0"/>
                <w:color w:val="2D1B69"/>
                <w:sz w:val="17"/>
              </w:rPr>
              <w:t>WYNIK W CZTERECH ZDANIACH</w:t>
            </w:r>
          </w:p>
          <w:p>
            <w:pPr>
              <w:spacing w:before="0" w:after="80" w:line="264" w:lineRule="auto"/>
            </w:pPr>
            <w:r>
              <w:rPr>
                <w:rFonts w:ascii="Arial" w:hAnsi="Arial" w:cs="Arial" w:eastAsia="Arial"/>
                <w:b/>
                <w:i w:val="0"/>
                <w:color w:val="2D1B69"/>
                <w:sz w:val="18"/>
              </w:rPr>
              <w:t xml:space="preserve">· 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18"/>
              </w:rPr>
              <w:t xml:space="preserve">Skrypt przedszkolny przeszedł audyt w stanie znacznie lepszym niż szkolny. </w:t>
            </w:r>
            <w:r>
              <w:rPr>
                <w:rFonts w:ascii="Arial" w:hAnsi="Arial" w:cs="Arial" w:eastAsia="Arial"/>
                <w:b/>
                <w:i w:val="0"/>
                <w:color w:val="0B4F9E"/>
                <w:sz w:val="18"/>
              </w:rPr>
              <w:t>Nie zawiera ani jednego nieaktualnego publikatora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18"/>
              </w:rPr>
              <w:t xml:space="preserve"> — wszystkie sześć cytowanych aktów wskazano w obowiązujących tekstach jednolitych albo w aktualnym publikatorze pierwotnym.</w:t>
            </w:r>
          </w:p>
          <w:p>
            <w:pPr>
              <w:spacing w:before="0" w:after="80" w:line="264" w:lineRule="auto"/>
            </w:pPr>
            <w:r>
              <w:rPr>
                <w:rFonts w:ascii="Arial" w:hAnsi="Arial" w:cs="Arial" w:eastAsia="Arial"/>
                <w:b/>
                <w:i w:val="0"/>
                <w:color w:val="2D1B69"/>
                <w:sz w:val="18"/>
              </w:rPr>
              <w:t xml:space="preserve">· 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18"/>
              </w:rPr>
              <w:t>Nie powtórzyły się w nim żadne z pięciu błędów wykrytych w skrypcie szkolnym. Powód jest prosty: skrypt przedszkolny nie wchodzi w te obszary (ocenianie, egzamin, nauczyciel współorganizujący, finansowanie), w których szkolny się pomylił.</w:t>
            </w:r>
          </w:p>
          <w:p>
            <w:pPr>
              <w:spacing w:before="0" w:after="80" w:line="264" w:lineRule="auto"/>
            </w:pPr>
            <w:r>
              <w:rPr>
                <w:rFonts w:ascii="Arial" w:hAnsi="Arial" w:cs="Arial" w:eastAsia="Arial"/>
                <w:b/>
                <w:i w:val="0"/>
                <w:color w:val="2D1B69"/>
                <w:sz w:val="18"/>
              </w:rPr>
              <w:t xml:space="preserve">· 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18"/>
              </w:rPr>
              <w:t xml:space="preserve">Audyt wykrył natomiast </w:t>
            </w:r>
            <w:r>
              <w:rPr>
                <w:rFonts w:ascii="Arial" w:hAnsi="Arial" w:cs="Arial" w:eastAsia="Arial"/>
                <w:b/>
                <w:i w:val="0"/>
                <w:color w:val="0B4F9E"/>
                <w:sz w:val="18"/>
              </w:rPr>
              <w:t>cztery sprostowania merytoryczne i pięć luk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18"/>
              </w:rPr>
              <w:t xml:space="preserve"> — miejsc, w których skrypt wymaga dokumentu albo czynności, nie podając jej podstawy prawnej.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2D1B69"/>
                <w:sz w:val="18"/>
              </w:rPr>
              <w:t xml:space="preserve">· 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18"/>
              </w:rPr>
              <w:t>Nie znaleziono w skrypcie żadnego z trzech „krytycznych rozjazdów” odnotowanych w rejestrze placówki (Dz.U. 2023 poz. 2029 — prawo geologiczne i górnicze; Dz.U. 2024 poz. 1640 — ERTMS kolejowy; Dz.U. 2026 poz. 770). Do skryptu nie przeniknęły.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240" w:after="120" w:line="264" w:lineRule="auto"/>
      </w:pPr>
      <w:r>
        <w:rPr>
          <w:rFonts w:ascii="Arial" w:hAnsi="Arial" w:cs="Arial" w:eastAsia="Arial"/>
          <w:b/>
          <w:i w:val="0"/>
          <w:color w:val="2D1B69"/>
          <w:sz w:val="23"/>
        </w:rPr>
        <w:t>Zestawienie ilościowe</w:t>
      </w:r>
    </w:p>
    <w:tbl>
      <w:tblPr>
        <w:tblW w:type="dxa" w:w="9468"/>
        <w:jc w:val="left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  <w:tblLayout w:type="fixed"/>
        <w:tblLook w:firstColumn="1" w:firstRow="1" w:lastColumn="0" w:lastRow="0" w:noHBand="0" w:noVBand="1" w:val="04A0"/>
      </w:tblPr>
      <w:tblGrid>
        <w:gridCol w:w="3515"/>
        <w:gridCol w:w="2608"/>
        <w:gridCol w:w="3345"/>
      </w:tblGrid>
      <w:tr>
        <w:tc>
          <w:tcPr>
            <w:tcW w:type="dxa" w:w="3515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Kategoria</w:t>
            </w:r>
          </w:p>
        </w:tc>
        <w:tc>
          <w:tcPr>
            <w:tcW w:type="dxa" w:w="2608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Skrypt przedszkolny</w:t>
            </w:r>
          </w:p>
        </w:tc>
        <w:tc>
          <w:tcPr>
            <w:tcW w:type="dxa" w:w="3345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Skrypt szkolny (dla porównania)</w:t>
            </w:r>
          </w:p>
        </w:tc>
      </w:tr>
      <w:tr>
        <w:tc>
          <w:tcPr>
            <w:tcW w:type="dxa" w:w="3515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7"/>
              </w:rPr>
              <w:t>Cytowane akty prawne</w:t>
            </w:r>
          </w:p>
        </w:tc>
        <w:tc>
          <w:tcPr>
            <w:tcW w:type="dxa" w:w="2608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6 + RODO + ICF</w:t>
            </w:r>
          </w:p>
        </w:tc>
        <w:tc>
          <w:tcPr>
            <w:tcW w:type="dxa" w:w="3345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12 + RODO + ICF + komunikat CKE</w:t>
            </w:r>
          </w:p>
        </w:tc>
      </w:tr>
      <w:tr>
        <w:tc>
          <w:tcPr>
            <w:tcW w:type="dxa" w:w="3515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7"/>
              </w:rPr>
              <w:t>Nieaktualne publikatory</w:t>
            </w:r>
          </w:p>
        </w:tc>
        <w:tc>
          <w:tcPr>
            <w:tcW w:type="dxa" w:w="2608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7"/>
              </w:rPr>
              <w:t>0</w:t>
            </w:r>
          </w:p>
        </w:tc>
        <w:tc>
          <w:tcPr>
            <w:tcW w:type="dxa" w:w="3345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3 (ocenianie, nauczanie indywidualne, finansowanie)</w:t>
            </w:r>
          </w:p>
        </w:tc>
      </w:tr>
      <w:tr>
        <w:tc>
          <w:tcPr>
            <w:tcW w:type="dxa" w:w="3515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7"/>
              </w:rPr>
              <w:t>Błędy merytoryczne w treści przepisu</w:t>
            </w:r>
          </w:p>
        </w:tc>
        <w:tc>
          <w:tcPr>
            <w:tcW w:type="dxa" w:w="2608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7"/>
              </w:rPr>
              <w:t>0</w:t>
            </w:r>
          </w:p>
        </w:tc>
        <w:tc>
          <w:tcPr>
            <w:tcW w:type="dxa" w:w="3345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2 (nauczyciel współorganizujący, art. 8 ust. 16–17)</w:t>
            </w:r>
          </w:p>
        </w:tc>
      </w:tr>
      <w:tr>
        <w:tc>
          <w:tcPr>
            <w:tcW w:type="dxa" w:w="3515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7"/>
              </w:rPr>
              <w:t>Sprostowania merytoryczne (nieścisłości)</w:t>
            </w:r>
          </w:p>
        </w:tc>
        <w:tc>
          <w:tcPr>
            <w:tcW w:type="dxa" w:w="2608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4</w:t>
            </w:r>
          </w:p>
        </w:tc>
        <w:tc>
          <w:tcPr>
            <w:tcW w:type="dxa" w:w="3345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515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7"/>
              </w:rPr>
              <w:t>Luki — czynność bez wskazanej podstawy</w:t>
            </w:r>
          </w:p>
        </w:tc>
        <w:tc>
          <w:tcPr>
            <w:tcW w:type="dxa" w:w="2608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5</w:t>
            </w:r>
          </w:p>
        </w:tc>
        <w:tc>
          <w:tcPr>
            <w:tcW w:type="dxa" w:w="3345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1 (podstawa programowa)</w:t>
            </w:r>
          </w:p>
        </w:tc>
      </w:tr>
      <w:tr>
        <w:tc>
          <w:tcPr>
            <w:tcW w:type="dxa" w:w="3515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7"/>
              </w:rPr>
              <w:t>Druki bez podstawy w rozporządzeniu, opisane uczciwie</w:t>
            </w:r>
          </w:p>
        </w:tc>
        <w:tc>
          <w:tcPr>
            <w:tcW w:type="dxa" w:w="2608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7"/>
              </w:rPr>
              <w:t>1 — metryczka</w:t>
            </w:r>
          </w:p>
        </w:tc>
        <w:tc>
          <w:tcPr>
            <w:tcW w:type="dxa" w:w="3345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2 (metryczka, PWES)</w:t>
            </w:r>
          </w:p>
        </w:tc>
      </w:tr>
      <w:tr>
        <w:tc>
          <w:tcPr>
            <w:tcW w:type="dxa" w:w="3515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7"/>
              </w:rPr>
              <w:t>Rozjazdy z rejestru placówki obecne w dokumencie</w:t>
            </w:r>
          </w:p>
        </w:tc>
        <w:tc>
          <w:tcPr>
            <w:tcW w:type="dxa" w:w="2608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7"/>
              </w:rPr>
              <w:t>0</w:t>
            </w:r>
          </w:p>
        </w:tc>
        <w:tc>
          <w:tcPr>
            <w:tcW w:type="dxa" w:w="3345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0</w:t>
            </w:r>
          </w:p>
        </w:tc>
      </w:tr>
    </w:tbl>
    <w:p>
      <w:pPr>
        <w:spacing w:before="0" w:after="120" w:line="264" w:lineRule="auto"/>
      </w:pPr>
    </w:p>
    <w:p>
      <w:pPr>
        <w:spacing w:after="0"/>
      </w:pPr>
      <w:r>
        <w:br w:type="page"/>
      </w:r>
    </w:p>
    <w:p>
      <w:pPr>
        <w:shd w:val="clear" w:color="auto" w:fill="F2F0F7"/>
        <w:spacing w:before="120" w:after="160"/>
      </w:pPr>
      <w:r>
        <w:rPr>
          <w:rFonts w:ascii="Arial" w:hAnsi="Arial" w:cs="Arial" w:eastAsia="Arial"/>
          <w:b/>
          <w:i w:val="0"/>
          <w:color w:val="E8450A"/>
          <w:sz w:val="20"/>
        </w:rPr>
        <w:t xml:space="preserve">  CZĘŚĆ A  </w:t>
      </w:r>
      <w:r>
        <w:rPr>
          <w:rFonts w:ascii="Arial" w:hAnsi="Arial" w:cs="Arial" w:eastAsia="Arial"/>
          <w:b/>
          <w:i w:val="0"/>
          <w:color w:val="2D1B69"/>
          <w:sz w:val="26"/>
        </w:rPr>
        <w:t xml:space="preserve">   Sprostowania merytoryczne — cztery ustalenia</w:t>
      </w:r>
      <w:r>
        <w:rPr>
          <w:rFonts w:ascii="Arial" w:hAnsi="Arial" w:cs="Arial" w:eastAsia="Arial"/>
          <w:b/>
          <w:i w:val="0"/>
          <w:color w:val="E8450A"/>
          <w:sz w:val="20"/>
        </w:rPr>
        <w:t xml:space="preserve">   ·   naniesione na wydanie 2</w:t>
      </w:r>
    </w:p>
    <w:tbl>
      <w:tblPr>
        <w:tblW w:type="dxa" w:w="9468"/>
        <w:jc w:val="left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  <w:tblLayout w:type="fixed"/>
        <w:tblLook w:firstColumn="1" w:firstRow="1" w:lastColumn="0" w:lastRow="0" w:noHBand="0" w:noVBand="1" w:val="04A0"/>
      </w:tblPr>
      <w:tblGrid>
        <w:gridCol w:w="454"/>
        <w:gridCol w:w="1644"/>
        <w:gridCol w:w="2268"/>
        <w:gridCol w:w="2948"/>
        <w:gridCol w:w="2154"/>
      </w:tblGrid>
      <w:tr>
        <w:tc>
          <w:tcPr>
            <w:tcW w:type="dxa" w:w="454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644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Gdzie</w:t>
            </w:r>
          </w:p>
        </w:tc>
        <w:tc>
          <w:tcPr>
            <w:tcW w:type="dxa" w:w="2268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Zapis wydania 1</w:t>
            </w:r>
          </w:p>
        </w:tc>
        <w:tc>
          <w:tcPr>
            <w:tcW w:type="dxa" w:w="2948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Ustalenie audytu</w:t>
            </w:r>
          </w:p>
        </w:tc>
        <w:tc>
          <w:tcPr>
            <w:tcW w:type="dxa" w:w="2154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Co dopisano na niebiesko</w:t>
            </w:r>
          </w:p>
        </w:tc>
      </w:tr>
      <w:tr>
        <w:tc>
          <w:tcPr>
            <w:tcW w:type="dxa" w:w="454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5"/>
              </w:rPr>
              <w:t>A1</w:t>
            </w:r>
          </w:p>
        </w:tc>
        <w:tc>
          <w:tcPr>
            <w:tcW w:type="dxa" w:w="1644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Cz. 6 — podstawa prawna części</w:t>
            </w:r>
          </w:p>
        </w:tc>
        <w:tc>
          <w:tcPr>
            <w:tcW w:type="dxa" w:w="2268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„§ 6 rozporządzenia (…): ust. 1 pkt 1–8 (zawartość programu), ust. 4 (program po ocenie), ust. 9–11 (ocena co najmniej dwa razy w roku, prawa rodziców)”.</w:t>
            </w:r>
          </w:p>
        </w:tc>
        <w:tc>
          <w:tcPr>
            <w:tcW w:type="dxa" w:w="2948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Trzy wskazane ustępy obejmują cztery odrębne materie: okresową ocenę, prawo rodziców do udziału w spotkaniach, obowiązek pisemnego zawiadomienia o terminie oraz prawo do kopii oceny i programu. Numeracji nie udało się potwierdzić w ogłoszonym tekście — dostępne źródła wtórne podają rozbieżnie ust. 9 albo ust. 10 dla oceny okresowej. Audyt nie rozstrzyga tego domysłem.</w:t>
            </w:r>
          </w:p>
        </w:tc>
        <w:tc>
          <w:tcPr>
            <w:tcW w:type="dxa" w:w="2154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Uwaga redakcyjna: numerację sprawdzić w ogłoszonym tekście jednolitym; bezpieczny zapis w dokumencie dziecka to „§ 6 rozporządzenia” bez numeru ustępu.</w:t>
            </w:r>
          </w:p>
        </w:tc>
      </w:tr>
      <w:tr>
        <w:tc>
          <w:tcPr>
            <w:tcW w:type="dxa" w:w="454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5"/>
              </w:rPr>
              <w:t>A2</w:t>
            </w:r>
          </w:p>
        </w:tc>
        <w:tc>
          <w:tcPr>
            <w:tcW w:type="dxa" w:w="1644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Cz. 4 — podstawa prawna części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„Obserwacja pedagogiczna i analiza gotowości szkolnej — rozporządzenie o dokumentacji (t.j. Dz.U. 2024 poz. 50) jako dokumentacja badań i czynności uzupełniających”.</w:t>
            </w:r>
          </w:p>
        </w:tc>
        <w:tc>
          <w:tcPr>
            <w:tcW w:type="dxa" w:w="2948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Przypisanie częściowo błędne. Rozporządzenie o dokumentacji jest podstawą dla arkuszy obserwacji jako dokumentacji badań i czynności uzupełniających — i tu zapis jest trafny. Ale sam obowiązek prowadzenia obserwacji i przeprowadzenia analizy gotowości wynika z zadań przedszkola w podstawie programowej, a wzór informacji o gotowości — z rozporządzenia o świadectwach.</w:t>
            </w:r>
          </w:p>
        </w:tc>
        <w:tc>
          <w:tcPr>
            <w:tcW w:type="dxa" w:w="2154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Sprostowanie rozdzielające trzy podstawy: dokumentacja (arkusze), podstawa programowa (obowiązek), świadectwa (wzór druku).</w:t>
            </w:r>
          </w:p>
        </w:tc>
      </w:tr>
      <w:tr>
        <w:tc>
          <w:tcPr>
            <w:tcW w:type="dxa" w:w="454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5"/>
              </w:rPr>
              <w:t>A3</w:t>
            </w:r>
          </w:p>
        </w:tc>
        <w:tc>
          <w:tcPr>
            <w:tcW w:type="dxa" w:w="1644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Cz. 3 — akapit 16 i instrukcja „krok po kroku”, sekcja VI</w:t>
            </w:r>
          </w:p>
        </w:tc>
        <w:tc>
          <w:tcPr>
            <w:tcW w:type="dxa" w:w="2268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„W polu zalecenia dotyczące postępowania zapisujemy konkretnie, kto podaje lek, na jakiej podstawie (…)”.</w:t>
            </w:r>
          </w:p>
        </w:tc>
        <w:tc>
          <w:tcPr>
            <w:tcW w:type="dxa" w:w="2948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Sformułowanie sugeruje istnienie podstawy prawnej, której dla przedszkola nie ma. Ustawa o opiece zdrowotnej nad uczniami (Dz.U. 2019 poz. 1078) dotyczy uczniów, nie dzieci objętych wychowaniem przedszkolnym. Podawanie leków opiera się na upoważnieniu rodziców, dobrowolnej pisemnej zgodzie nauczyciela, przeszkoleniu i procedurze dyrektora. Nauczyciel nie ma obowiązku podania leku — to istotne dla jego bezpieczeństwa.</w:t>
            </w:r>
          </w:p>
        </w:tc>
        <w:tc>
          <w:tcPr>
            <w:tcW w:type="dxa" w:w="2154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Wyjaśnienie, że „na jakiej podstawie” oznacza trzy dokumenty, a nie przepis ustawy; w podstawie prawnej części 3 dodano osobny punkt.</w:t>
            </w:r>
          </w:p>
        </w:tc>
      </w:tr>
      <w:tr>
        <w:tc>
          <w:tcPr>
            <w:tcW w:type="dxa" w:w="454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5"/>
              </w:rPr>
              <w:t>A4</w:t>
            </w:r>
          </w:p>
        </w:tc>
        <w:tc>
          <w:tcPr>
            <w:tcW w:type="dxa" w:w="1644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Cz. 1 — akapit 21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„Warto zapamiętać: pozycja tysiąc pięćset siedemdziesiąt osiem to kształcenie specjalne, a pozycja tysiąc pięćset dziewięćdziesiąt jeden to pomoc psychologiczno-pedagogiczna”.</w:t>
            </w:r>
          </w:p>
        </w:tc>
        <w:tc>
          <w:tcPr>
            <w:tcW w:type="dxa" w:w="2948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Zdanie jest prawdziwe, ale postawione dwa zdania po regule „cytujemy tekst jednolity, nie publikator pierwotny”. To pułapka dydaktyczna: nauczyciel zapamiętuje właśnie te dwie liczby i wpisuje je do druku. Rejestr placówki pokazuje, że taki błąd realnie się zdarzał.</w:t>
            </w:r>
          </w:p>
        </w:tc>
        <w:tc>
          <w:tcPr>
            <w:tcW w:type="dxa" w:w="2154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Zastrzeżenie, że 1578 i 1591 służą do rozpoznania aktu, a nie do cytowania; w dokumencie dziecka wpisujemy 1309 i 1798.</w:t>
            </w:r>
          </w:p>
        </w:tc>
      </w:tr>
    </w:tbl>
    <w:p>
      <w:pPr>
        <w:spacing w:before="0" w:after="120" w:line="264" w:lineRule="auto"/>
      </w:pPr>
    </w:p>
    <w:p>
      <w:pPr>
        <w:spacing w:after="0"/>
      </w:pPr>
      <w:r>
        <w:br w:type="page"/>
      </w:r>
    </w:p>
    <w:p>
      <w:pPr>
        <w:shd w:val="clear" w:color="auto" w:fill="F2F0F7"/>
        <w:spacing w:before="120" w:after="160"/>
      </w:pPr>
      <w:r>
        <w:rPr>
          <w:rFonts w:ascii="Arial" w:hAnsi="Arial" w:cs="Arial" w:eastAsia="Arial"/>
          <w:b/>
          <w:i w:val="0"/>
          <w:color w:val="E8450A"/>
          <w:sz w:val="20"/>
        </w:rPr>
        <w:t xml:space="preserve">  CZĘŚĆ B  </w:t>
      </w:r>
      <w:r>
        <w:rPr>
          <w:rFonts w:ascii="Arial" w:hAnsi="Arial" w:cs="Arial" w:eastAsia="Arial"/>
          <w:b/>
          <w:i w:val="0"/>
          <w:color w:val="2D1B69"/>
          <w:sz w:val="26"/>
        </w:rPr>
        <w:t xml:space="preserve">   Zapisy zweryfikowane i potwierdzone jako prawidłowe</w:t>
      </w:r>
      <w:r>
        <w:rPr>
          <w:rFonts w:ascii="Arial" w:hAnsi="Arial" w:cs="Arial" w:eastAsia="Arial"/>
          <w:b/>
          <w:i w:val="0"/>
          <w:color w:val="E8450A"/>
          <w:sz w:val="20"/>
        </w:rPr>
        <w:t xml:space="preserve">   ·   bez zmian</w:t>
      </w:r>
    </w:p>
    <w:p>
      <w:pPr>
        <w:spacing w:before="0" w:after="160" w:line="264" w:lineRule="auto"/>
      </w:pPr>
      <w:r>
        <w:rPr>
          <w:rFonts w:ascii="Arial" w:hAnsi="Arial" w:cs="Arial" w:eastAsia="Arial"/>
          <w:b w:val="0"/>
          <w:i w:val="0"/>
          <w:color w:val="1A1A1A"/>
          <w:sz w:val="20"/>
        </w:rPr>
        <w:t>Ta część jest w audycie równie ważna jak lista błędów. Każdy z poniższych zapisów sprawdzono u źródła i każdy pozostaje bez zmian. Gdyby ktoś zakwestionował je „z pamięci”, poniższa tabela jest odpowiedzią.</w:t>
      </w:r>
    </w:p>
    <w:tbl>
      <w:tblPr>
        <w:tblW w:type="dxa" w:w="9468"/>
        <w:jc w:val="left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  <w:tblLayout w:type="fixed"/>
        <w:tblLook w:firstColumn="1" w:firstRow="1" w:lastColumn="0" w:lastRow="0" w:noHBand="0" w:noVBand="1" w:val="04A0"/>
      </w:tblPr>
      <w:tblGrid>
        <w:gridCol w:w="454"/>
        <w:gridCol w:w="4139"/>
        <w:gridCol w:w="4876"/>
      </w:tblGrid>
      <w:tr>
        <w:tc>
          <w:tcPr>
            <w:tcW w:type="dxa" w:w="454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4139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Zapis wydania 1</w:t>
            </w:r>
          </w:p>
        </w:tc>
        <w:tc>
          <w:tcPr>
            <w:tcW w:type="dxa" w:w="4876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Wynik weryfikacji</w:t>
            </w:r>
          </w:p>
        </w:tc>
      </w:tr>
      <w:tr>
        <w:tc>
          <w:tcPr>
            <w:tcW w:type="dxa" w:w="454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5"/>
              </w:rPr>
              <w:t>B1</w:t>
            </w:r>
          </w:p>
        </w:tc>
        <w:tc>
          <w:tcPr>
            <w:tcW w:type="dxa" w:w="4139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Nowa podstawa programowa wychowania przedszkolnego — rozporządzenie ME z 11 marca 2026 r. (Dz.U. 2026 poz. 378); dziewięć obszarów: społeczny, osobisty, językowy, matematyczny, przyrodniczy, techniczny, cyfrowy, artystyczny i ruchowy; obowiązuje od 1.09.2026 i obejmuje od razu wszystkie grupy wiekowe.</w:t>
            </w:r>
          </w:p>
        </w:tc>
        <w:tc>
          <w:tcPr>
            <w:tcW w:type="dxa" w:w="4876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POTWIERDZONE w całości — łącznie z listą dziewięciu obszarów i z tym, że w przedszkolu nowa podstawa wchodzi jednorazowo dla wszystkich grup. (W szkole podstawowej wchodzi etapami, od klas I i IV — to różnica, którą skrypt szkolny musiał uwzględnić, a przedszkolny nie.)</w:t>
            </w:r>
          </w:p>
        </w:tc>
      </w:tr>
      <w:tr>
        <w:tc>
          <w:tcPr>
            <w:tcW w:type="dxa" w:w="454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5"/>
              </w:rPr>
              <w:t>B2</w:t>
            </w:r>
          </w:p>
        </w:tc>
        <w:tc>
          <w:tcPr>
            <w:tcW w:type="dxa" w:w="4139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Rozporządzenie ME z 2 marca 2026 r. w sprawie orzeczeń i opinii (Dz.U. 2026 poz. 428); § 7 ust. 6–7 i § 8 od 1.09.2026; § 7 ust. 3 — opinia w terminie 10 dni od dnia otrzymania prośby przez dyrektora; kopia dla rodziców; wejście w życie 14 kwietnia.</w:t>
            </w:r>
          </w:p>
        </w:tc>
        <w:tc>
          <w:tcPr>
            <w:tcW w:type="dxa" w:w="4876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POTWIERDZONE w całości. Akt istnieje, obowiązuje od 14.04.2026 i z tym dniem uchylił rozporządzenie z 7 września 2017 r. (t.j. Dz.U. 2023 poz. 2061). Termin 10 dni i wymóg opisu w kategoriach aktywności i uczestniczenia według ICF są w tekście aktu.</w:t>
            </w:r>
          </w:p>
        </w:tc>
      </w:tr>
      <w:tr>
        <w:tc>
          <w:tcPr>
            <w:tcW w:type="dxa" w:w="454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5"/>
              </w:rPr>
              <w:t>B3</w:t>
            </w:r>
          </w:p>
        </w:tc>
        <w:tc>
          <w:tcPr>
            <w:tcW w:type="dxa" w:w="4139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Prawo oświatowe — t.j. Dz.U. 2026 poz. 820.</w:t>
            </w:r>
          </w:p>
        </w:tc>
        <w:tc>
          <w:tcPr>
            <w:tcW w:type="dxa" w:w="4876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POTWIERDZONE. Wcześniejsze teksty jednolite Dz.U. 2024 poz. 737 (wygasł 31.07.2025) i Dz.U. 2025 poz. 1043 (wygasł 21.06.2026) nie są już właściwe.</w:t>
            </w:r>
          </w:p>
        </w:tc>
      </w:tr>
      <w:tr>
        <w:tc>
          <w:tcPr>
            <w:tcW w:type="dxa" w:w="454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5"/>
              </w:rPr>
              <w:t>B4</w:t>
            </w:r>
          </w:p>
        </w:tc>
        <w:tc>
          <w:tcPr>
            <w:tcW w:type="dxa" w:w="4139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Kształcenie specjalne — t.j. Dz.U. 2020 poz. 1309. Pomoc psychologiczno-pedagogiczna — t.j. Dz.U. 2023 poz. 1798. Dokumentacja przebiegu nauczania — t.j. Dz.U. 2024 poz. 50.</w:t>
            </w:r>
          </w:p>
        </w:tc>
        <w:tc>
          <w:tcPr>
            <w:tcW w:type="dxa" w:w="4876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POTWIERDZONE — wszystkie trzy w obowiązujących tekstach jednolitych, zgodnie z rejestrem placówki.</w:t>
            </w:r>
          </w:p>
        </w:tc>
      </w:tr>
      <w:tr>
        <w:tc>
          <w:tcPr>
            <w:tcW w:type="dxa" w:w="454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5"/>
              </w:rPr>
              <w:t>B5</w:t>
            </w:r>
          </w:p>
        </w:tc>
        <w:tc>
          <w:tcPr>
            <w:tcW w:type="dxa" w:w="4139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Terminy: IPET do 30 września albo 30 dni od złożenia orzeczenia w przedszkolu; wielospecjalistyczna ocena co najmniej dwa razy w roku szkolnym.</w:t>
            </w:r>
          </w:p>
        </w:tc>
        <w:tc>
          <w:tcPr>
            <w:tcW w:type="dxa" w:w="4876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POTWIERDZONE co do treści obowiązku (zastrzeżenie do numeracji ustępów — ustalenie A1).</w:t>
            </w:r>
          </w:p>
        </w:tc>
      </w:tr>
      <w:tr>
        <w:tc>
          <w:tcPr>
            <w:tcW w:type="dxa" w:w="454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5"/>
              </w:rPr>
              <w:t>B6</w:t>
            </w:r>
          </w:p>
        </w:tc>
        <w:tc>
          <w:tcPr>
            <w:tcW w:type="dxa" w:w="4139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Metryczka dziecka opisana jako narzędzie wewnętrzne, wprowadzane zarządzeniem dyrektora; reguły przekierowania, progi i karta decyzyjna opisane jako decyzja rady pedagogicznej; wprost napisane, że cele SMART nie są nazwane w rozporządzeniu.</w:t>
            </w:r>
          </w:p>
        </w:tc>
        <w:tc>
          <w:tcPr>
            <w:tcW w:type="dxa" w:w="4876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POTWIERDZONE i wskazane jako wzorzec. To jest dokładnie ten sposób opisywania druków własnych, którego zabrakło w skrypcie szkolnym przy planie wsparcia (PWES) — i który tam trzeba było wprowadzić w audycie.</w:t>
            </w:r>
          </w:p>
        </w:tc>
      </w:tr>
      <w:tr>
        <w:tc>
          <w:tcPr>
            <w:tcW w:type="dxa" w:w="454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5"/>
              </w:rPr>
              <w:t>B7</w:t>
            </w:r>
          </w:p>
        </w:tc>
        <w:tc>
          <w:tcPr>
            <w:tcW w:type="dxa" w:w="4139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Publikatory pierwotne 1578 (kształcenie specjalne) i 1591 (pomoc pp) jako dwa różne akty z tej samej daty.</w:t>
            </w:r>
          </w:p>
        </w:tc>
        <w:tc>
          <w:tcPr>
            <w:tcW w:type="dxa" w:w="4876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POTWIERDZONE co do faktu (zastrzeżenie dydaktyczne — ustalenie A4).</w:t>
            </w:r>
          </w:p>
        </w:tc>
      </w:tr>
    </w:tbl>
    <w:p>
      <w:pPr>
        <w:spacing w:before="0" w:after="120" w:line="264" w:lineRule="auto"/>
      </w:pPr>
    </w:p>
    <w:p>
      <w:pPr>
        <w:spacing w:after="0"/>
      </w:pPr>
      <w:r>
        <w:br w:type="page"/>
      </w:r>
    </w:p>
    <w:p>
      <w:pPr>
        <w:shd w:val="clear" w:color="auto" w:fill="F2F0F7"/>
        <w:spacing w:before="120" w:after="160"/>
      </w:pPr>
      <w:r>
        <w:rPr>
          <w:rFonts w:ascii="Arial" w:hAnsi="Arial" w:cs="Arial" w:eastAsia="Arial"/>
          <w:b/>
          <w:i w:val="0"/>
          <w:color w:val="E8450A"/>
          <w:sz w:val="20"/>
        </w:rPr>
        <w:t xml:space="preserve">  CZĘŚĆ C  </w:t>
      </w:r>
      <w:r>
        <w:rPr>
          <w:rFonts w:ascii="Arial" w:hAnsi="Arial" w:cs="Arial" w:eastAsia="Arial"/>
          <w:b/>
          <w:i w:val="0"/>
          <w:color w:val="2D1B69"/>
          <w:sz w:val="26"/>
        </w:rPr>
        <w:t xml:space="preserve">   Luki — czynność wymagana przez skrypt bez wskazanej podstawy</w:t>
      </w:r>
      <w:r>
        <w:rPr>
          <w:rFonts w:ascii="Arial" w:hAnsi="Arial" w:cs="Arial" w:eastAsia="Arial"/>
          <w:b/>
          <w:i w:val="0"/>
          <w:color w:val="E8450A"/>
          <w:sz w:val="20"/>
        </w:rPr>
        <w:t xml:space="preserve">   ·   pięć ustaleń</w:t>
      </w:r>
    </w:p>
    <w:tbl>
      <w:tblPr>
        <w:tblW w:type="dxa" w:w="9468"/>
        <w:jc w:val="left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  <w:tblLayout w:type="fixed"/>
        <w:tblLook w:firstColumn="1" w:firstRow="1" w:lastColumn="0" w:lastRow="0" w:noHBand="0" w:noVBand="1" w:val="04A0"/>
      </w:tblPr>
      <w:tblGrid>
        <w:gridCol w:w="454"/>
        <w:gridCol w:w="3175"/>
        <w:gridCol w:w="3912"/>
        <w:gridCol w:w="1928"/>
      </w:tblGrid>
      <w:tr>
        <w:tc>
          <w:tcPr>
            <w:tcW w:type="dxa" w:w="454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3175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Luka</w:t>
            </w:r>
          </w:p>
        </w:tc>
        <w:tc>
          <w:tcPr>
            <w:tcW w:type="dxa" w:w="3912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Podstawa, której zabrakło</w:t>
            </w:r>
          </w:p>
        </w:tc>
        <w:tc>
          <w:tcPr>
            <w:tcW w:type="dxa" w:w="1928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454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5"/>
              </w:rPr>
              <w:t>C1</w:t>
            </w:r>
          </w:p>
        </w:tc>
        <w:tc>
          <w:tcPr>
            <w:tcW w:type="dxa" w:w="3175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Informacja o gotowości dziecka do podjęcia nauki w szkole podstawowej pojawia się w skrypcie trzykrotnie — w części 3, w części 6 i w kalendarzu — i ani razu nie ma wskazanej podstawy ani informacji, że sporządza się ją na urzędowym wzorze.</w:t>
            </w:r>
          </w:p>
        </w:tc>
        <w:tc>
          <w:tcPr>
            <w:tcW w:type="dxa" w:w="3912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Rozporządzenie MEiN z 7 czerwca 2023 r. w sprawie świadectw, dyplomów państwowych i innych druków (Dz.U. 2023 poz. 1120, z późn. zm.) — określa wzór informacji. Termin: do końca kwietnia.</w:t>
            </w:r>
          </w:p>
        </w:tc>
        <w:tc>
          <w:tcPr>
            <w:tcW w:type="dxa" w:w="1928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5"/>
              </w:rPr>
              <w:t>Dopisane w cz. 1, cz. 6 i w kalendarzu</w:t>
            </w:r>
          </w:p>
        </w:tc>
      </w:tr>
      <w:tr>
        <w:tc>
          <w:tcPr>
            <w:tcW w:type="dxa" w:w="454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5"/>
              </w:rPr>
              <w:t>C2</w:t>
            </w:r>
          </w:p>
        </w:tc>
        <w:tc>
          <w:tcPr>
            <w:tcW w:type="dxa" w:w="3175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Sekcja II metryczki (grupa, godziny pobytu, posiłki, roczne obowiązkowe przygotowanie przedszkolne) opiera się na organizacji przedszkola, której akt nie jest w skrypcie wymieniony.</w:t>
            </w:r>
          </w:p>
        </w:tc>
        <w:tc>
          <w:tcPr>
            <w:tcW w:type="dxa" w:w="3912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Rozporządzenie MEN z 28 lutego 2019 r. w sprawie szczegółowej organizacji publicznych szkół i publicznych przedszkoli (t.j. Dz.U. 2023 poz. 2736, z późn. zm.).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5"/>
              </w:rPr>
              <w:t>Dopisane w cz. 1</w:t>
            </w:r>
          </w:p>
        </w:tc>
      </w:tr>
      <w:tr>
        <w:tc>
          <w:tcPr>
            <w:tcW w:type="dxa" w:w="454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5"/>
              </w:rPr>
              <w:t>C3</w:t>
            </w:r>
          </w:p>
        </w:tc>
        <w:tc>
          <w:tcPr>
            <w:tcW w:type="dxa" w:w="3175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Podana podstawa programowa nie uwzględnia aktu zmieniającego.</w:t>
            </w:r>
          </w:p>
        </w:tc>
        <w:tc>
          <w:tcPr>
            <w:tcW w:type="dxa" w:w="3912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Rozporządzenie Dz.U. 2026 poz. 958, również od 1.09.2026 — zmiana nie dotyczy załącznika nr 1, czyli wychowania przedszkolnego. Warto to napisać wprost, żeby nikt nie szukał zmian w swoim załączniku.</w:t>
            </w:r>
          </w:p>
        </w:tc>
        <w:tc>
          <w:tcPr>
            <w:tcW w:type="dxa" w:w="1928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5"/>
              </w:rPr>
              <w:t>Dopisane w cz. 1</w:t>
            </w:r>
          </w:p>
        </w:tc>
      </w:tr>
      <w:tr>
        <w:tc>
          <w:tcPr>
            <w:tcW w:type="dxa" w:w="454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5"/>
              </w:rPr>
              <w:t>C4</w:t>
            </w:r>
          </w:p>
        </w:tc>
        <w:tc>
          <w:tcPr>
            <w:tcW w:type="dxa" w:w="3175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Skrypt nie informuje, że nowe rozporządzenie o orzekaniu uchyliło poprzednie.</w:t>
            </w:r>
          </w:p>
        </w:tc>
        <w:tc>
          <w:tcPr>
            <w:tcW w:type="dxa" w:w="3912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Dz.U. 2026 poz. 428 uchyliło z dniem 14.04.2026 rozporządzenie MEN z 7 września 2017 r. (t.j. Dz.U. 2023 poz. 2061). Bez tej informacji nauczyciel, który zna stary akt, może go dalej cytować w dobrej wierze.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5"/>
              </w:rPr>
              <w:t>Dopisane w cz. 1</w:t>
            </w:r>
          </w:p>
        </w:tc>
      </w:tr>
      <w:tr>
        <w:tc>
          <w:tcPr>
            <w:tcW w:type="dxa" w:w="454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5"/>
              </w:rPr>
              <w:t>C5</w:t>
            </w:r>
          </w:p>
        </w:tc>
        <w:tc>
          <w:tcPr>
            <w:tcW w:type="dxa" w:w="3175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Trzy akty obecne w rejestrze placówki nie występują w skrypcie, choć dotyczą materii, którą skrypt omawia: teczki dziecka, bezpieczeństwa i procedur.</w:t>
            </w:r>
          </w:p>
        </w:tc>
        <w:tc>
          <w:tcPr>
            <w:tcW w:type="dxa" w:w="3912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Ustawa z 13 maja 2016 r. o przeciwdziałaniu zagrożeniom przestępczością na tle seksualnym i ochronie małoletnich (t.j. Dz.U. 2026 poz. 110) — standardy ochrony małoletnich; rozporządzenie MENiS z 31 grudnia 2002 r. w sprawie bezpieczeństwa i higieny (t.j. Dz.U. 2020 poz. 1604); ustawa z 10 maja 2018 r. o ochronie danych osobowych (t.j. Dz.U. 2019 poz. 1781).</w:t>
            </w:r>
          </w:p>
        </w:tc>
        <w:tc>
          <w:tcPr>
            <w:tcW w:type="dxa" w:w="1928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5"/>
              </w:rPr>
              <w:t>DO DECYZJI AUTORKI — poza zakresem szkolenia dokumentacyjnego, ale warte jednego zdania w części 1.</w:t>
            </w:r>
          </w:p>
        </w:tc>
      </w:tr>
    </w:tbl>
    <w:p>
      <w:pPr>
        <w:spacing w:before="0" w:after="120" w:line="264" w:lineRule="auto"/>
      </w:pPr>
    </w:p>
    <w:p>
      <w:pPr>
        <w:keepNext/>
        <w:spacing w:before="240" w:after="120" w:line="264" w:lineRule="auto"/>
      </w:pPr>
      <w:r>
        <w:rPr>
          <w:rFonts w:ascii="Arial" w:hAnsi="Arial" w:cs="Arial" w:eastAsia="Arial"/>
          <w:b/>
          <w:i w:val="0"/>
          <w:color w:val="2D1B69"/>
          <w:sz w:val="23"/>
        </w:rPr>
        <w:t>Ustalenie wspólne dla obu skryptów</w:t>
      </w:r>
    </w:p>
    <w:tbl>
      <w:tblPr>
        <w:tblW w:type="auto" w:w="0"/>
        <w:jc w:val="left"/>
        <w:tblBorders>
          <w:top w:val="single" w:sz="2" w:color="F2F0F7"/>
          <w:left w:val="single" w:sz="18" w:color="E8450A"/>
          <w:bottom w:val="single" w:sz="2" w:color="F2F0F7"/>
          <w:right w:val="single" w:sz="2" w:color="F2F0F7"/>
          <w:insideH w:val="none" w:sz="0" w:color="F2F0F7"/>
          <w:insideV w:val="none" w:sz="0" w:color="F2F0F7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0F7"/>
            <w:tcMar>
              <w:top w:w="140" w:type="dxa"/>
              <w:left w:w="200" w:type="dxa"/>
              <w:bottom w:w="140" w:type="dxa"/>
              <w:right w:w="180" w:type="dxa"/>
            </w:tcMar>
          </w:tcPr>
          <w:p>
            <w:pPr>
              <w:spacing w:before="0" w:after="100" w:line="264" w:lineRule="auto"/>
            </w:pPr>
            <w:r>
              <w:rPr>
                <w:rFonts w:ascii="Arial" w:hAnsi="Arial" w:cs="Arial" w:eastAsia="Arial"/>
                <w:b/>
                <w:i w:val="0"/>
                <w:color w:val="E8450A"/>
                <w:sz w:val="17"/>
              </w:rPr>
              <w:t>NUMERACJA USTĘPÓW § 6 — DOTYCZY TAKŻE SKRYPTU SZKOLNEGO</w:t>
            </w:r>
          </w:p>
          <w:p>
            <w:pPr>
              <w:spacing w:before="0" w:after="80" w:line="264" w:lineRule="auto"/>
            </w:pPr>
            <w:r>
              <w:rPr>
                <w:rFonts w:ascii="Arial" w:hAnsi="Arial" w:cs="Arial" w:eastAsia="Arial"/>
                <w:b/>
                <w:i w:val="0"/>
                <w:color w:val="E8450A"/>
                <w:sz w:val="18"/>
              </w:rPr>
              <w:t xml:space="preserve">· 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18"/>
              </w:rPr>
              <w:t>Zastrzeżenie z ustalenia A1 — numeracja ustępów § 6 rozporządzenia o kształceniu specjalnym — dotyczy także skryptu szkolnego, który w wydaniu 2 cytuje „§ 6 ust. 9–12”. W obu dokumentach materia jest wskazana prawidłowo, niepewna pozostaje wyłącznie numeracja ustępów.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E8450A"/>
                <w:sz w:val="18"/>
              </w:rPr>
              <w:t xml:space="preserve">· 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18"/>
              </w:rPr>
              <w:t>Rekomendacja jednolita dla obu skryptów i dla wszystkich druków: w dokumencie dziecka piszemy „§ 6 rozporządzenia MEN z 9 sierpnia 2017 r. (t.j. Dz.U. 2020 poz. 1309)” i opisujemy obowiązek słowami. Numer ustępu dodajemy dopiero po sprawdzeniu w ogłoszonym tekście jednolitym — i wtedy wpisujemy go do rejestru przepisów wraz z datą sprawdzenia.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240" w:after="120" w:line="264" w:lineRule="auto"/>
      </w:pPr>
      <w:r>
        <w:rPr>
          <w:rFonts w:ascii="Arial" w:hAnsi="Arial" w:cs="Arial" w:eastAsia="Arial"/>
          <w:b/>
          <w:i w:val="0"/>
          <w:color w:val="2D1B69"/>
          <w:sz w:val="23"/>
        </w:rPr>
        <w:t>Czego audyt nie obejmował</w:t>
      </w:r>
    </w:p>
    <w:p>
      <w:pPr>
        <w:spacing w:before="0" w:after="100"/>
        <w:ind w:left="369" w:hanging="369"/>
      </w:pPr>
      <w:r>
        <w:rPr>
          <w:rFonts w:ascii="Arial" w:hAnsi="Arial" w:cs="Arial" w:eastAsia="Arial"/>
          <w:b/>
          <w:i w:val="0"/>
          <w:color w:val="2D1B69"/>
          <w:sz w:val="20"/>
        </w:rPr>
        <w:t xml:space="preserve">▸  </w:t>
      </w:r>
      <w:r>
        <w:rPr>
          <w:rFonts w:ascii="Arial" w:hAnsi="Arial" w:cs="Arial" w:eastAsia="Arial"/>
          <w:b/>
          <w:i w:val="0"/>
          <w:color w:val="1A1A1A"/>
          <w:sz w:val="20"/>
        </w:rPr>
        <w:t>Treści narzędzia KPOF</w:t>
      </w:r>
      <w:r>
        <w:rPr>
          <w:rFonts w:ascii="Arial" w:hAnsi="Arial" w:cs="Arial" w:eastAsia="Arial"/>
          <w:b w:val="0"/>
          <w:i w:val="0"/>
          <w:color w:val="1A1A1A"/>
          <w:sz w:val="20"/>
        </w:rPr>
        <w:t xml:space="preserve"> — liczby twierdzeń, skali, progów i sposobu liczenia średniej. To narzędzie własne placówki i skrypt uczciwie tak je opisuje.</w:t>
      </w:r>
    </w:p>
    <w:p>
      <w:pPr>
        <w:spacing w:before="0" w:after="100"/>
        <w:ind w:left="369" w:hanging="369"/>
      </w:pPr>
      <w:r>
        <w:rPr>
          <w:rFonts w:ascii="Arial" w:hAnsi="Arial" w:cs="Arial" w:eastAsia="Arial"/>
          <w:b/>
          <w:i w:val="0"/>
          <w:color w:val="2D1B69"/>
          <w:sz w:val="20"/>
        </w:rPr>
        <w:t xml:space="preserve">▸  </w:t>
      </w:r>
      <w:r>
        <w:rPr>
          <w:rFonts w:ascii="Arial" w:hAnsi="Arial" w:cs="Arial" w:eastAsia="Arial"/>
          <w:b/>
          <w:i w:val="0"/>
          <w:color w:val="1A1A1A"/>
          <w:sz w:val="20"/>
        </w:rPr>
        <w:t>Reguł przekierowania i karty decyzyjnej</w:t>
      </w:r>
      <w:r>
        <w:rPr>
          <w:rFonts w:ascii="Arial" w:hAnsi="Arial" w:cs="Arial" w:eastAsia="Arial"/>
          <w:b w:val="0"/>
          <w:i w:val="0"/>
          <w:color w:val="1A1A1A"/>
          <w:sz w:val="20"/>
        </w:rPr>
        <w:t xml:space="preserve"> — skrypt sam pisze, że nie wynikają wprost z przepisu, lecz są decyzją rady pedagogicznej wpisaną do procedury. To zapis wzorcowy.</w:t>
      </w:r>
    </w:p>
    <w:p>
      <w:pPr>
        <w:spacing w:before="0" w:after="100"/>
        <w:ind w:left="369" w:hanging="369"/>
      </w:pPr>
      <w:r>
        <w:rPr>
          <w:rFonts w:ascii="Arial" w:hAnsi="Arial" w:cs="Arial" w:eastAsia="Arial"/>
          <w:b/>
          <w:i w:val="0"/>
          <w:color w:val="2D1B69"/>
          <w:sz w:val="20"/>
        </w:rPr>
        <w:t xml:space="preserve">▸  </w:t>
      </w:r>
      <w:r>
        <w:rPr>
          <w:rFonts w:ascii="Arial" w:hAnsi="Arial" w:cs="Arial" w:eastAsia="Arial"/>
          <w:b/>
          <w:i w:val="0"/>
          <w:color w:val="1A1A1A"/>
          <w:sz w:val="20"/>
        </w:rPr>
        <w:t>Numeracji sekcji metryczki</w:t>
      </w:r>
      <w:r>
        <w:rPr>
          <w:rFonts w:ascii="Arial" w:hAnsi="Arial" w:cs="Arial" w:eastAsia="Arial"/>
          <w:b w:val="0"/>
          <w:i w:val="0"/>
          <w:color w:val="1A1A1A"/>
          <w:sz w:val="20"/>
        </w:rPr>
        <w:t xml:space="preserve"> (sekcja VI, VII, XI) — to układ druku własnego, nie przepisu.</w:t>
      </w:r>
    </w:p>
    <w:p>
      <w:pPr>
        <w:spacing w:before="0" w:after="100"/>
        <w:ind w:left="369" w:hanging="369"/>
      </w:pPr>
      <w:r>
        <w:rPr>
          <w:rFonts w:ascii="Arial" w:hAnsi="Arial" w:cs="Arial" w:eastAsia="Arial"/>
          <w:b/>
          <w:i w:val="0"/>
          <w:color w:val="2D1B69"/>
          <w:sz w:val="20"/>
        </w:rPr>
        <w:t xml:space="preserve">▸  </w:t>
      </w:r>
      <w:r>
        <w:rPr>
          <w:rFonts w:ascii="Arial" w:hAnsi="Arial" w:cs="Arial" w:eastAsia="Arial"/>
          <w:b/>
          <w:i w:val="0"/>
          <w:color w:val="1A1A1A"/>
          <w:sz w:val="20"/>
        </w:rPr>
        <w:t>Zgodności skryptu z kodem aplikacji</w:t>
      </w:r>
      <w:r>
        <w:rPr>
          <w:rFonts w:ascii="Arial" w:hAnsi="Arial" w:cs="Arial" w:eastAsia="Arial"/>
          <w:b w:val="0"/>
          <w:i w:val="0"/>
          <w:color w:val="1A1A1A"/>
          <w:sz w:val="20"/>
        </w:rPr>
        <w:t xml:space="preserve"> — rejestr przepisów placówki odnotowuje trzy rozjazdy naprawione w kodzie 22 sierpnia 2026 r.; audyt sprawdził tylko, że nie ma ich w skrypcie.</w:t>
      </w:r>
    </w:p>
    <w:p>
      <w:pPr>
        <w:keepNext/>
        <w:spacing w:before="240" w:after="120" w:line="264" w:lineRule="auto"/>
      </w:pPr>
      <w:r>
        <w:rPr>
          <w:rFonts w:ascii="Arial" w:hAnsi="Arial" w:cs="Arial" w:eastAsia="Arial"/>
          <w:b/>
          <w:i w:val="0"/>
          <w:color w:val="2D1B69"/>
          <w:sz w:val="23"/>
        </w:rPr>
        <w:t>Zalecenia po audycie</w:t>
      </w:r>
    </w:p>
    <w:p>
      <w:pPr>
        <w:spacing w:before="0" w:after="100"/>
        <w:ind w:left="454" w:hanging="454"/>
      </w:pPr>
      <w:r>
        <w:rPr>
          <w:rFonts w:ascii="Arial" w:hAnsi="Arial" w:cs="Arial" w:eastAsia="Arial"/>
          <w:b/>
          <w:i w:val="0"/>
          <w:color w:val="E8450A"/>
          <w:sz w:val="20"/>
        </w:rPr>
        <w:t xml:space="preserve">1.  </w:t>
      </w:r>
      <w:r>
        <w:rPr>
          <w:rFonts w:ascii="Arial" w:hAnsi="Arial" w:cs="Arial" w:eastAsia="Arial"/>
          <w:b/>
          <w:i w:val="0"/>
          <w:color w:val="1A1A1A"/>
          <w:sz w:val="20"/>
        </w:rPr>
        <w:t>Przyjąć wydanie 2 skryptu</w:t>
      </w:r>
      <w:r>
        <w:rPr>
          <w:rFonts w:ascii="Arial" w:hAnsi="Arial" w:cs="Arial" w:eastAsia="Arial"/>
          <w:b w:val="0"/>
          <w:i w:val="0"/>
          <w:color w:val="1A1A1A"/>
          <w:sz w:val="20"/>
        </w:rPr>
        <w:t xml:space="preserve"> z naniesionymi na niebiesko uzupełnieniami — nic nie zostało usunięte ani przeredagowane wbrew autorce, wszystkie zmiany są dopowiedzeniami.</w:t>
      </w:r>
    </w:p>
    <w:p>
      <w:pPr>
        <w:spacing w:before="0" w:after="100"/>
        <w:ind w:left="454" w:hanging="454"/>
      </w:pPr>
      <w:r>
        <w:rPr>
          <w:rFonts w:ascii="Arial" w:hAnsi="Arial" w:cs="Arial" w:eastAsia="Arial"/>
          <w:b/>
          <w:i w:val="0"/>
          <w:color w:val="E8450A"/>
          <w:sz w:val="20"/>
        </w:rPr>
        <w:t xml:space="preserve">2.  </w:t>
      </w:r>
      <w:r>
        <w:rPr>
          <w:rFonts w:ascii="Arial" w:hAnsi="Arial" w:cs="Arial" w:eastAsia="Arial"/>
          <w:b/>
          <w:i w:val="0"/>
          <w:color w:val="1A1A1A"/>
          <w:sz w:val="20"/>
        </w:rPr>
        <w:t>Rozstrzygnąć numerację ustępów § 6</w:t>
      </w:r>
      <w:r>
        <w:rPr>
          <w:rFonts w:ascii="Arial" w:hAnsi="Arial" w:cs="Arial" w:eastAsia="Arial"/>
          <w:b w:val="0"/>
          <w:i w:val="0"/>
          <w:color w:val="1A1A1A"/>
          <w:sz w:val="20"/>
        </w:rPr>
        <w:t xml:space="preserve"> w ogłoszonym tekście jednolitym i wpisać wynik do rejestru przepisów. Do tego czasu w druku dziecka stosować zapis bez numeru ustępu.</w:t>
      </w:r>
    </w:p>
    <w:p>
      <w:pPr>
        <w:spacing w:before="0" w:after="100"/>
        <w:ind w:left="454" w:hanging="454"/>
      </w:pPr>
      <w:r>
        <w:rPr>
          <w:rFonts w:ascii="Arial" w:hAnsi="Arial" w:cs="Arial" w:eastAsia="Arial"/>
          <w:b/>
          <w:i w:val="0"/>
          <w:color w:val="E8450A"/>
          <w:sz w:val="20"/>
        </w:rPr>
        <w:t xml:space="preserve">3.  </w:t>
      </w:r>
      <w:r>
        <w:rPr>
          <w:rFonts w:ascii="Arial" w:hAnsi="Arial" w:cs="Arial" w:eastAsia="Arial"/>
          <w:b/>
          <w:i w:val="0"/>
          <w:color w:val="1A1A1A"/>
          <w:sz w:val="20"/>
        </w:rPr>
        <w:t>Dopisać do rejestru przepisów placówki dwa akty</w:t>
      </w:r>
      <w:r>
        <w:rPr>
          <w:rFonts w:ascii="Arial" w:hAnsi="Arial" w:cs="Arial" w:eastAsia="Arial"/>
          <w:b w:val="0"/>
          <w:i w:val="0"/>
          <w:color w:val="1A1A1A"/>
          <w:sz w:val="20"/>
        </w:rPr>
        <w:t>, których w nim brakuje po stronie przedszkolnej: rozporządzenie o świadectwach (Dz.U. 2023 poz. 1120) i rozporządzenie o organizacji przedszkoli (t.j. Dz.U. 2023 poz. 2736, z późn. zm.).</w:t>
      </w:r>
    </w:p>
    <w:p>
      <w:pPr>
        <w:spacing w:before="0" w:after="100"/>
        <w:ind w:left="454" w:hanging="454"/>
      </w:pPr>
      <w:r>
        <w:rPr>
          <w:rFonts w:ascii="Arial" w:hAnsi="Arial" w:cs="Arial" w:eastAsia="Arial"/>
          <w:b/>
          <w:i w:val="0"/>
          <w:color w:val="E8450A"/>
          <w:sz w:val="20"/>
        </w:rPr>
        <w:t xml:space="preserve">4.  </w:t>
      </w:r>
      <w:r>
        <w:rPr>
          <w:rFonts w:ascii="Arial" w:hAnsi="Arial" w:cs="Arial" w:eastAsia="Arial"/>
          <w:b/>
          <w:i w:val="0"/>
          <w:color w:val="1A1A1A"/>
          <w:sz w:val="20"/>
        </w:rPr>
        <w:t>Zdecydować w sprawie ustalenia C5</w:t>
      </w:r>
      <w:r>
        <w:rPr>
          <w:rFonts w:ascii="Arial" w:hAnsi="Arial" w:cs="Arial" w:eastAsia="Arial"/>
          <w:b w:val="0"/>
          <w:i w:val="0"/>
          <w:color w:val="1A1A1A"/>
          <w:sz w:val="20"/>
        </w:rPr>
        <w:t xml:space="preserve"> — czy standardy ochrony małoletnich, BHP i krajowa ustawa o ochronie danych mają wejść do części 1, czy pozostać poza zakresem szkolenia dokumentacyjnego.</w:t>
      </w:r>
    </w:p>
    <w:p>
      <w:pPr>
        <w:spacing w:before="0" w:after="100"/>
        <w:ind w:left="454" w:hanging="454"/>
      </w:pPr>
      <w:r>
        <w:rPr>
          <w:rFonts w:ascii="Arial" w:hAnsi="Arial" w:cs="Arial" w:eastAsia="Arial"/>
          <w:b/>
          <w:i w:val="0"/>
          <w:color w:val="E8450A"/>
          <w:sz w:val="20"/>
        </w:rPr>
        <w:t xml:space="preserve">5.  </w:t>
      </w:r>
      <w:r>
        <w:rPr>
          <w:rFonts w:ascii="Arial" w:hAnsi="Arial" w:cs="Arial" w:eastAsia="Arial"/>
          <w:b/>
          <w:i w:val="0"/>
          <w:color w:val="1A1A1A"/>
          <w:sz w:val="20"/>
        </w:rPr>
        <w:t>Ustalić rytm przeglądu.</w:t>
      </w:r>
      <w:r>
        <w:rPr>
          <w:rFonts w:ascii="Arial" w:hAnsi="Arial" w:cs="Arial" w:eastAsia="Arial"/>
          <w:b w:val="0"/>
          <w:i w:val="0"/>
          <w:color w:val="1A1A1A"/>
          <w:sz w:val="20"/>
        </w:rPr>
        <w:t xml:space="preserve"> Rejestr placówki był weryfikowany 21 sierpnia 2026 r., audyt skryptów 5 września 2026 r. Kolejny przegląd przed styczniową oceną wielospecjalistyczną zamknie cykl.</w:t>
      </w:r>
    </w:p>
    <w:p>
      <w:pPr>
        <w:pBdr>
          <w:bottom w:val="single" w:sz="4" w:space="2" w:color="D6D1E4"/>
        </w:pBdr>
        <w:spacing w:before="40" w:after="160"/>
      </w:pPr>
    </w:p>
    <w:p>
      <w:pPr>
        <w:spacing w:before="0" w:after="120" w:line="264" w:lineRule="auto"/>
      </w:pPr>
      <w:r>
        <w:rPr>
          <w:rFonts w:ascii="Arial" w:hAnsi="Arial" w:cs="Arial" w:eastAsia="Arial"/>
          <w:b w:val="0"/>
          <w:i/>
          <w:color w:val="8A8A8A"/>
          <w:sz w:val="17"/>
        </w:rPr>
        <w:t>Raport sporządzono metodą Strażnika Prawa: każde ustalenie ma wskazane źródło i datę sprawdzenia, a tam, gdzie źródła nie udało się osiągnąć, audyt mówi o tym wprost zamiast zgadywać. Ustalenie A1 jest tego przykładem.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7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6D1E4"/>
      </w:pBdr>
      <w:spacing w:before="60"/>
      <w:jc w:val="center"/>
    </w:pPr>
    <w:r>
      <w:rPr>
        <w:rFonts w:ascii="Arial" w:hAnsi="Arial" w:cs="Arial" w:eastAsia="Arial"/>
        <w:b w:val="0"/>
        <w:i w:val="0"/>
        <w:color w:val="8A8A8A"/>
        <w:sz w:val="15"/>
      </w:rPr>
      <w:t xml:space="preserve">Strona </w:t>
    </w:r>
    <w:fldSimple w:instr="PAGE"/>
    <w:r>
      <w:rPr>
        <w:rFonts w:ascii="Arial" w:hAnsi="Arial" w:cs="Arial" w:eastAsia="Arial"/>
        <w:b w:val="0"/>
        <w:i w:val="0"/>
        <w:color w:val="8A8A8A"/>
        <w:sz w:val="15"/>
      </w:rPr>
      <w:t xml:space="preserve"> z </w:t>
    </w:r>
    <w:fldSimple w:instr="NUMPAGES"/>
    <w:r>
      <w:rPr>
        <w:rFonts w:ascii="Arial" w:hAnsi="Arial" w:cs="Arial" w:eastAsia="Arial"/>
        <w:b w:val="0"/>
        <w:i w:val="0"/>
        <w:color w:val="8A8A8A"/>
        <w:sz w:val="15"/>
      </w:rPr>
      <w:t xml:space="preserve"> · audyt podstaw prawnych · skrypt przedszkolny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D6D1E4"/>
      </w:pBdr>
      <w:spacing w:after="60"/>
    </w:pPr>
    <w:r>
      <w:rPr>
        <w:rFonts w:ascii="Arial" w:hAnsi="Arial" w:cs="Arial" w:eastAsia="Arial"/>
        <w:b/>
        <w:i w:val="0"/>
        <w:color w:val="E8450A"/>
        <w:sz w:val="15"/>
      </w:rPr>
      <w:t>PCTP · EduPlaner 2026</w:t>
    </w:r>
    <w:r>
      <w:rPr>
        <w:rFonts w:ascii="Arial" w:hAnsi="Arial" w:cs="Arial" w:eastAsia="Arial"/>
        <w:b w:val="0"/>
        <w:i w:val="0"/>
        <w:color w:val="8A8A8A"/>
        <w:sz w:val="15"/>
      </w:rPr>
      <w:t xml:space="preserve">     Raport Strażnika Prawa · audyt skryptu przedszkolnego · 5 września 2026 r.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