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Obserwacja · diagnoza osiągnięć uczniów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Arkusz obserwacji diagnozującej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obserwacja nastawiona na sprawdzenie, w jakim stopniu uczniowie opanowali zaplanowaną umiejętność</w:t>
      </w:r>
    </w:p>
    <w:p>
      <w:pPr>
        <w:pBdr>
          <w:bottom w:val="single" w:color="E8450A" w:sz="16" w:space="1"/>
        </w:pBdr>
        <w:spacing w:after="160" w:before="80"/>
      </w:pPr>
    </w:p>
    <w:p>
      <w:pPr>
        <w:pBdr>
          <w:left w:val="single" w:color="E8450A" w:sz="24" w:space="10"/>
        </w:pBdr>
        <w:shd w:fill="F3F1FB" w:color="auto" w:val="clear"/>
        <w:spacing w:after="140" w:before="6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Obserwacja diagnozująca odpowiada na pytanie o efekt: co uczniowie potrafią po zajęciach. Nauczyciel przed zajęciami wskazuje sprawdzaną umiejętność i sposób jej sprawdzenia, a obserwujący zbiera dane o wynikach uczniów, nie tylko o działaniach nauczyciela.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 prowadzący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i godzina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Zajęcia / przedmiot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Oddział / grupa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Liczba uczniów obecnych / wpisanych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Obserwujący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USTALENIA PRZED OBSERWACJĄ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WYPEŁNIA NAUCZYCIEL WSPÓLNIE Z DYREKTOREM PRZED ZAJĘCIAMI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Sprawdzana umiejętność ucznia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Kryterium sukcesu (co uznajemy za opanowanie)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Sposób sprawdzenia podczas zajęć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Uczniowie objęci dostosowaniem kryterium (IPET)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Przewidywany wynik (prognoza nauczyciela)</w:t>
            </w:r>
          </w:p>
        </w:tc>
        <w:tc>
          <w:tcPr>
            <w:tcW w:type="dxa" w:w="6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ZEBRANE DANE O WYNIKACH UCZNIÓW</w:t>
      </w:r>
    </w:p>
    <w:p>
      <w:pPr>
        <w:spacing w:after="9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5"/>
          <w:szCs w:val="15"/>
        </w:rPr>
        <w:t xml:space="preserve">Wpisz inicjały lub kod ucznia. Poziom: S — samodzielnie, P — z podpowiedzią słowną, F — z pomocą fizyczną / prowadzeniem, N — nie wykonał.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1500"/>
        <w:gridCol w:w="1500"/>
        <w:gridCol w:w="41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Uczeń (kod)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Poziom wykonania</w:t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 osiągnięte (T/N)</w:t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Obserwacje, zastosowane wsparcie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1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OCENA PROCESU PROWADZĄCEGO DO WYNIKU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6"/>
        <w:gridCol w:w="800"/>
        <w:gridCol w:w="800"/>
        <w:gridCol w:w="800"/>
        <w:gridCol w:w="800"/>
        <w:gridCol w:w="1240"/>
      </w:tblGrid>
      <w:tr>
        <w:trPr>
          <w:tblHeader/>
        </w:trP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Kryterium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A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B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Zadania sprawdzające rzeczywiście badały zaplanowaną umiejętność.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Kryterium sukcesu było znane uczniom i sformułowane w zrozumiały sposób.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Kryterium zostało zindywidualizowane dla uczniów objętych IPET.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zbierał dane o postępach w trakcie zajęć, nie tylko na koniec.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Uczniowie, którzy nie osiągnęli kryterium, otrzymali wsparcie w trakcie zajęć.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530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>Nauczyciel wyciągnął wnioski z wyników i zapowiedział dalszą pracę.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  <w:tc>
          <w:tcPr>
            <w:tcW w:type="dxa" w:w="124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before="7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4"/>
          <w:szCs w:val="14"/>
        </w:rPr>
        <w:t xml:space="preserve">Skala: A — spełnione w pełni · B — spełnione w znacznym stopniu · C — spełnione częściowo · D — nie zaobserwowano · nd. — nie dotyczy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WYNIK DIAGNOZY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346"/>
      </w:tblGrid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Liczba uczniów, którzy osiągnęli kryterium</w:t>
            </w:r>
          </w:p>
        </w:tc>
        <w:tc>
          <w:tcPr>
            <w:tcW w:type="dxa" w:w="5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Liczba uczniów, którzy osiągnęli kryterium częściowo</w:t>
            </w:r>
          </w:p>
        </w:tc>
        <w:tc>
          <w:tcPr>
            <w:tcW w:type="dxa" w:w="5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Liczba uczniów, którzy nie osiągnęli kryterium</w:t>
            </w:r>
          </w:p>
        </w:tc>
        <w:tc>
          <w:tcPr>
            <w:tcW w:type="dxa" w:w="5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6"/>
                <w:szCs w:val="16"/>
              </w:rPr>
              <w:t xml:space="preserve">Zgodność z prognozą nauczyciela</w:t>
            </w:r>
          </w:p>
        </w:tc>
        <w:tc>
          <w:tcPr>
            <w:tcW w:type="dxa" w:w="53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INTERPRETACJA WYNIKU — CO DANE MÓWIĄ O SKUTECZNOŚCI ZAJĘĆ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WNIOSKI I DALSZE DZIAŁANIA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WNIOSKI NAUCZYCIELA (SAMOOCENA PO ZAJĘCIACH)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USTALENIA Z DYREKTOREM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700"/>
        <w:gridCol w:w="1900"/>
        <w:gridCol w:w="26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Ustalenie / zalecenie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Sposób sprawdzenia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4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Obserwujący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 — zapoznałam/em się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Arkusz obserwacji diagnozującej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obserwacji diagnozującej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2026-09-16T11:40:45.178Z</dcterms:created>
  <dcterms:modified xsi:type="dcterms:W3CDTF">2026-09-16T11:40:45.178Z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