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6"/>
          <w:szCs w:val="16"/>
        </w:rPr>
        <w:t xml:space="preserve">Kontrola · kształcenie specjalne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34"/>
          <w:szCs w:val="34"/>
        </w:rPr>
        <w:t xml:space="preserve">Arkusz kontroli realizacji IPET i WOPF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8"/>
          <w:szCs w:val="18"/>
        </w:rPr>
        <w:t xml:space="preserve">indywidualny program edukacyjno-terapeutyczny i wielospecjalistyczna ocena poziomu funkcjonowania ucznia</w:t>
      </w:r>
    </w:p>
    <w:p>
      <w:pPr>
        <w:pBdr>
          <w:bottom w:val="single" w:color="E8450A" w:sz="16" w:space="1"/>
        </w:pBdr>
        <w:spacing w:after="16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73"/>
        <w:gridCol w:w="2300"/>
        <w:gridCol w:w="2573"/>
      </w:tblGrid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Uczeń (imię i nazwisko lub kod)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Oddział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Numer i data orzeczenia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Okres obowiązywania orzeczenia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Koordynator zespołu / wychowawca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Data kontroli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TERMINOWOŚĆ I TRYB OPRACOWANIA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5100"/>
        <w:gridCol w:w="620"/>
        <w:gridCol w:w="620"/>
        <w:gridCol w:w="620"/>
        <w:gridCol w:w="2266"/>
      </w:tblGrid>
      <w:tr>
        <w:trPr>
          <w:tblHeader/>
        </w:trP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Sprawdzany element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Tak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Nie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nd.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Uwagi</w:t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IPET opracowano w terminie wynikającym z przepisów (do 30 września albo w ciągu 30 dni od złożenia orzeczenia).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2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Program opracował zespół nauczycieli i specjalistów pracujących z uczniem.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3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Spotkania zespołu są udokumentowane (protokół, lista obecności).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4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Rodzice zostali zawiadomieni o terminie spotkania zespołu i mogli w nim uczestniczyć.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5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Rodzice otrzymali kopię IPET oraz kopię wielospecjalistycznej oceny.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6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IPET obowiązuje na okres wskazany w orzeczeniu, nie dłuższy niż etap edukacyjny.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KOMPLETNOŚĆ IPET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5100"/>
        <w:gridCol w:w="620"/>
        <w:gridCol w:w="620"/>
        <w:gridCol w:w="620"/>
        <w:gridCol w:w="2266"/>
      </w:tblGrid>
      <w:tr>
        <w:trPr>
          <w:tblHeader/>
        </w:trP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Sprawdzany element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Tak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Nie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nd.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Uwagi</w:t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Zakres i sposób dostosowania wymagań edukacyjnych do potrzeb i możliwości ucznia.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2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Zintegrowane działania nauczycieli i specjalistów (w tym o charakterze rewalidacyjnym).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3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Formy i okres udzielania pomocy psychologiczno-pedagogicznej oraz wymiar godzin.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4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Działania wspierające rodziców oraz zakres współpracy z instytucjami.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5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Zajęcia rewalidacyjne, resocjalizacyjne lub socjoterapeutyczne — rodzaj i wymiar.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6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Rodzaj i sposób dostosowania warunków przeprowadzania egzaminu (jeśli dotyczy).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7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Wybrane zajęcia edukacyjne realizowane indywidualnie lub w grupie do 5 osób (jeśli dotyczy).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8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Cele są sformułowane w sposób mierzalny (kryterium osiągnięcia, termin).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9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Zalecenia z orzeczenia mają odzwierciedlenie w zapisach programu.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III.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WIELOSPECJALISTYCZNA OCENA POZIOMU FUNKCJONOWANIA (WOPF)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5100"/>
        <w:gridCol w:w="620"/>
        <w:gridCol w:w="620"/>
        <w:gridCol w:w="620"/>
        <w:gridCol w:w="2266"/>
      </w:tblGrid>
      <w:tr>
        <w:trPr>
          <w:tblHeader/>
        </w:trP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Sprawdzany element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Tak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Nie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nd.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Uwagi</w:t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Ocenę przeprowadzono co najmniej dwa razy w roku szkolnym.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2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Ocena zawiera indywidualne potrzeby rozwojowe i edukacyjne ucznia.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3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Ocena zawiera mocne strony, predyspozycje, zainteresowania i uzdolnienia ucznia.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4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Opisano przyczyny niepowodzeń edukacyjnych i trudności w funkcjonowaniu.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5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Uwzględniono bariery i ograniczenia utrudniające funkcjonowanie i uczestnictwo ucznia.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6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Wnioski z oceny przełożono na modyfikację IPET.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IV.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REALIZACJA ZAJĘĆ WYNIKAJĄCYCH Z ORZECZENIA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00"/>
        <w:gridCol w:w="1700"/>
        <w:gridCol w:w="2000"/>
        <w:gridCol w:w="1246"/>
      </w:tblGrid>
      <w:tr>
        <w:trPr>
          <w:tblHeader/>
        </w:trPr>
        <w:tc>
          <w:tcPr>
            <w:tcW w:type="dxa" w:w="2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Rodzaj zajęć</w:t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Wymiar zalecony / tygodniowo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Wymiar zrealizowany</w:t>
            </w:r>
          </w:p>
        </w:tc>
        <w:tc>
          <w:tcPr>
            <w:tcW w:type="dxa" w:w="2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Prowadzący</w:t>
            </w:r>
          </w:p>
        </w:tc>
        <w:tc>
          <w:tcPr>
            <w:tcW w:type="dxa" w:w="12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Zgodność (T/N)</w:t>
            </w:r>
          </w:p>
        </w:tc>
      </w:tr>
      <w:tr>
        <w:tc>
          <w:tcPr>
            <w:tcW w:type="dxa" w:w="2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2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2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2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2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2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2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4"/>
          <w:szCs w:val="14"/>
        </w:rPr>
        <w:t xml:space="preserve">Różnice w realizacji wymiaru godzin opisz w sekcji V wraz z przyczyną i sposobem wyrównania.</w:t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V.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USTALENIA I ZALECENIA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STAN FAKTYCZNY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900"/>
        <w:gridCol w:w="2900"/>
        <w:gridCol w:w="1400"/>
        <w:gridCol w:w="2026"/>
      </w:tblGrid>
      <w:tr>
        <w:trPr>
          <w:tblHeader/>
        </w:trP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2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Uchybienie / obszar do poprawy</w:t>
            </w:r>
          </w:p>
        </w:tc>
        <w:tc>
          <w:tcPr>
            <w:tcW w:type="dxa" w:w="2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Zalecenie</w:t>
            </w:r>
          </w:p>
        </w:tc>
        <w:tc>
          <w:tcPr>
            <w:tcW w:type="dxa" w:w="1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Termin</w:t>
            </w:r>
          </w:p>
        </w:tc>
        <w:tc>
          <w:tcPr>
            <w:tcW w:type="dxa" w:w="20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Odpowiedzialny</w:t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</w:t>
            </w:r>
          </w:p>
        </w:tc>
        <w:tc>
          <w:tcPr>
            <w:tcW w:type="dxa" w:w="2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0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2</w:t>
            </w:r>
          </w:p>
        </w:tc>
        <w:tc>
          <w:tcPr>
            <w:tcW w:type="dxa" w:w="2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0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3</w:t>
            </w:r>
          </w:p>
        </w:tc>
        <w:tc>
          <w:tcPr>
            <w:tcW w:type="dxa" w:w="2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0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4</w:t>
            </w:r>
          </w:p>
        </w:tc>
        <w:tc>
          <w:tcPr>
            <w:tcW w:type="dxa" w:w="2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0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Bdr>
          <w:left w:val="single" w:color="E8450A" w:sz="24" w:space="10"/>
        </w:pBdr>
        <w:shd w:fill="FEF0E8" w:color="auto" w:val="clear"/>
        <w:spacing w:after="140" w:before="120" w:line="264"/>
        <w:ind w:left="60" w:right="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530"/>
          <w:sz w:val="15"/>
          <w:szCs w:val="15"/>
        </w:rPr>
        <w:t xml:space="preserve">Jeżeli kontrola wykaże potrzebę zmiany programu, zwołaj zespół i dokonaj modyfikacji IPET — zmiana wymaga udokumentowania i poinformowania rodziców.</w:t>
      </w:r>
    </w:p>
    <w:p>
      <w:pPr>
        <w:spacing w:after="5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PODSTAWA PRAWNA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Ustawa z dnia 14 grudnia 2016 r. — Prawo oświatowe, art. 55–60 (nadzór pedagogiczny) oraz art. 68 ust. 1 pkt 2 (dyrektor sprawuje nadzór pedagogiczny).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Rozporządzenie Ministra Edukacji Narodowej z dnia 25 sierpnia 2017 r. w sprawie nadzoru pedagogicznego (ze zm.) — formy nadzoru dyrektora: ewaluacja wewnętrzna, kontrola przestrzegania przepisów prawa, wspomaganie nauczycieli, monitorowanie pracy szkoły.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Rozporządzenie Ministra Edukacji Narodowej z dnia 9 sierpnia 2017 r. w sprawie warunków organizowania kształcenia, wychowania i opieki dla dzieci i młodzieży niepełnosprawnych, niedostosowanych społecznie i zagrożonych niedostosowaniem społecznym (ze zm.) — IPET, WOPF, zajęcia rewalidacyjne.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Rozporządzenie Ministra Edukacji Narodowej z dnia 9 sierpnia 2017 r. w sprawie zasad organizacji i udzielania pomocy psychologiczno-pedagogicznej w publicznych przedszkolach, szkołach i placówkach (ze zm.).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Rozporządzenie Parlamentu Europejskiego i Rady (UE) 2016/679 z dnia 27 kwietnia 2016 r. (RODO) — dane zawarte w druku są danymi osobowymi, w tym danymi o stanie zdrowia ucznia.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Uwaga: przed wdrożeniem druku zweryfikuj aktualny tekst jednolity przywołanych aktów prawnych (Dz.U.) oraz zapisy statutu placówki.</w:t>
      </w:r>
    </w:p>
    <w:p>
      <w:pPr>
        <w:pBdr>
          <w:left w:val="single" w:color="C47A10" w:sz="24" w:space="10"/>
        </w:pBdr>
        <w:shd w:fill="FEF0E8" w:color="auto" w:val="clear"/>
        <w:spacing w:after="140" w:before="200" w:line="264"/>
        <w:ind w:left="60" w:right="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530"/>
          <w:sz w:val="15"/>
          <w:szCs w:val="15"/>
        </w:rPr>
        <w:t xml:space="preserve">Druk zawiera dane osobowe ucznia, w tym dane o stanie zdrowia — kategorię szczególną danych. Przechowuj go w dokumentacji nadzoru z zachowaniem zasad ochrony danych obowiązujących w placówce.</w:t>
      </w:r>
    </w:p>
    <w:p>
      <w:pPr>
        <w:spacing w:after="2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900"/>
              <w:left w:type="dxa" w:w="100"/>
              <w:bottom w:type="dxa" w:w="8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2D1B69"/>
                <w:sz w:val="15"/>
                <w:szCs w:val="15"/>
              </w:rPr>
              <w:t xml:space="preserve">Kontrolujący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4873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900"/>
              <w:left w:type="dxa" w:w="100"/>
              <w:bottom w:type="dxa" w:w="8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2D1B69"/>
                <w:sz w:val="15"/>
                <w:szCs w:val="15"/>
              </w:rPr>
              <w:t xml:space="preserve">Koordynator zespołu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2"/>
                <w:szCs w:val="12"/>
              </w:rPr>
              <w:t xml:space="preserve">podpis i data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080" w:bottom="12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5" w:sz="4" w:space="4"/>
      </w:pBdr>
      <w:tabs>
        <w:tab w:val="right" w:pos="9740"/>
      </w:tabs>
      <w:spacing w:after="0" w:before="6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Arkusz kontroli realizacji IPET i WOPF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2"/>
        <w:szCs w:val="12"/>
      </w:rPr>
      <w:t xml:space="preserve">   ·   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Dokument wewnętrzny · RODO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Strona </w:t>
    </w:r>
    <w:r>
      <w:rPr>
        <w:rFonts w:ascii="Arial" w:cs="Arial" w:eastAsia="Arial" w:hAnsi="Arial"/>
        <w:b/>
        <w:bCs/>
        <w:color w:val="E8450A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 z </w:t>
    </w:r>
    <w:r>
      <w:rPr>
        <w:rFonts w:ascii="Arial" w:cs="Arial" w:eastAsia="Arial" w:hAnsi="Arial"/>
        <w:b/>
        <w:bCs/>
        <w:color w:val="2D1B69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1B69" w:sz="8" w:space="4"/>
      </w:pBdr>
      <w:tabs>
        <w:tab w:val="right" w:pos="9740"/>
      </w:tabs>
      <w:spacing w:after="0" w:before="0"/>
    </w:pP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5"/>
        <w:szCs w:val="15"/>
      </w:rPr>
      <w:t xml:space="preserve">EduPlaner2026-MJ-PCTP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5"/>
        <w:szCs w:val="15"/>
      </w:rPr>
      <w:t xml:space="preserve">  ·  </w:t>
    </w:r>
    <w:r>
      <w:rPr>
        <w:rFonts w:ascii="Arial" w:cs="Arial" w:eastAsia="Arial" w:hAnsi="Arial"/>
        <w:b/>
        <w:bCs/>
        <w:i w:val="false"/>
        <w:iCs w:val="false"/>
        <w:caps/>
        <w:color w:val="E8450A"/>
        <w:sz w:val="15"/>
        <w:szCs w:val="15"/>
      </w:rPr>
      <w:t xml:space="preserve">Nadzór pedagogiczny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3"/>
        <w:szCs w:val="13"/>
      </w:rPr>
      <w:t xml:space="preserve">Druk </w:t>
    </w: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3"/>
        <w:szCs w:val="13"/>
      </w:rPr>
      <w:t xml:space="preserve">NP-08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300"/>
      </w:pPr>
      <w:rPr>
        <w:b/>
        <w:bCs/>
        <w:color w:val="2D1B69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00"/>
      </w:pPr>
      <w:rPr>
        <w:b/>
        <w:bCs/>
        <w:color w:val="0D7D5C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§"/>
      <w:lvlJc w:val="left"/>
      <w:pPr>
        <w:ind w:left="540" w:hanging="300"/>
      </w:pPr>
      <w:rPr>
        <w:b/>
        <w:bCs/>
        <w:color w:val="C47A1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E8450A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5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Arkusz kontroli realizacji IPET i WOPF</dc:title>
  <dc:creator>EduPlaner2026-MJ-PCTP</dc:creator>
  <dc:description>Druk nadzoru pedagogicznego · PCTP Koszalin</dc:description>
  <cp:lastModifiedBy>Un-named</cp:lastModifiedBy>
  <cp:revision>1</cp:revision>
  <dcterms:created xsi:type="dcterms:W3CDTF">2026-09-16T11:40:45.290Z</dcterms:created>
  <dcterms:modified xsi:type="dcterms:W3CDTF">2026-09-16T11:40:45.290Z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