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10206" w:type="dxa"/>
        <w:tblInd w:w="-459" w:type="dxa"/>
        <w:tblLook w:val="04A0" w:firstRow="1" w:lastRow="0" w:firstColumn="1" w:lastColumn="0" w:noHBand="0" w:noVBand="1"/>
      </w:tblPr>
      <w:tblGrid>
        <w:gridCol w:w="1618"/>
        <w:gridCol w:w="1788"/>
        <w:gridCol w:w="1734"/>
        <w:gridCol w:w="1687"/>
        <w:gridCol w:w="1829"/>
        <w:gridCol w:w="1550"/>
      </w:tblGrid>
      <w:tr w:rsidR="00EF7DE4" w:rsidRPr="00EF7DE4" w:rsidTr="001A21F2">
        <w:trPr>
          <w:trHeight w:val="984"/>
        </w:trPr>
        <w:tc>
          <w:tcPr>
            <w:tcW w:w="1560" w:type="dxa"/>
          </w:tcPr>
          <w:p w:rsidR="00A51663" w:rsidRDefault="00A51663" w:rsidP="0094390F">
            <w:pPr>
              <w:spacing w:line="276" w:lineRule="auto"/>
              <w:jc w:val="both"/>
              <w:rPr>
                <w:sz w:val="4"/>
                <w:szCs w:val="4"/>
              </w:rPr>
            </w:pPr>
            <w:r w:rsidRPr="00A51663">
              <w:rPr>
                <w:sz w:val="20"/>
                <w:szCs w:val="20"/>
              </w:rPr>
              <w:t>Wydział</w:t>
            </w:r>
          </w:p>
          <w:p w:rsidR="001A21F2" w:rsidRDefault="001A21F2" w:rsidP="0094390F">
            <w:pPr>
              <w:spacing w:line="276" w:lineRule="auto"/>
              <w:jc w:val="both"/>
              <w:rPr>
                <w:sz w:val="4"/>
                <w:szCs w:val="4"/>
              </w:rPr>
            </w:pPr>
          </w:p>
          <w:p w:rsidR="001A21F2" w:rsidRDefault="001A21F2" w:rsidP="0094390F">
            <w:pPr>
              <w:spacing w:line="276" w:lineRule="auto"/>
              <w:jc w:val="both"/>
              <w:rPr>
                <w:sz w:val="4"/>
                <w:szCs w:val="4"/>
              </w:rPr>
            </w:pPr>
          </w:p>
          <w:p w:rsidR="001A21F2" w:rsidRPr="001A21F2" w:rsidRDefault="001A21F2" w:rsidP="0094390F">
            <w:pPr>
              <w:spacing w:line="276" w:lineRule="auto"/>
              <w:jc w:val="both"/>
              <w:rPr>
                <w:sz w:val="4"/>
                <w:szCs w:val="4"/>
              </w:rPr>
            </w:pPr>
          </w:p>
          <w:p w:rsidR="00A51663" w:rsidRPr="001A21F2" w:rsidRDefault="00A51663" w:rsidP="002D09BB">
            <w:pPr>
              <w:spacing w:line="276" w:lineRule="auto"/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proofErr w:type="spellStart"/>
            <w:r w:rsidRPr="001A21F2">
              <w:rPr>
                <w:rFonts w:asciiTheme="majorHAnsi" w:hAnsiTheme="majorHAnsi"/>
                <w:b/>
                <w:sz w:val="28"/>
                <w:szCs w:val="28"/>
              </w:rPr>
              <w:t>EAIiE</w:t>
            </w:r>
            <w:proofErr w:type="spellEnd"/>
          </w:p>
        </w:tc>
        <w:tc>
          <w:tcPr>
            <w:tcW w:w="3543" w:type="dxa"/>
            <w:gridSpan w:val="2"/>
          </w:tcPr>
          <w:p w:rsidR="00A51663" w:rsidRDefault="00A51663" w:rsidP="0094390F">
            <w:pPr>
              <w:spacing w:line="276" w:lineRule="auto"/>
              <w:jc w:val="both"/>
              <w:rPr>
                <w:sz w:val="4"/>
                <w:szCs w:val="4"/>
              </w:rPr>
            </w:pPr>
            <w:r w:rsidRPr="001A21F2">
              <w:rPr>
                <w:sz w:val="20"/>
              </w:rPr>
              <w:t>Imię i nazwisko</w:t>
            </w:r>
          </w:p>
          <w:p w:rsidR="006F5711" w:rsidRPr="006F5711" w:rsidRDefault="006F5711" w:rsidP="0094390F">
            <w:pPr>
              <w:spacing w:line="276" w:lineRule="auto"/>
              <w:jc w:val="both"/>
              <w:rPr>
                <w:sz w:val="4"/>
                <w:szCs w:val="4"/>
              </w:rPr>
            </w:pPr>
          </w:p>
          <w:p w:rsidR="00A51663" w:rsidRPr="001A21F2" w:rsidRDefault="00A51663" w:rsidP="0094390F">
            <w:pPr>
              <w:pStyle w:val="Akapitzlist"/>
              <w:numPr>
                <w:ilvl w:val="0"/>
                <w:numId w:val="5"/>
              </w:numPr>
              <w:spacing w:line="276" w:lineRule="auto"/>
              <w:jc w:val="both"/>
              <w:rPr>
                <w:rFonts w:asciiTheme="majorHAnsi" w:hAnsiTheme="majorHAnsi"/>
                <w:b/>
                <w:sz w:val="24"/>
                <w:szCs w:val="24"/>
              </w:rPr>
            </w:pPr>
            <w:r w:rsidRPr="001A21F2">
              <w:rPr>
                <w:rFonts w:asciiTheme="majorHAnsi" w:hAnsiTheme="majorHAnsi"/>
                <w:b/>
                <w:sz w:val="24"/>
                <w:szCs w:val="24"/>
              </w:rPr>
              <w:t>Krzysztof Czernek</w:t>
            </w:r>
          </w:p>
          <w:p w:rsidR="00A51663" w:rsidRPr="001A21F2" w:rsidRDefault="00A51663" w:rsidP="0094390F">
            <w:pPr>
              <w:pStyle w:val="Akapitzlist"/>
              <w:numPr>
                <w:ilvl w:val="0"/>
                <w:numId w:val="5"/>
              </w:numPr>
              <w:spacing w:line="276" w:lineRule="auto"/>
              <w:jc w:val="both"/>
              <w:rPr>
                <w:b/>
                <w:sz w:val="20"/>
              </w:rPr>
            </w:pPr>
            <w:r w:rsidRPr="001A21F2">
              <w:rPr>
                <w:rFonts w:asciiTheme="majorHAnsi" w:hAnsiTheme="majorHAnsi"/>
                <w:b/>
                <w:sz w:val="24"/>
                <w:szCs w:val="24"/>
              </w:rPr>
              <w:t>Tomasz Kozubowski</w:t>
            </w:r>
          </w:p>
        </w:tc>
        <w:tc>
          <w:tcPr>
            <w:tcW w:w="1701" w:type="dxa"/>
          </w:tcPr>
          <w:p w:rsidR="001A21F2" w:rsidRDefault="00A51663" w:rsidP="0094390F">
            <w:pPr>
              <w:spacing w:line="276" w:lineRule="auto"/>
              <w:jc w:val="both"/>
              <w:rPr>
                <w:sz w:val="4"/>
                <w:szCs w:val="4"/>
              </w:rPr>
            </w:pPr>
            <w:r>
              <w:rPr>
                <w:sz w:val="20"/>
              </w:rPr>
              <w:t>Rok</w:t>
            </w:r>
          </w:p>
          <w:p w:rsidR="006F5711" w:rsidRPr="006F5711" w:rsidRDefault="006F5711" w:rsidP="0094390F">
            <w:pPr>
              <w:spacing w:line="276" w:lineRule="auto"/>
              <w:jc w:val="both"/>
              <w:rPr>
                <w:sz w:val="4"/>
                <w:szCs w:val="4"/>
              </w:rPr>
            </w:pPr>
          </w:p>
          <w:p w:rsidR="00A51663" w:rsidRPr="001A21F2" w:rsidRDefault="001A21F2" w:rsidP="002D09BB">
            <w:pPr>
              <w:spacing w:line="276" w:lineRule="auto"/>
              <w:jc w:val="center"/>
              <w:rPr>
                <w:rFonts w:asciiTheme="majorHAnsi" w:hAnsiTheme="majorHAnsi"/>
                <w:b/>
                <w:sz w:val="44"/>
                <w:szCs w:val="44"/>
              </w:rPr>
            </w:pPr>
            <w:r w:rsidRPr="001A21F2">
              <w:rPr>
                <w:rFonts w:asciiTheme="majorHAnsi" w:hAnsiTheme="majorHAnsi"/>
                <w:b/>
                <w:sz w:val="44"/>
                <w:szCs w:val="44"/>
              </w:rPr>
              <w:t>I</w:t>
            </w:r>
          </w:p>
        </w:tc>
        <w:tc>
          <w:tcPr>
            <w:tcW w:w="1843" w:type="dxa"/>
          </w:tcPr>
          <w:p w:rsidR="001A21F2" w:rsidRDefault="001A21F2" w:rsidP="0094390F">
            <w:pPr>
              <w:spacing w:line="276" w:lineRule="auto"/>
              <w:jc w:val="both"/>
              <w:rPr>
                <w:sz w:val="4"/>
                <w:szCs w:val="4"/>
              </w:rPr>
            </w:pPr>
            <w:r>
              <w:rPr>
                <w:sz w:val="20"/>
              </w:rPr>
              <w:t>Grupa</w:t>
            </w:r>
          </w:p>
          <w:p w:rsidR="006F5711" w:rsidRPr="006F5711" w:rsidRDefault="006F5711" w:rsidP="0094390F">
            <w:pPr>
              <w:spacing w:line="276" w:lineRule="auto"/>
              <w:jc w:val="both"/>
              <w:rPr>
                <w:sz w:val="4"/>
                <w:szCs w:val="4"/>
              </w:rPr>
            </w:pPr>
          </w:p>
          <w:p w:rsidR="00EF7DE4" w:rsidRPr="00EF7DE4" w:rsidRDefault="001A21F2" w:rsidP="002D09BB">
            <w:pPr>
              <w:spacing w:line="276" w:lineRule="auto"/>
              <w:jc w:val="center"/>
              <w:rPr>
                <w:sz w:val="20"/>
              </w:rPr>
            </w:pPr>
            <w:r>
              <w:rPr>
                <w:rFonts w:asciiTheme="majorHAnsi" w:hAnsiTheme="majorHAnsi"/>
                <w:b/>
                <w:sz w:val="44"/>
                <w:szCs w:val="44"/>
              </w:rPr>
              <w:t>2</w:t>
            </w:r>
          </w:p>
        </w:tc>
        <w:tc>
          <w:tcPr>
            <w:tcW w:w="1559" w:type="dxa"/>
          </w:tcPr>
          <w:p w:rsidR="001A21F2" w:rsidRPr="001A21F2" w:rsidRDefault="00EA74DA" w:rsidP="0094390F">
            <w:pPr>
              <w:spacing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Zespół</w:t>
            </w:r>
          </w:p>
          <w:p w:rsidR="00EF7DE4" w:rsidRPr="00EF7DE4" w:rsidRDefault="001A21F2" w:rsidP="002D09BB">
            <w:pPr>
              <w:spacing w:line="276" w:lineRule="auto"/>
              <w:jc w:val="center"/>
              <w:rPr>
                <w:sz w:val="20"/>
              </w:rPr>
            </w:pPr>
            <w:r>
              <w:rPr>
                <w:rFonts w:asciiTheme="majorHAnsi" w:hAnsiTheme="majorHAnsi"/>
                <w:b/>
                <w:sz w:val="44"/>
                <w:szCs w:val="44"/>
              </w:rPr>
              <w:t>1</w:t>
            </w:r>
            <w:r w:rsidR="000B23C8">
              <w:rPr>
                <w:rFonts w:asciiTheme="majorHAnsi" w:hAnsiTheme="majorHAnsi"/>
                <w:b/>
                <w:sz w:val="44"/>
                <w:szCs w:val="44"/>
              </w:rPr>
              <w:t>4</w:t>
            </w:r>
          </w:p>
        </w:tc>
      </w:tr>
      <w:tr w:rsidR="00EF7DE4" w:rsidRPr="00EF7DE4" w:rsidTr="001A21F2">
        <w:trPr>
          <w:trHeight w:val="1153"/>
        </w:trPr>
        <w:tc>
          <w:tcPr>
            <w:tcW w:w="1560" w:type="dxa"/>
            <w:vAlign w:val="center"/>
          </w:tcPr>
          <w:p w:rsidR="00EF7DE4" w:rsidRPr="001A21F2" w:rsidRDefault="00A51663" w:rsidP="002D09BB">
            <w:pPr>
              <w:spacing w:line="276" w:lineRule="auto"/>
              <w:jc w:val="center"/>
              <w:rPr>
                <w:rFonts w:asciiTheme="majorHAnsi" w:hAnsiTheme="majorHAnsi"/>
                <w:b/>
                <w:sz w:val="24"/>
              </w:rPr>
            </w:pPr>
            <w:r w:rsidRPr="001A21F2">
              <w:rPr>
                <w:rFonts w:asciiTheme="majorHAnsi" w:hAnsiTheme="majorHAnsi"/>
                <w:b/>
                <w:sz w:val="24"/>
              </w:rPr>
              <w:t xml:space="preserve">PRACOWNIA FIZYCZNA </w:t>
            </w:r>
            <w:proofErr w:type="spellStart"/>
            <w:r w:rsidRPr="001A21F2">
              <w:rPr>
                <w:rFonts w:asciiTheme="majorHAnsi" w:hAnsiTheme="majorHAnsi"/>
                <w:b/>
                <w:sz w:val="24"/>
              </w:rPr>
              <w:t>WFiIS</w:t>
            </w:r>
            <w:proofErr w:type="spellEnd"/>
            <w:r w:rsidRPr="001A21F2">
              <w:rPr>
                <w:rFonts w:asciiTheme="majorHAnsi" w:hAnsiTheme="majorHAnsi"/>
                <w:b/>
                <w:sz w:val="24"/>
              </w:rPr>
              <w:t xml:space="preserve"> AGH</w:t>
            </w:r>
          </w:p>
        </w:tc>
        <w:tc>
          <w:tcPr>
            <w:tcW w:w="7087" w:type="dxa"/>
            <w:gridSpan w:val="4"/>
          </w:tcPr>
          <w:p w:rsidR="001A21F2" w:rsidRDefault="001A21F2" w:rsidP="0094390F">
            <w:pPr>
              <w:spacing w:line="276" w:lineRule="auto"/>
              <w:jc w:val="both"/>
              <w:rPr>
                <w:sz w:val="4"/>
                <w:szCs w:val="4"/>
              </w:rPr>
            </w:pPr>
            <w:r>
              <w:rPr>
                <w:sz w:val="20"/>
              </w:rPr>
              <w:t>Temat</w:t>
            </w:r>
          </w:p>
          <w:p w:rsidR="001A21F2" w:rsidRDefault="001A21F2" w:rsidP="0094390F">
            <w:pPr>
              <w:spacing w:line="276" w:lineRule="auto"/>
              <w:jc w:val="both"/>
              <w:rPr>
                <w:sz w:val="4"/>
                <w:szCs w:val="4"/>
              </w:rPr>
            </w:pPr>
          </w:p>
          <w:p w:rsidR="001A21F2" w:rsidRDefault="001A21F2" w:rsidP="0094390F">
            <w:pPr>
              <w:spacing w:line="276" w:lineRule="auto"/>
              <w:jc w:val="both"/>
              <w:rPr>
                <w:sz w:val="4"/>
                <w:szCs w:val="4"/>
              </w:rPr>
            </w:pPr>
          </w:p>
          <w:p w:rsidR="001A21F2" w:rsidRPr="001A21F2" w:rsidRDefault="001A21F2" w:rsidP="0094390F">
            <w:pPr>
              <w:spacing w:line="276" w:lineRule="auto"/>
              <w:jc w:val="both"/>
              <w:rPr>
                <w:sz w:val="4"/>
                <w:szCs w:val="4"/>
              </w:rPr>
            </w:pPr>
          </w:p>
          <w:p w:rsidR="001A21F2" w:rsidRPr="001A21F2" w:rsidRDefault="00015E94" w:rsidP="00A12D8A">
            <w:pPr>
              <w:spacing w:line="276" w:lineRule="auto"/>
              <w:jc w:val="center"/>
              <w:rPr>
                <w:rFonts w:asciiTheme="majorHAnsi" w:hAnsiTheme="majorHAnsi"/>
                <w:b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sz w:val="28"/>
                <w:szCs w:val="32"/>
              </w:rPr>
              <w:t>Elektroliza</w:t>
            </w:r>
          </w:p>
        </w:tc>
        <w:tc>
          <w:tcPr>
            <w:tcW w:w="1559" w:type="dxa"/>
          </w:tcPr>
          <w:p w:rsidR="001A21F2" w:rsidRDefault="001A21F2" w:rsidP="0094390F">
            <w:pPr>
              <w:spacing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Nr ćwiczenia</w:t>
            </w:r>
          </w:p>
          <w:p w:rsidR="001A21F2" w:rsidRDefault="001A21F2" w:rsidP="0094390F">
            <w:pPr>
              <w:spacing w:line="276" w:lineRule="auto"/>
              <w:jc w:val="both"/>
              <w:rPr>
                <w:sz w:val="4"/>
                <w:szCs w:val="4"/>
              </w:rPr>
            </w:pPr>
          </w:p>
          <w:p w:rsidR="001A21F2" w:rsidRPr="001A21F2" w:rsidRDefault="001A21F2" w:rsidP="0094390F">
            <w:pPr>
              <w:spacing w:line="276" w:lineRule="auto"/>
              <w:jc w:val="both"/>
              <w:rPr>
                <w:sz w:val="4"/>
                <w:szCs w:val="4"/>
              </w:rPr>
            </w:pPr>
          </w:p>
          <w:p w:rsidR="00EF7DE4" w:rsidRPr="00EF7DE4" w:rsidRDefault="00015E94" w:rsidP="00A12D8A">
            <w:pPr>
              <w:spacing w:line="276" w:lineRule="auto"/>
              <w:jc w:val="center"/>
              <w:rPr>
                <w:sz w:val="20"/>
              </w:rPr>
            </w:pPr>
            <w:r>
              <w:rPr>
                <w:rFonts w:asciiTheme="majorHAnsi" w:hAnsiTheme="majorHAnsi"/>
                <w:b/>
                <w:sz w:val="44"/>
                <w:szCs w:val="44"/>
              </w:rPr>
              <w:t>35</w:t>
            </w:r>
          </w:p>
        </w:tc>
      </w:tr>
      <w:tr w:rsidR="00A51663" w:rsidRPr="00EF7DE4" w:rsidTr="001A21F2">
        <w:trPr>
          <w:trHeight w:val="961"/>
        </w:trPr>
        <w:tc>
          <w:tcPr>
            <w:tcW w:w="1560" w:type="dxa"/>
          </w:tcPr>
          <w:p w:rsidR="001A21F2" w:rsidRDefault="003151FA" w:rsidP="0094390F">
            <w:pPr>
              <w:spacing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Data wykonania</w:t>
            </w:r>
          </w:p>
          <w:p w:rsidR="001A21F2" w:rsidRDefault="001A21F2" w:rsidP="0094390F">
            <w:pPr>
              <w:spacing w:line="276" w:lineRule="auto"/>
              <w:jc w:val="both"/>
              <w:rPr>
                <w:sz w:val="4"/>
                <w:szCs w:val="4"/>
              </w:rPr>
            </w:pPr>
          </w:p>
          <w:p w:rsidR="001A21F2" w:rsidRDefault="001A21F2" w:rsidP="0094390F">
            <w:pPr>
              <w:spacing w:line="276" w:lineRule="auto"/>
              <w:jc w:val="both"/>
              <w:rPr>
                <w:sz w:val="4"/>
                <w:szCs w:val="4"/>
              </w:rPr>
            </w:pPr>
          </w:p>
          <w:p w:rsidR="001A21F2" w:rsidRPr="001A21F2" w:rsidRDefault="001A21F2" w:rsidP="0094390F">
            <w:pPr>
              <w:spacing w:line="276" w:lineRule="auto"/>
              <w:jc w:val="both"/>
              <w:rPr>
                <w:sz w:val="4"/>
                <w:szCs w:val="4"/>
              </w:rPr>
            </w:pPr>
          </w:p>
          <w:p w:rsidR="00EF7DE4" w:rsidRPr="001A21F2" w:rsidRDefault="00015E94" w:rsidP="0094390F">
            <w:pPr>
              <w:spacing w:line="276" w:lineRule="auto"/>
              <w:jc w:val="both"/>
              <w:rPr>
                <w:rFonts w:asciiTheme="majorHAnsi" w:hAnsiTheme="majorHAnsi" w:cstheme="minorHAnsi"/>
                <w:sz w:val="32"/>
                <w:szCs w:val="32"/>
              </w:rPr>
            </w:pPr>
            <w:r>
              <w:rPr>
                <w:rFonts w:asciiTheme="majorHAnsi" w:hAnsiTheme="majorHAnsi" w:cstheme="minorHAnsi"/>
                <w:b/>
                <w:sz w:val="24"/>
                <w:szCs w:val="32"/>
              </w:rPr>
              <w:t>15</w:t>
            </w:r>
            <w:r w:rsidR="00576870">
              <w:rPr>
                <w:rFonts w:asciiTheme="majorHAnsi" w:hAnsiTheme="majorHAnsi" w:cstheme="minorHAnsi"/>
                <w:b/>
                <w:sz w:val="24"/>
                <w:szCs w:val="32"/>
              </w:rPr>
              <w:t>.05</w:t>
            </w:r>
            <w:r w:rsidR="001A21F2" w:rsidRPr="001A21F2">
              <w:rPr>
                <w:rFonts w:asciiTheme="majorHAnsi" w:hAnsiTheme="majorHAnsi" w:cstheme="minorHAnsi"/>
                <w:b/>
                <w:sz w:val="24"/>
                <w:szCs w:val="32"/>
              </w:rPr>
              <w:t>.2012</w:t>
            </w:r>
          </w:p>
        </w:tc>
        <w:tc>
          <w:tcPr>
            <w:tcW w:w="1799" w:type="dxa"/>
          </w:tcPr>
          <w:p w:rsidR="001A21F2" w:rsidRDefault="001A21F2" w:rsidP="0094390F">
            <w:pPr>
              <w:spacing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Data oddania</w:t>
            </w:r>
          </w:p>
          <w:p w:rsidR="001A21F2" w:rsidRDefault="001A21F2" w:rsidP="0094390F">
            <w:pPr>
              <w:spacing w:line="276" w:lineRule="auto"/>
              <w:jc w:val="both"/>
              <w:rPr>
                <w:sz w:val="4"/>
                <w:szCs w:val="4"/>
              </w:rPr>
            </w:pPr>
          </w:p>
          <w:p w:rsidR="001A21F2" w:rsidRPr="001A21F2" w:rsidRDefault="001A21F2" w:rsidP="0094390F">
            <w:pPr>
              <w:spacing w:line="276" w:lineRule="auto"/>
              <w:jc w:val="both"/>
              <w:rPr>
                <w:sz w:val="4"/>
                <w:szCs w:val="4"/>
              </w:rPr>
            </w:pPr>
          </w:p>
          <w:p w:rsidR="00EF7DE4" w:rsidRPr="00EF7DE4" w:rsidRDefault="00EF7DE4" w:rsidP="0094390F">
            <w:pPr>
              <w:spacing w:line="276" w:lineRule="auto"/>
              <w:jc w:val="both"/>
              <w:rPr>
                <w:sz w:val="20"/>
              </w:rPr>
            </w:pPr>
          </w:p>
        </w:tc>
        <w:tc>
          <w:tcPr>
            <w:tcW w:w="1744" w:type="dxa"/>
          </w:tcPr>
          <w:p w:rsidR="00EF7DE4" w:rsidRPr="00EF7DE4" w:rsidRDefault="00A51663" w:rsidP="0094390F">
            <w:pPr>
              <w:spacing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Zwrot do poprawy</w:t>
            </w:r>
          </w:p>
        </w:tc>
        <w:tc>
          <w:tcPr>
            <w:tcW w:w="1701" w:type="dxa"/>
          </w:tcPr>
          <w:p w:rsidR="00EF7DE4" w:rsidRPr="00EF7DE4" w:rsidRDefault="00A51663" w:rsidP="0094390F">
            <w:pPr>
              <w:spacing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Data oddania</w:t>
            </w:r>
          </w:p>
        </w:tc>
        <w:tc>
          <w:tcPr>
            <w:tcW w:w="1843" w:type="dxa"/>
          </w:tcPr>
          <w:p w:rsidR="00EF7DE4" w:rsidRPr="00EF7DE4" w:rsidRDefault="00A51663" w:rsidP="0094390F">
            <w:pPr>
              <w:spacing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Data zaliczenia</w:t>
            </w:r>
          </w:p>
        </w:tc>
        <w:tc>
          <w:tcPr>
            <w:tcW w:w="1559" w:type="dxa"/>
          </w:tcPr>
          <w:p w:rsidR="00EF7DE4" w:rsidRPr="00EF7DE4" w:rsidRDefault="00A51663" w:rsidP="0094390F">
            <w:pPr>
              <w:spacing w:line="276" w:lineRule="auto"/>
              <w:jc w:val="both"/>
              <w:rPr>
                <w:sz w:val="20"/>
              </w:rPr>
            </w:pPr>
            <w:r>
              <w:rPr>
                <w:sz w:val="20"/>
              </w:rPr>
              <w:t>OCENA</w:t>
            </w:r>
          </w:p>
        </w:tc>
      </w:tr>
    </w:tbl>
    <w:p w:rsidR="00EF7DE4" w:rsidRPr="00EF7DE4" w:rsidRDefault="00EF7DE4" w:rsidP="0094390F">
      <w:pPr>
        <w:jc w:val="both"/>
      </w:pPr>
    </w:p>
    <w:p w:rsidR="00C41978" w:rsidRDefault="00C41978" w:rsidP="0094390F">
      <w:pPr>
        <w:pStyle w:val="Nagwek1"/>
        <w:numPr>
          <w:ilvl w:val="0"/>
          <w:numId w:val="1"/>
        </w:numPr>
        <w:jc w:val="both"/>
        <w:rPr>
          <w:color w:val="auto"/>
        </w:rPr>
      </w:pPr>
      <w:r w:rsidRPr="00C41978">
        <w:rPr>
          <w:color w:val="auto"/>
        </w:rPr>
        <w:t>Cel ćwiczenia</w:t>
      </w:r>
    </w:p>
    <w:p w:rsidR="00C41978" w:rsidRPr="00A96B5F" w:rsidRDefault="00C41978" w:rsidP="0094390F">
      <w:pPr>
        <w:jc w:val="both"/>
        <w:rPr>
          <w:sz w:val="24"/>
        </w:rPr>
      </w:pPr>
    </w:p>
    <w:p w:rsidR="00C41978" w:rsidRPr="00A96B5F" w:rsidRDefault="00032AD4" w:rsidP="0094390F">
      <w:pPr>
        <w:jc w:val="both"/>
        <w:rPr>
          <w:sz w:val="24"/>
        </w:rPr>
      </w:pPr>
      <w:r>
        <w:rPr>
          <w:sz w:val="24"/>
        </w:rPr>
        <w:t>Załącznik 6</w:t>
      </w:r>
      <w:r w:rsidR="00C41978" w:rsidRPr="00A96B5F">
        <w:rPr>
          <w:sz w:val="24"/>
        </w:rPr>
        <w:t>.1</w:t>
      </w:r>
    </w:p>
    <w:p w:rsidR="00C41978" w:rsidRPr="00C41978" w:rsidRDefault="00C41978" w:rsidP="0094390F">
      <w:pPr>
        <w:pStyle w:val="Nagwek1"/>
        <w:numPr>
          <w:ilvl w:val="0"/>
          <w:numId w:val="1"/>
        </w:numPr>
        <w:jc w:val="both"/>
        <w:rPr>
          <w:color w:val="auto"/>
        </w:rPr>
      </w:pPr>
      <w:r w:rsidRPr="00C41978">
        <w:rPr>
          <w:color w:val="auto"/>
        </w:rPr>
        <w:t>Wstęp teoretyczny</w:t>
      </w:r>
    </w:p>
    <w:p w:rsidR="00C41978" w:rsidRPr="00C41978" w:rsidRDefault="00C41978" w:rsidP="0094390F">
      <w:pPr>
        <w:jc w:val="both"/>
      </w:pPr>
    </w:p>
    <w:p w:rsidR="00C41978" w:rsidRPr="00A96B5F" w:rsidRDefault="00032AD4" w:rsidP="0094390F">
      <w:pPr>
        <w:jc w:val="both"/>
        <w:rPr>
          <w:sz w:val="24"/>
        </w:rPr>
      </w:pPr>
      <w:r>
        <w:rPr>
          <w:sz w:val="24"/>
        </w:rPr>
        <w:t>Załącznik 6</w:t>
      </w:r>
      <w:r w:rsidR="001317DF">
        <w:rPr>
          <w:sz w:val="24"/>
        </w:rPr>
        <w:t>.2</w:t>
      </w:r>
    </w:p>
    <w:p w:rsidR="00C41978" w:rsidRDefault="00C41978" w:rsidP="0094390F">
      <w:pPr>
        <w:pStyle w:val="Nagwek1"/>
        <w:numPr>
          <w:ilvl w:val="0"/>
          <w:numId w:val="1"/>
        </w:numPr>
        <w:jc w:val="both"/>
        <w:rPr>
          <w:color w:val="auto"/>
        </w:rPr>
      </w:pPr>
      <w:r w:rsidRPr="00C41978">
        <w:rPr>
          <w:color w:val="auto"/>
        </w:rPr>
        <w:t>Wyniki pomiarów</w:t>
      </w:r>
    </w:p>
    <w:p w:rsidR="00C41978" w:rsidRPr="00426893" w:rsidRDefault="00C41978" w:rsidP="0094390F">
      <w:pPr>
        <w:jc w:val="both"/>
        <w:rPr>
          <w:rFonts w:cstheme="minorHAnsi"/>
          <w:sz w:val="24"/>
          <w:szCs w:val="24"/>
        </w:rPr>
      </w:pPr>
    </w:p>
    <w:p w:rsidR="005B18FC" w:rsidRPr="00E57303" w:rsidRDefault="00E57303" w:rsidP="00170732">
      <w:pPr>
        <w:pStyle w:val="Styl1"/>
        <w:ind w:left="0" w:firstLine="360"/>
        <w:rPr>
          <w:sz w:val="22"/>
        </w:rPr>
      </w:pPr>
      <w:r>
        <w:t xml:space="preserve">Doświadczenie rozpoczęliśmy od dokładnego oczyszczenia trzech miedzianych płytek, które posłużyły nam za katodę </w:t>
      </w:r>
      <m:oMath>
        <m:r>
          <w:rPr>
            <w:rFonts w:ascii="Cambria Math" w:hAnsi="Cambria Math"/>
          </w:rPr>
          <m:t xml:space="preserve">m </m:t>
        </m:r>
      </m:oMath>
      <w:r>
        <w:t>oraz dwie anody M</w:t>
      </w:r>
      <w:r>
        <w:rPr>
          <w:vertAlign w:val="subscript"/>
        </w:rPr>
        <w:t xml:space="preserve">L </w:t>
      </w:r>
      <w:r>
        <w:t>i M</w:t>
      </w:r>
      <w:r>
        <w:rPr>
          <w:vertAlign w:val="subscript"/>
        </w:rPr>
        <w:t>P</w:t>
      </w:r>
      <w:r>
        <w:t xml:space="preserve">. Płytki zważyliśmy wagą analityczną o dokładności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m=0,001g</m:t>
        </m:r>
      </m:oMath>
      <w:r>
        <w:t xml:space="preserve">. Następnie zanurzyliśmy elektrody w cieczy i ustawiliśmy natężenie prądu na </w:t>
      </w:r>
      <m:oMath>
        <m:r>
          <w:rPr>
            <w:rFonts w:ascii="Cambria Math" w:hAnsi="Cambria Math"/>
          </w:rPr>
          <m:t>I=0,5A</m:t>
        </m:r>
      </m:oMath>
      <w:r>
        <w:t xml:space="preserve">, jednocześnie włączając stoper. Po upływie czasu </w:t>
      </w:r>
      <m:oMath>
        <m:r>
          <w:rPr>
            <w:rFonts w:ascii="Cambria Math" w:hAnsi="Cambria Math"/>
          </w:rPr>
          <m:t>t=30min</m:t>
        </m:r>
      </m:oMath>
      <w:r>
        <w:t xml:space="preserve"> wyłączyliśmy zasilanie i po przemyciu płytek wodą destylowaną ponownie je zważyliśmy. Wyniki pomiarów zamieściliśmy w tabeli w załączniku 6.3</w:t>
      </w:r>
    </w:p>
    <w:p w:rsidR="005D6179" w:rsidRDefault="00A96B5F" w:rsidP="0094390F">
      <w:pPr>
        <w:pStyle w:val="Nagwek1"/>
        <w:numPr>
          <w:ilvl w:val="0"/>
          <w:numId w:val="1"/>
        </w:numPr>
        <w:jc w:val="both"/>
        <w:rPr>
          <w:color w:val="auto"/>
        </w:rPr>
      </w:pPr>
      <w:r w:rsidRPr="00E20F48">
        <w:rPr>
          <w:color w:val="auto"/>
        </w:rPr>
        <w:t>Opracowanie wyników pomiarów</w:t>
      </w:r>
    </w:p>
    <w:p w:rsidR="00330C8F" w:rsidRDefault="00330C8F" w:rsidP="00330C8F">
      <w:pPr>
        <w:jc w:val="both"/>
        <w:rPr>
          <w:rFonts w:eastAsiaTheme="minorEastAsia" w:cstheme="minorHAnsi"/>
          <w:sz w:val="24"/>
          <w:szCs w:val="24"/>
        </w:rPr>
      </w:pPr>
    </w:p>
    <w:p w:rsidR="00DC5517" w:rsidRDefault="00DC5517" w:rsidP="00DC5517">
      <w:pPr>
        <w:pStyle w:val="Styl1"/>
        <w:ind w:left="0" w:firstLine="360"/>
      </w:pPr>
      <w:r>
        <w:t xml:space="preserve">Opracowanie wyników pomiarów rozpoczęliśmy od porównania mas elektrod przed i po elektrolizie. Masa miedzi, jaka wydzieliła się na katodzie obliczyliśmy ze wzoru </w:t>
      </w:r>
      <m:oMath>
        <m:r>
          <w:rPr>
            <w:rFonts w:ascii="Cambria Math" w:hAnsi="Cambria Math"/>
          </w:rPr>
          <m:t>m=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=0,299g</m:t>
        </m:r>
      </m:oMath>
      <w:r>
        <w:t xml:space="preserve"> (6.4.1). Zmiana masy anod wyniosła </w:t>
      </w:r>
      <m:oMath>
        <m:r>
          <w:rPr>
            <w:rFonts w:ascii="Cambria Math" w:hAnsi="Cambria Math"/>
          </w:rPr>
          <m:t>M=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L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b>
        </m:sSub>
        <m:r>
          <w:rPr>
            <w:rFonts w:ascii="Cambria Math" w:hAnsi="Cambria Math"/>
          </w:rPr>
          <m:t>=0,305g</m:t>
        </m:r>
      </m:oMath>
      <w:r>
        <w:t xml:space="preserve"> (6.4.2). Korzystając z I prawa elektrolizy Faradaya obliczyliśmy wartość współczynnika elektrochemicznego miedzi 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It</m:t>
            </m:r>
          </m:den>
        </m:f>
        <m:r>
          <w:rPr>
            <w:rFonts w:ascii="Cambria Math" w:hAnsi="Cambria Math"/>
          </w:rPr>
          <m:t>=0,332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mg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</m:oMath>
      <w:r>
        <w:t xml:space="preserve"> (6.4.3). Korzystając z otrzymanej wartości współczynnika k obliczyliśmy stałą Faradaya </w:t>
      </w: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μ</m:t>
            </m:r>
          </m:num>
          <m:den>
            <m:r>
              <w:rPr>
                <w:rFonts w:ascii="Cambria Math" w:hAnsi="Cambria Math"/>
              </w:rPr>
              <m:t>kw</m:t>
            </m:r>
          </m:den>
        </m:f>
        <m:r>
          <w:rPr>
            <w:rFonts w:ascii="Cambria Math" w:hAnsi="Cambria Math"/>
          </w:rPr>
          <m:t>=95689</m:t>
        </m:r>
        <m:r>
          <w:rPr>
            <w:rFonts w:ascii="Cambria Math" w:hAnsi="Cambria Math"/>
          </w:rPr>
          <m:t xml:space="preserve"> C</m:t>
        </m:r>
      </m:oMath>
      <w:r>
        <w:t xml:space="preserve"> (6.4.4). </w:t>
      </w:r>
      <w:r>
        <w:lastRenderedPageBreak/>
        <w:t xml:space="preserve">Następnie obliczyliśmy wielkość ładunku elementarnego posługując się wyznaczoną stałą Faradaya oraz liczbą Avogadro </w:t>
      </w:r>
      <m:oMath>
        <m:r>
          <w:rPr>
            <w:rFonts w:ascii="Cambria Math" w:hAnsi="Cambria Math"/>
          </w:rPr>
          <m:t>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den>
        </m:f>
        <m:r>
          <w:rPr>
            <w:rFonts w:ascii="Cambria Math" w:hAnsi="Cambria Math"/>
          </w:rPr>
          <m:t>=1,588 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-19</m:t>
            </m:r>
          </m:sup>
        </m:sSup>
        <m:r>
          <w:rPr>
            <w:rFonts w:ascii="Cambria Math" w:hAnsi="Cambria Math"/>
          </w:rPr>
          <m:t>C</m:t>
        </m:r>
      </m:oMath>
      <w:r>
        <w:t xml:space="preserve"> (6.4.5). Następnie przystąpiliśmy do liczenia niepewności pomiarowych. Biorąc pod uwagę czynniki zewnętrzne (czyszczenie, suszenie, przenoszenie) przyjęliśmy niepewność pomiaru </w:t>
      </w:r>
      <w:r w:rsidR="00A24BDB">
        <w:t xml:space="preserve">masy </w:t>
      </w:r>
      <w:r>
        <w:t xml:space="preserve">płytek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=0,01g</m:t>
        </m:r>
      </m:oMath>
      <w:r>
        <w:t xml:space="preserve">. </w:t>
      </w:r>
      <w:r w:rsidR="00E41A74">
        <w:t>Odczytując zakres i klasę amperomierza (</w:t>
      </w:r>
      <m:oMath>
        <m:r>
          <w:rPr>
            <w:rFonts w:ascii="Cambria Math" w:hAnsi="Cambria Math"/>
          </w:rPr>
          <m:t>z=0,75A,  k</m:t>
        </m:r>
        <m:r>
          <w:rPr>
            <w:rFonts w:ascii="Cambria Math" w:hAnsi="Cambria Math"/>
          </w:rPr>
          <m:t>l=0,5</m:t>
        </m:r>
      </m:oMath>
      <w:r w:rsidR="00E41A74">
        <w:t>) obliczyli</w:t>
      </w:r>
      <w:proofErr w:type="spellStart"/>
      <w:r w:rsidR="000B5A03">
        <w:t>śmy</w:t>
      </w:r>
      <w:proofErr w:type="spellEnd"/>
      <w:r w:rsidR="000B5A03">
        <w:t xml:space="preserve"> niepewność pomiaru natężenia</w:t>
      </w:r>
      <w:r w:rsidR="00E41A74">
        <w:t xml:space="preserve"> prądu elektrycznego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kl∙z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=0,0038A</m:t>
        </m:r>
      </m:oMath>
      <w:r w:rsidR="00E41A74">
        <w:t xml:space="preserve"> (6.4.6). Niepewność pomiaru czasu oszacowaliśmy na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=5s</m:t>
        </m:r>
      </m:oMath>
      <w:r w:rsidR="00E41A74">
        <w:t>. Mimo, że niepewność względna pomiaru czasu wydaje się zaniedbywalnie mała, użyliśmy jej w dalszych ob</w:t>
      </w:r>
      <w:proofErr w:type="spellStart"/>
      <w:r w:rsidR="00E41A74">
        <w:t>liczeniach</w:t>
      </w:r>
      <w:proofErr w:type="spellEnd"/>
      <w:r w:rsidR="00E41A74">
        <w:t>.</w:t>
      </w:r>
    </w:p>
    <w:p w:rsidR="00E41A74" w:rsidRDefault="00E41A74" w:rsidP="00DC5517">
      <w:pPr>
        <w:pStyle w:val="Styl1"/>
        <w:ind w:left="0" w:firstLine="360"/>
      </w:pPr>
      <w:r>
        <w:t xml:space="preserve">Niepewność względną pomiaru równoważnika elektrochemicznego obliczyliśmy ze wzoru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=0,0344</m:t>
        </m:r>
      </m:oMath>
      <w:r>
        <w:t xml:space="preserve"> (6.4.7). Niepewność bezwzględna pomiaru wyniosła więc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∙k=1,142∙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mg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</m:oMath>
      <w:r>
        <w:t xml:space="preserve"> (6.4.8). Niepewności względne pomiaru stałej Faradaya oraz ładunku elementarnego są takie same, jak obliczona niepewność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>
        <w:t xml:space="preserve">. W związku z tym niepewności </w:t>
      </w:r>
      <w:r w:rsidR="00E405C2">
        <w:t>bez</w:t>
      </w:r>
      <w:r>
        <w:t xml:space="preserve">względne tych pomiarów wynoszą odpowiednio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∙F=3290,53 C</m:t>
        </m:r>
      </m:oMath>
      <w:r>
        <w:t xml:space="preserve"> (6.4.9) oraz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∙e=5,462∙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-21</m:t>
            </m:r>
          </m:sup>
        </m:sSup>
      </m:oMath>
      <w:r>
        <w:t xml:space="preserve"> (6.4.10). </w:t>
      </w:r>
    </w:p>
    <w:p w:rsidR="009219AE" w:rsidRPr="009219AE" w:rsidRDefault="009219AE" w:rsidP="009219AE">
      <w:pPr>
        <w:pStyle w:val="Nagwek1"/>
        <w:ind w:left="993" w:hanging="567"/>
        <w:rPr>
          <w:rFonts w:eastAsiaTheme="minorEastAsia"/>
          <w:color w:val="auto"/>
        </w:rPr>
      </w:pPr>
      <w:r w:rsidRPr="009219AE">
        <w:rPr>
          <w:rFonts w:eastAsiaTheme="minorEastAsia"/>
          <w:color w:val="auto"/>
        </w:rPr>
        <w:t xml:space="preserve">V. </w:t>
      </w:r>
      <w:r>
        <w:rPr>
          <w:rFonts w:eastAsiaTheme="minorEastAsia"/>
          <w:color w:val="auto"/>
        </w:rPr>
        <w:tab/>
      </w:r>
      <w:r w:rsidRPr="009219AE">
        <w:rPr>
          <w:rFonts w:eastAsiaTheme="minorEastAsia"/>
          <w:color w:val="auto"/>
        </w:rPr>
        <w:t>Wnioski</w:t>
      </w:r>
    </w:p>
    <w:p w:rsidR="00536D03" w:rsidRPr="00463D18" w:rsidRDefault="00536D03" w:rsidP="0094390F">
      <w:pPr>
        <w:jc w:val="both"/>
        <w:rPr>
          <w:sz w:val="24"/>
          <w:szCs w:val="24"/>
        </w:rPr>
      </w:pPr>
    </w:p>
    <w:p w:rsidR="00215822" w:rsidRPr="0092652B" w:rsidRDefault="00215822" w:rsidP="00215822">
      <w:pPr>
        <w:pStyle w:val="Akapitzlist"/>
        <w:numPr>
          <w:ilvl w:val="0"/>
          <w:numId w:val="10"/>
        </w:numPr>
        <w:jc w:val="both"/>
        <w:rPr>
          <w:sz w:val="24"/>
        </w:rPr>
      </w:pPr>
      <w:r w:rsidRPr="0092652B">
        <w:rPr>
          <w:sz w:val="24"/>
        </w:rPr>
        <w:t xml:space="preserve">Wartość tablicowa równoważnika elektrochemicznego dla miedzi wynosi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k</m:t>
            </m:r>
          </m:e>
          <m:sub>
            <m:r>
              <w:rPr>
                <w:rFonts w:ascii="Cambria Math" w:hAnsi="Cambria Math"/>
                <w:sz w:val="24"/>
              </w:rPr>
              <m:t>tab</m:t>
            </m:r>
          </m:sub>
        </m:sSub>
        <m:r>
          <w:rPr>
            <w:rFonts w:ascii="Cambria Math" w:hAnsi="Cambria Math"/>
            <w:sz w:val="24"/>
          </w:rPr>
          <m:t>=0,3294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mg</m:t>
            </m:r>
          </m:num>
          <m:den>
            <m:r>
              <w:rPr>
                <w:rFonts w:ascii="Cambria Math" w:hAnsi="Cambria Math"/>
                <w:sz w:val="24"/>
              </w:rPr>
              <m:t>C</m:t>
            </m:r>
          </m:den>
        </m:f>
      </m:oMath>
      <w:r w:rsidRPr="0092652B">
        <w:rPr>
          <w:rFonts w:eastAsiaTheme="minorEastAsia"/>
          <w:sz w:val="24"/>
        </w:rPr>
        <w:t xml:space="preserve">, a więc nasz wynik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dośw</m:t>
            </m:r>
          </m:sub>
        </m:sSub>
        <m:r>
          <w:rPr>
            <w:rFonts w:ascii="Cambria Math" w:eastAsiaTheme="minorEastAsia" w:hAnsi="Cambria Math"/>
            <w:sz w:val="24"/>
          </w:rPr>
          <m:t>=0,3322</m:t>
        </m:r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mg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C</m:t>
            </m:r>
          </m:den>
        </m:f>
      </m:oMath>
      <w:r w:rsidRPr="0092652B">
        <w:rPr>
          <w:rFonts w:eastAsiaTheme="minorEastAsia"/>
          <w:sz w:val="24"/>
        </w:rPr>
        <w:t xml:space="preserve"> jest zgodny z wartością tablicową w granicach niepewności pomiarowej, tzn. wartość tablicowa leży w przedziale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0,3208 ;0,3436</m:t>
            </m:r>
          </m:e>
        </m:d>
        <m:f>
          <m:fPr>
            <m:ctrlPr>
              <w:rPr>
                <w:rFonts w:ascii="Cambria Math" w:eastAsiaTheme="minorEastAsia" w:hAnsi="Cambria Math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</w:rPr>
              <m:t>mg</m:t>
            </m:r>
          </m:num>
          <m:den>
            <m:r>
              <w:rPr>
                <w:rFonts w:ascii="Cambria Math" w:eastAsiaTheme="minorEastAsia" w:hAnsi="Cambria Math"/>
                <w:sz w:val="24"/>
              </w:rPr>
              <m:t>C</m:t>
            </m:r>
          </m:den>
        </m:f>
      </m:oMath>
      <w:r w:rsidRPr="0092652B">
        <w:rPr>
          <w:rFonts w:eastAsiaTheme="minorEastAsia"/>
          <w:sz w:val="24"/>
        </w:rPr>
        <w:t xml:space="preserve"> </w:t>
      </w:r>
      <w:r w:rsidRPr="0092652B">
        <w:rPr>
          <w:rFonts w:eastAsiaTheme="minorEastAsia"/>
          <w:sz w:val="24"/>
        </w:rPr>
        <w:br/>
      </w:r>
    </w:p>
    <w:p w:rsidR="003870FD" w:rsidRPr="0092652B" w:rsidRDefault="00215822" w:rsidP="003870FD">
      <w:pPr>
        <w:pStyle w:val="Akapitzlist"/>
        <w:numPr>
          <w:ilvl w:val="0"/>
          <w:numId w:val="10"/>
        </w:numPr>
        <w:jc w:val="both"/>
        <w:rPr>
          <w:sz w:val="24"/>
        </w:rPr>
      </w:pPr>
      <w:r w:rsidRPr="0092652B">
        <w:rPr>
          <w:rFonts w:eastAsiaTheme="minorEastAsia"/>
          <w:sz w:val="24"/>
        </w:rPr>
        <w:t xml:space="preserve">Wyznaczona przez nas wartość stałej Faradaya </w:t>
      </w:r>
      <w:r w:rsidR="003870FD" w:rsidRPr="0092652B">
        <w:rPr>
          <w:rFonts w:eastAsiaTheme="minorEastAsia"/>
          <w:sz w:val="24"/>
        </w:rPr>
        <w:t xml:space="preserve">jest równa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dośw</m:t>
            </m:r>
          </m:sub>
        </m:sSub>
        <m:r>
          <w:rPr>
            <w:rFonts w:ascii="Cambria Math" w:eastAsiaTheme="minorEastAsia" w:hAnsi="Cambria Math"/>
            <w:sz w:val="24"/>
          </w:rPr>
          <m:t>=95689</m:t>
        </m:r>
        <m:r>
          <w:rPr>
            <w:rFonts w:ascii="Cambria Math" w:eastAsiaTheme="minorEastAsia" w:hAnsi="Cambria Math"/>
            <w:sz w:val="24"/>
          </w:rPr>
          <m:t xml:space="preserve"> C</m:t>
        </m:r>
      </m:oMath>
      <w:r w:rsidR="003870FD" w:rsidRPr="0092652B">
        <w:rPr>
          <w:rFonts w:eastAsiaTheme="minorEastAsia"/>
          <w:sz w:val="24"/>
        </w:rPr>
        <w:t xml:space="preserve">. Jest to wynik zgodny z wartością tablicową w granicach niepewności, gdyż wartość tablicowa wynosi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tab</m:t>
            </m:r>
          </m:sub>
        </m:sSub>
        <m:r>
          <w:rPr>
            <w:rFonts w:ascii="Cambria Math" w:eastAsiaTheme="minorEastAsia" w:hAnsi="Cambria Math"/>
            <w:sz w:val="24"/>
          </w:rPr>
          <m:t>=96500 C</m:t>
        </m:r>
      </m:oMath>
      <w:r w:rsidR="003870FD" w:rsidRPr="0092652B">
        <w:rPr>
          <w:rFonts w:eastAsiaTheme="minorEastAsia"/>
          <w:sz w:val="24"/>
        </w:rPr>
        <w:t xml:space="preserve"> i mieści się w przedziale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 xml:space="preserve"> 92398 ;98979 </m:t>
            </m:r>
          </m:e>
        </m:d>
        <m:r>
          <w:rPr>
            <w:rFonts w:ascii="Cambria Math" w:eastAsiaTheme="minorEastAsia" w:hAnsi="Cambria Math"/>
            <w:sz w:val="24"/>
          </w:rPr>
          <m:t>C</m:t>
        </m:r>
      </m:oMath>
      <w:r w:rsidR="003870FD" w:rsidRPr="0092652B">
        <w:rPr>
          <w:rFonts w:eastAsiaTheme="minorEastAsia"/>
          <w:sz w:val="24"/>
        </w:rPr>
        <w:br/>
      </w:r>
    </w:p>
    <w:p w:rsidR="003870FD" w:rsidRPr="0092652B" w:rsidRDefault="003870FD" w:rsidP="003870FD">
      <w:pPr>
        <w:pStyle w:val="Akapitzlist"/>
        <w:numPr>
          <w:ilvl w:val="0"/>
          <w:numId w:val="10"/>
        </w:numPr>
        <w:jc w:val="both"/>
        <w:rPr>
          <w:sz w:val="24"/>
        </w:rPr>
      </w:pPr>
      <w:r w:rsidRPr="0092652B">
        <w:rPr>
          <w:rFonts w:eastAsiaTheme="minorEastAsia"/>
          <w:sz w:val="24"/>
        </w:rPr>
        <w:t xml:space="preserve">Wyznaczona przez nas wartość ładunku elementarnego jest równa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dośw</m:t>
            </m:r>
          </m:sub>
        </m:sSub>
        <m:r>
          <w:rPr>
            <w:rFonts w:ascii="Cambria Math" w:eastAsiaTheme="minorEastAsia" w:hAnsi="Cambria Math"/>
            <w:sz w:val="24"/>
          </w:rPr>
          <m:t>=1,588∙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-19</m:t>
            </m:r>
          </m:sup>
        </m:sSup>
      </m:oMath>
      <w:r w:rsidRPr="0092652B">
        <w:rPr>
          <w:rFonts w:eastAsiaTheme="minorEastAsia"/>
          <w:sz w:val="24"/>
        </w:rPr>
        <w:t>. Jest to wynik zgodny z wartością tablicową w granicach n</w:t>
      </w:r>
      <w:proofErr w:type="spellStart"/>
      <w:r w:rsidRPr="0092652B">
        <w:rPr>
          <w:rFonts w:eastAsiaTheme="minorEastAsia"/>
          <w:sz w:val="24"/>
        </w:rPr>
        <w:t>iepewności</w:t>
      </w:r>
      <w:proofErr w:type="spellEnd"/>
      <w:r w:rsidRPr="0092652B">
        <w:rPr>
          <w:rFonts w:eastAsiaTheme="minorEastAsia"/>
          <w:sz w:val="24"/>
        </w:rPr>
        <w:t xml:space="preserve">, gdyż wartość tablicowa wynosi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tab</m:t>
            </m:r>
          </m:sub>
        </m:sSub>
        <m:r>
          <w:rPr>
            <w:rFonts w:ascii="Cambria Math" w:eastAsiaTheme="minorEastAsia" w:hAnsi="Cambria Math"/>
            <w:sz w:val="24"/>
          </w:rPr>
          <m:t>=1,602∙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-19</m:t>
            </m:r>
          </m:sup>
        </m:sSup>
        <m:r>
          <w:rPr>
            <w:rFonts w:ascii="Cambria Math" w:eastAsiaTheme="minorEastAsia" w:hAnsi="Cambria Math"/>
            <w:sz w:val="24"/>
          </w:rPr>
          <m:t xml:space="preserve"> C</m:t>
        </m:r>
      </m:oMath>
      <w:r w:rsidRPr="0092652B">
        <w:rPr>
          <w:rFonts w:eastAsiaTheme="minorEastAsia"/>
          <w:sz w:val="24"/>
        </w:rPr>
        <w:t xml:space="preserve"> i mieści się w przedziale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 xml:space="preserve"> 1,534 ;1,643 </m:t>
            </m:r>
          </m:e>
        </m:d>
        <m:r>
          <w:rPr>
            <w:rFonts w:ascii="Cambria Math" w:eastAsiaTheme="minorEastAsia" w:hAnsi="Cambria Math"/>
            <w:sz w:val="24"/>
          </w:rPr>
          <m:t>∙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</w:rPr>
              <m:t>-19</m:t>
            </m:r>
          </m:sup>
        </m:sSup>
        <m:r>
          <w:rPr>
            <w:rFonts w:ascii="Cambria Math" w:eastAsiaTheme="minorEastAsia" w:hAnsi="Cambria Math"/>
            <w:sz w:val="24"/>
          </w:rPr>
          <m:t xml:space="preserve"> C</m:t>
        </m:r>
      </m:oMath>
      <w:r w:rsidRPr="0092652B">
        <w:rPr>
          <w:rFonts w:eastAsiaTheme="minorEastAsia"/>
          <w:sz w:val="24"/>
        </w:rPr>
        <w:br/>
      </w:r>
    </w:p>
    <w:p w:rsidR="003870FD" w:rsidRPr="0092652B" w:rsidRDefault="0092652B" w:rsidP="003870FD">
      <w:pPr>
        <w:pStyle w:val="Akapitzlist"/>
        <w:numPr>
          <w:ilvl w:val="0"/>
          <w:numId w:val="10"/>
        </w:numPr>
        <w:jc w:val="both"/>
        <w:rPr>
          <w:sz w:val="24"/>
        </w:rPr>
      </w:pPr>
      <w:r w:rsidRPr="0092652B">
        <w:rPr>
          <w:rFonts w:eastAsiaTheme="minorEastAsia"/>
          <w:sz w:val="24"/>
        </w:rPr>
        <w:t xml:space="preserve">Masa wydzielona na katodzie jest równa </w:t>
      </w:r>
      <m:oMath>
        <m:r>
          <w:rPr>
            <w:rFonts w:ascii="Cambria Math" w:eastAsiaTheme="minorEastAsia" w:hAnsi="Cambria Math"/>
            <w:sz w:val="24"/>
          </w:rPr>
          <m:t>m=0,299g</m:t>
        </m:r>
      </m:oMath>
      <w:r w:rsidRPr="0092652B">
        <w:rPr>
          <w:rFonts w:eastAsiaTheme="minorEastAsia"/>
          <w:sz w:val="24"/>
        </w:rPr>
        <w:t xml:space="preserve">, zmiana masy anod wyniosła </w:t>
      </w:r>
      <m:oMath>
        <m:r>
          <w:rPr>
            <w:rFonts w:ascii="Cambria Math" w:eastAsiaTheme="minorEastAsia" w:hAnsi="Cambria Math"/>
            <w:sz w:val="24"/>
          </w:rPr>
          <m:t>M=0,305g</m:t>
        </m:r>
      </m:oMath>
      <w:r w:rsidRPr="0092652B">
        <w:rPr>
          <w:rFonts w:eastAsiaTheme="minorEastAsia"/>
          <w:sz w:val="24"/>
        </w:rPr>
        <w:t xml:space="preserve">. Niepewność pomiaru masy przyjęliśmy jako </w:t>
      </w:r>
      <m:oMath>
        <m:r>
          <w:rPr>
            <w:rFonts w:ascii="Cambria Math" w:eastAsiaTheme="minorEastAsia" w:hAnsi="Cambria Math"/>
            <w:sz w:val="24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m</m:t>
            </m:r>
          </m:e>
        </m:d>
        <m:r>
          <w:rPr>
            <w:rFonts w:ascii="Cambria Math" w:eastAsiaTheme="minorEastAsia" w:hAnsi="Cambria Math"/>
            <w:sz w:val="24"/>
          </w:rPr>
          <m:t>=0,01g</m:t>
        </m:r>
      </m:oMath>
      <w:r w:rsidRPr="0092652B">
        <w:rPr>
          <w:rFonts w:eastAsiaTheme="minorEastAsia"/>
          <w:sz w:val="24"/>
        </w:rPr>
        <w:t>, więc masy te są równe w granicach niepewności</w:t>
      </w:r>
      <w:r w:rsidR="00D332A6">
        <w:rPr>
          <w:rFonts w:eastAsiaTheme="minorEastAsia"/>
          <w:sz w:val="24"/>
        </w:rPr>
        <w:t xml:space="preserve"> (gdyż </w:t>
      </w:r>
      <m:oMath>
        <m:r>
          <w:rPr>
            <w:rFonts w:ascii="Cambria Math" w:eastAsiaTheme="minorEastAsia" w:hAnsi="Cambria Math"/>
            <w:sz w:val="24"/>
          </w:rPr>
          <m:t>M∈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 xml:space="preserve">0,289 ;0,309 </m:t>
            </m:r>
          </m:e>
        </m:d>
        <m:r>
          <w:rPr>
            <w:rFonts w:ascii="Cambria Math" w:eastAsiaTheme="minorEastAsia" w:hAnsi="Cambria Math"/>
            <w:sz w:val="24"/>
          </w:rPr>
          <m:t xml:space="preserve">g </m:t>
        </m:r>
      </m:oMath>
      <w:r w:rsidR="00D332A6">
        <w:rPr>
          <w:rFonts w:eastAsiaTheme="minorEastAsia"/>
          <w:sz w:val="24"/>
        </w:rPr>
        <w:t>)</w:t>
      </w:r>
      <w:r w:rsidRPr="0092652B">
        <w:rPr>
          <w:rFonts w:eastAsiaTheme="minorEastAsia"/>
          <w:sz w:val="24"/>
        </w:rPr>
        <w:t xml:space="preserve">. Nasz wynik jest więc zgodny z </w:t>
      </w:r>
      <w:r w:rsidR="00D332A6">
        <w:rPr>
          <w:rFonts w:eastAsiaTheme="minorEastAsia"/>
          <w:sz w:val="24"/>
        </w:rPr>
        <w:t>zasadą zachowania masy w takim układzie.</w:t>
      </w:r>
      <w:bookmarkStart w:id="0" w:name="_GoBack"/>
      <w:bookmarkEnd w:id="0"/>
    </w:p>
    <w:sectPr w:rsidR="003870FD" w:rsidRPr="0092652B" w:rsidSect="00DA1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267B4"/>
    <w:multiLevelType w:val="hybridMultilevel"/>
    <w:tmpl w:val="1F58F272"/>
    <w:lvl w:ilvl="0" w:tplc="8798490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55826"/>
    <w:multiLevelType w:val="hybridMultilevel"/>
    <w:tmpl w:val="F6720362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6769A"/>
    <w:multiLevelType w:val="hybridMultilevel"/>
    <w:tmpl w:val="863628DA"/>
    <w:lvl w:ilvl="0" w:tplc="5BBA7D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F4775F"/>
    <w:multiLevelType w:val="hybridMultilevel"/>
    <w:tmpl w:val="F99C93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F2136E"/>
    <w:multiLevelType w:val="hybridMultilevel"/>
    <w:tmpl w:val="2A0ED4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8A2984"/>
    <w:multiLevelType w:val="hybridMultilevel"/>
    <w:tmpl w:val="863628DA"/>
    <w:lvl w:ilvl="0" w:tplc="5BBA7D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1C1741"/>
    <w:multiLevelType w:val="hybridMultilevel"/>
    <w:tmpl w:val="92E85A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8C7D89"/>
    <w:multiLevelType w:val="hybridMultilevel"/>
    <w:tmpl w:val="8F8A20D8"/>
    <w:lvl w:ilvl="0" w:tplc="04150017">
      <w:start w:val="1"/>
      <w:numFmt w:val="lowerLetter"/>
      <w:lvlText w:val="%1)"/>
      <w:lvlJc w:val="left"/>
      <w:pPr>
        <w:ind w:left="1140" w:hanging="360"/>
      </w:pPr>
    </w:lvl>
    <w:lvl w:ilvl="1" w:tplc="04150019" w:tentative="1">
      <w:start w:val="1"/>
      <w:numFmt w:val="lowerLetter"/>
      <w:lvlText w:val="%2."/>
      <w:lvlJc w:val="left"/>
      <w:pPr>
        <w:ind w:left="1860" w:hanging="360"/>
      </w:pPr>
    </w:lvl>
    <w:lvl w:ilvl="2" w:tplc="0415001B" w:tentative="1">
      <w:start w:val="1"/>
      <w:numFmt w:val="lowerRoman"/>
      <w:lvlText w:val="%3."/>
      <w:lvlJc w:val="right"/>
      <w:pPr>
        <w:ind w:left="2580" w:hanging="180"/>
      </w:pPr>
    </w:lvl>
    <w:lvl w:ilvl="3" w:tplc="0415000F" w:tentative="1">
      <w:start w:val="1"/>
      <w:numFmt w:val="decimal"/>
      <w:lvlText w:val="%4."/>
      <w:lvlJc w:val="left"/>
      <w:pPr>
        <w:ind w:left="3300" w:hanging="360"/>
      </w:pPr>
    </w:lvl>
    <w:lvl w:ilvl="4" w:tplc="04150019" w:tentative="1">
      <w:start w:val="1"/>
      <w:numFmt w:val="lowerLetter"/>
      <w:lvlText w:val="%5."/>
      <w:lvlJc w:val="left"/>
      <w:pPr>
        <w:ind w:left="4020" w:hanging="360"/>
      </w:pPr>
    </w:lvl>
    <w:lvl w:ilvl="5" w:tplc="0415001B" w:tentative="1">
      <w:start w:val="1"/>
      <w:numFmt w:val="lowerRoman"/>
      <w:lvlText w:val="%6."/>
      <w:lvlJc w:val="right"/>
      <w:pPr>
        <w:ind w:left="4740" w:hanging="180"/>
      </w:pPr>
    </w:lvl>
    <w:lvl w:ilvl="6" w:tplc="0415000F" w:tentative="1">
      <w:start w:val="1"/>
      <w:numFmt w:val="decimal"/>
      <w:lvlText w:val="%7."/>
      <w:lvlJc w:val="left"/>
      <w:pPr>
        <w:ind w:left="5460" w:hanging="360"/>
      </w:pPr>
    </w:lvl>
    <w:lvl w:ilvl="7" w:tplc="04150019" w:tentative="1">
      <w:start w:val="1"/>
      <w:numFmt w:val="lowerLetter"/>
      <w:lvlText w:val="%8."/>
      <w:lvlJc w:val="left"/>
      <w:pPr>
        <w:ind w:left="6180" w:hanging="360"/>
      </w:pPr>
    </w:lvl>
    <w:lvl w:ilvl="8" w:tplc="0415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>
    <w:nsid w:val="66F63B2B"/>
    <w:multiLevelType w:val="hybridMultilevel"/>
    <w:tmpl w:val="4BA8C884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026A47"/>
    <w:multiLevelType w:val="hybridMultilevel"/>
    <w:tmpl w:val="5AD2AA98"/>
    <w:lvl w:ilvl="0" w:tplc="E9CCEF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5C2D44"/>
    <w:multiLevelType w:val="hybridMultilevel"/>
    <w:tmpl w:val="7E2E1BF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7"/>
  </w:num>
  <w:num w:numId="8">
    <w:abstractNumId w:val="8"/>
  </w:num>
  <w:num w:numId="9">
    <w:abstractNumId w:val="1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978"/>
    <w:rsid w:val="00015E94"/>
    <w:rsid w:val="00017BB3"/>
    <w:rsid w:val="00023DEB"/>
    <w:rsid w:val="00032AD4"/>
    <w:rsid w:val="00045487"/>
    <w:rsid w:val="0006404A"/>
    <w:rsid w:val="00065327"/>
    <w:rsid w:val="000730A9"/>
    <w:rsid w:val="000B23C8"/>
    <w:rsid w:val="000B5A03"/>
    <w:rsid w:val="000D55A7"/>
    <w:rsid w:val="000F27B4"/>
    <w:rsid w:val="000F59A8"/>
    <w:rsid w:val="001317DF"/>
    <w:rsid w:val="00152AF2"/>
    <w:rsid w:val="00170732"/>
    <w:rsid w:val="001709C8"/>
    <w:rsid w:val="001A21F2"/>
    <w:rsid w:val="001B73B7"/>
    <w:rsid w:val="001C6063"/>
    <w:rsid w:val="001D12FB"/>
    <w:rsid w:val="00200D80"/>
    <w:rsid w:val="00215822"/>
    <w:rsid w:val="002234FC"/>
    <w:rsid w:val="0022653B"/>
    <w:rsid w:val="00274667"/>
    <w:rsid w:val="00274D22"/>
    <w:rsid w:val="00294929"/>
    <w:rsid w:val="0029745A"/>
    <w:rsid w:val="002B14BB"/>
    <w:rsid w:val="002B293A"/>
    <w:rsid w:val="002D09BB"/>
    <w:rsid w:val="002E01AE"/>
    <w:rsid w:val="002E0642"/>
    <w:rsid w:val="00306721"/>
    <w:rsid w:val="003151FA"/>
    <w:rsid w:val="00323802"/>
    <w:rsid w:val="00330C8F"/>
    <w:rsid w:val="00357705"/>
    <w:rsid w:val="00361414"/>
    <w:rsid w:val="00367AEC"/>
    <w:rsid w:val="003870FD"/>
    <w:rsid w:val="003B0D30"/>
    <w:rsid w:val="003B2282"/>
    <w:rsid w:val="003C4F0D"/>
    <w:rsid w:val="003C5BAF"/>
    <w:rsid w:val="003E4319"/>
    <w:rsid w:val="003F2599"/>
    <w:rsid w:val="004003BF"/>
    <w:rsid w:val="00401F6D"/>
    <w:rsid w:val="00426893"/>
    <w:rsid w:val="004534BB"/>
    <w:rsid w:val="00463D18"/>
    <w:rsid w:val="00465E16"/>
    <w:rsid w:val="00467C40"/>
    <w:rsid w:val="004930CA"/>
    <w:rsid w:val="004A09DD"/>
    <w:rsid w:val="004A56D0"/>
    <w:rsid w:val="004B2EA7"/>
    <w:rsid w:val="004B59C7"/>
    <w:rsid w:val="004B717B"/>
    <w:rsid w:val="004E4030"/>
    <w:rsid w:val="004F0ACA"/>
    <w:rsid w:val="004F3DCF"/>
    <w:rsid w:val="005263C8"/>
    <w:rsid w:val="005333DD"/>
    <w:rsid w:val="00533966"/>
    <w:rsid w:val="00536D03"/>
    <w:rsid w:val="005632FE"/>
    <w:rsid w:val="00570D48"/>
    <w:rsid w:val="00576870"/>
    <w:rsid w:val="00583885"/>
    <w:rsid w:val="00585DB2"/>
    <w:rsid w:val="00590C29"/>
    <w:rsid w:val="00593A06"/>
    <w:rsid w:val="005B18FC"/>
    <w:rsid w:val="005D6179"/>
    <w:rsid w:val="005F61EB"/>
    <w:rsid w:val="0060460A"/>
    <w:rsid w:val="006332CE"/>
    <w:rsid w:val="00634170"/>
    <w:rsid w:val="0066007E"/>
    <w:rsid w:val="00687A85"/>
    <w:rsid w:val="006A38C8"/>
    <w:rsid w:val="006D2677"/>
    <w:rsid w:val="006D4DC3"/>
    <w:rsid w:val="006E370B"/>
    <w:rsid w:val="006E5BE9"/>
    <w:rsid w:val="006F2750"/>
    <w:rsid w:val="006F5711"/>
    <w:rsid w:val="0073202E"/>
    <w:rsid w:val="007852F4"/>
    <w:rsid w:val="00795FD6"/>
    <w:rsid w:val="007D6083"/>
    <w:rsid w:val="007E55CA"/>
    <w:rsid w:val="00802A9A"/>
    <w:rsid w:val="00811245"/>
    <w:rsid w:val="00816EBB"/>
    <w:rsid w:val="00831BE4"/>
    <w:rsid w:val="00872D27"/>
    <w:rsid w:val="008735C3"/>
    <w:rsid w:val="00880005"/>
    <w:rsid w:val="008802B2"/>
    <w:rsid w:val="0088672E"/>
    <w:rsid w:val="008A0861"/>
    <w:rsid w:val="008D60E7"/>
    <w:rsid w:val="008E110F"/>
    <w:rsid w:val="008E5EED"/>
    <w:rsid w:val="009117BD"/>
    <w:rsid w:val="009219AE"/>
    <w:rsid w:val="0092652B"/>
    <w:rsid w:val="00936DE6"/>
    <w:rsid w:val="0094390F"/>
    <w:rsid w:val="0094735F"/>
    <w:rsid w:val="0096341B"/>
    <w:rsid w:val="00975CFC"/>
    <w:rsid w:val="0098174E"/>
    <w:rsid w:val="00982637"/>
    <w:rsid w:val="00992879"/>
    <w:rsid w:val="0099463B"/>
    <w:rsid w:val="009A3AA7"/>
    <w:rsid w:val="009B2C89"/>
    <w:rsid w:val="009D1D11"/>
    <w:rsid w:val="009D7AD1"/>
    <w:rsid w:val="009F2A50"/>
    <w:rsid w:val="00A01C4C"/>
    <w:rsid w:val="00A05574"/>
    <w:rsid w:val="00A118A4"/>
    <w:rsid w:val="00A12D8A"/>
    <w:rsid w:val="00A1695C"/>
    <w:rsid w:val="00A24BDB"/>
    <w:rsid w:val="00A40380"/>
    <w:rsid w:val="00A40EC4"/>
    <w:rsid w:val="00A41667"/>
    <w:rsid w:val="00A41B36"/>
    <w:rsid w:val="00A507B6"/>
    <w:rsid w:val="00A51663"/>
    <w:rsid w:val="00A524F1"/>
    <w:rsid w:val="00A612EB"/>
    <w:rsid w:val="00A66171"/>
    <w:rsid w:val="00A839AB"/>
    <w:rsid w:val="00A96B5F"/>
    <w:rsid w:val="00AB67CC"/>
    <w:rsid w:val="00AB6DE4"/>
    <w:rsid w:val="00B025D1"/>
    <w:rsid w:val="00B05810"/>
    <w:rsid w:val="00B2072B"/>
    <w:rsid w:val="00B22412"/>
    <w:rsid w:val="00B375CA"/>
    <w:rsid w:val="00B45678"/>
    <w:rsid w:val="00B912CE"/>
    <w:rsid w:val="00BB7F21"/>
    <w:rsid w:val="00BF6417"/>
    <w:rsid w:val="00C17475"/>
    <w:rsid w:val="00C26C3D"/>
    <w:rsid w:val="00C30570"/>
    <w:rsid w:val="00C41978"/>
    <w:rsid w:val="00C642EC"/>
    <w:rsid w:val="00C70021"/>
    <w:rsid w:val="00C7176D"/>
    <w:rsid w:val="00C82CED"/>
    <w:rsid w:val="00C831F9"/>
    <w:rsid w:val="00C9394F"/>
    <w:rsid w:val="00CC16CC"/>
    <w:rsid w:val="00D07429"/>
    <w:rsid w:val="00D332A6"/>
    <w:rsid w:val="00D62642"/>
    <w:rsid w:val="00D70AD7"/>
    <w:rsid w:val="00DA1685"/>
    <w:rsid w:val="00DA40B9"/>
    <w:rsid w:val="00DC5517"/>
    <w:rsid w:val="00DC5DA2"/>
    <w:rsid w:val="00E20F48"/>
    <w:rsid w:val="00E265EC"/>
    <w:rsid w:val="00E405C2"/>
    <w:rsid w:val="00E41A74"/>
    <w:rsid w:val="00E43D5E"/>
    <w:rsid w:val="00E53DF4"/>
    <w:rsid w:val="00E57303"/>
    <w:rsid w:val="00E65F3E"/>
    <w:rsid w:val="00E7020B"/>
    <w:rsid w:val="00E87AF1"/>
    <w:rsid w:val="00E91D74"/>
    <w:rsid w:val="00E93891"/>
    <w:rsid w:val="00EA74DA"/>
    <w:rsid w:val="00EC41DD"/>
    <w:rsid w:val="00EC4294"/>
    <w:rsid w:val="00EF7DE4"/>
    <w:rsid w:val="00F019E1"/>
    <w:rsid w:val="00F206FE"/>
    <w:rsid w:val="00F22CA1"/>
    <w:rsid w:val="00F2381A"/>
    <w:rsid w:val="00FA1907"/>
    <w:rsid w:val="00FE4DD2"/>
    <w:rsid w:val="00FF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419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439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41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41978"/>
    <w:rPr>
      <w:rFonts w:ascii="Tahoma" w:hAnsi="Tahoma" w:cs="Tahoma"/>
      <w:sz w:val="16"/>
      <w:szCs w:val="1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4197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C4197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419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C419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C419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kstzastpczy">
    <w:name w:val="Placeholder Text"/>
    <w:basedOn w:val="Domylnaczcionkaakapitu"/>
    <w:uiPriority w:val="99"/>
    <w:semiHidden/>
    <w:rsid w:val="00A96B5F"/>
    <w:rPr>
      <w:color w:val="808080"/>
    </w:rPr>
  </w:style>
  <w:style w:type="paragraph" w:styleId="Akapitzlist">
    <w:name w:val="List Paragraph"/>
    <w:basedOn w:val="Normalny"/>
    <w:uiPriority w:val="34"/>
    <w:qFormat/>
    <w:rsid w:val="00A05574"/>
    <w:pPr>
      <w:ind w:left="720"/>
      <w:contextualSpacing/>
    </w:pPr>
  </w:style>
  <w:style w:type="table" w:styleId="Tabela-Siatka">
    <w:name w:val="Table Grid"/>
    <w:basedOn w:val="Standardowy"/>
    <w:uiPriority w:val="59"/>
    <w:rsid w:val="00EF7D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semiHidden/>
    <w:unhideWhenUsed/>
    <w:rsid w:val="00687A85"/>
    <w:rPr>
      <w:color w:val="0000FF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9439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yl1">
    <w:name w:val="Styl1"/>
    <w:basedOn w:val="Normalny"/>
    <w:link w:val="Styl1Znak"/>
    <w:qFormat/>
    <w:rsid w:val="005B18FC"/>
    <w:pPr>
      <w:ind w:left="360"/>
      <w:jc w:val="both"/>
    </w:pPr>
    <w:rPr>
      <w:rFonts w:eastAsiaTheme="minorEastAsia" w:cstheme="minorHAnsi"/>
      <w:sz w:val="24"/>
      <w:szCs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73202E"/>
    <w:rPr>
      <w:sz w:val="16"/>
      <w:szCs w:val="16"/>
    </w:rPr>
  </w:style>
  <w:style w:type="character" w:customStyle="1" w:styleId="Styl1Znak">
    <w:name w:val="Styl1 Znak"/>
    <w:basedOn w:val="Domylnaczcionkaakapitu"/>
    <w:link w:val="Styl1"/>
    <w:rsid w:val="005B18FC"/>
    <w:rPr>
      <w:rFonts w:eastAsiaTheme="minorEastAsia" w:cstheme="minorHAnsi"/>
      <w:sz w:val="24"/>
      <w:szCs w:val="24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73202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73202E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73202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73202E"/>
    <w:rPr>
      <w:b/>
      <w:bCs/>
      <w:sz w:val="20"/>
      <w:szCs w:val="20"/>
    </w:rPr>
  </w:style>
  <w:style w:type="paragraph" w:customStyle="1" w:styleId="Styl2">
    <w:name w:val="Styl2"/>
    <w:basedOn w:val="Normalny"/>
    <w:link w:val="Styl2Znak"/>
    <w:qFormat/>
    <w:rsid w:val="006A38C8"/>
    <w:pPr>
      <w:ind w:firstLine="360"/>
      <w:jc w:val="both"/>
    </w:pPr>
    <w:rPr>
      <w:rFonts w:eastAsiaTheme="minorEastAsia" w:cstheme="minorHAnsi"/>
      <w:sz w:val="24"/>
      <w:szCs w:val="24"/>
    </w:rPr>
  </w:style>
  <w:style w:type="character" w:customStyle="1" w:styleId="Styl2Znak">
    <w:name w:val="Styl2 Znak"/>
    <w:basedOn w:val="Domylnaczcionkaakapitu"/>
    <w:link w:val="Styl2"/>
    <w:rsid w:val="006A38C8"/>
    <w:rPr>
      <w:rFonts w:eastAsiaTheme="minorEastAsia" w:cstheme="minorHAns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419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439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C41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41978"/>
    <w:rPr>
      <w:rFonts w:ascii="Tahoma" w:hAnsi="Tahoma" w:cs="Tahoma"/>
      <w:sz w:val="16"/>
      <w:szCs w:val="1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4197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C4197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419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C419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C419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kstzastpczy">
    <w:name w:val="Placeholder Text"/>
    <w:basedOn w:val="Domylnaczcionkaakapitu"/>
    <w:uiPriority w:val="99"/>
    <w:semiHidden/>
    <w:rsid w:val="00A96B5F"/>
    <w:rPr>
      <w:color w:val="808080"/>
    </w:rPr>
  </w:style>
  <w:style w:type="paragraph" w:styleId="Akapitzlist">
    <w:name w:val="List Paragraph"/>
    <w:basedOn w:val="Normalny"/>
    <w:uiPriority w:val="34"/>
    <w:qFormat/>
    <w:rsid w:val="00A05574"/>
    <w:pPr>
      <w:ind w:left="720"/>
      <w:contextualSpacing/>
    </w:pPr>
  </w:style>
  <w:style w:type="table" w:styleId="Tabela-Siatka">
    <w:name w:val="Table Grid"/>
    <w:basedOn w:val="Standardowy"/>
    <w:uiPriority w:val="59"/>
    <w:rsid w:val="00EF7D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semiHidden/>
    <w:unhideWhenUsed/>
    <w:rsid w:val="00687A85"/>
    <w:rPr>
      <w:color w:val="0000FF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9439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Styl1">
    <w:name w:val="Styl1"/>
    <w:basedOn w:val="Normalny"/>
    <w:link w:val="Styl1Znak"/>
    <w:qFormat/>
    <w:rsid w:val="005B18FC"/>
    <w:pPr>
      <w:ind w:left="360"/>
      <w:jc w:val="both"/>
    </w:pPr>
    <w:rPr>
      <w:rFonts w:eastAsiaTheme="minorEastAsia" w:cstheme="minorHAnsi"/>
      <w:sz w:val="24"/>
      <w:szCs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73202E"/>
    <w:rPr>
      <w:sz w:val="16"/>
      <w:szCs w:val="16"/>
    </w:rPr>
  </w:style>
  <w:style w:type="character" w:customStyle="1" w:styleId="Styl1Znak">
    <w:name w:val="Styl1 Znak"/>
    <w:basedOn w:val="Domylnaczcionkaakapitu"/>
    <w:link w:val="Styl1"/>
    <w:rsid w:val="005B18FC"/>
    <w:rPr>
      <w:rFonts w:eastAsiaTheme="minorEastAsia" w:cstheme="minorHAnsi"/>
      <w:sz w:val="24"/>
      <w:szCs w:val="24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73202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73202E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73202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73202E"/>
    <w:rPr>
      <w:b/>
      <w:bCs/>
      <w:sz w:val="20"/>
      <w:szCs w:val="20"/>
    </w:rPr>
  </w:style>
  <w:style w:type="paragraph" w:customStyle="1" w:styleId="Styl2">
    <w:name w:val="Styl2"/>
    <w:basedOn w:val="Normalny"/>
    <w:link w:val="Styl2Znak"/>
    <w:qFormat/>
    <w:rsid w:val="006A38C8"/>
    <w:pPr>
      <w:ind w:firstLine="360"/>
      <w:jc w:val="both"/>
    </w:pPr>
    <w:rPr>
      <w:rFonts w:eastAsiaTheme="minorEastAsia" w:cstheme="minorHAnsi"/>
      <w:sz w:val="24"/>
      <w:szCs w:val="24"/>
    </w:rPr>
  </w:style>
  <w:style w:type="character" w:customStyle="1" w:styleId="Styl2Znak">
    <w:name w:val="Styl2 Znak"/>
    <w:basedOn w:val="Domylnaczcionkaakapitu"/>
    <w:link w:val="Styl2"/>
    <w:rsid w:val="006A38C8"/>
    <w:rPr>
      <w:rFonts w:eastAsiaTheme="minorEastAsia" w:cs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536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3750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Kowalski Ryszard</dc:creator>
  <cp:lastModifiedBy>Kowalski Ryszard</cp:lastModifiedBy>
  <cp:revision>14</cp:revision>
  <dcterms:created xsi:type="dcterms:W3CDTF">2012-05-15T17:22:00Z</dcterms:created>
  <dcterms:modified xsi:type="dcterms:W3CDTF">2012-05-20T13:01:00Z</dcterms:modified>
</cp:coreProperties>
</file>