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10206" w:type="dxa"/>
        <w:tblInd w:w="-459" w:type="dxa"/>
        <w:tblLook w:val="04A0" w:firstRow="1" w:lastRow="0" w:firstColumn="1" w:lastColumn="0" w:noHBand="0" w:noVBand="1"/>
      </w:tblPr>
      <w:tblGrid>
        <w:gridCol w:w="1618"/>
        <w:gridCol w:w="1788"/>
        <w:gridCol w:w="1734"/>
        <w:gridCol w:w="1687"/>
        <w:gridCol w:w="1829"/>
        <w:gridCol w:w="1550"/>
      </w:tblGrid>
      <w:tr w:rsidR="00EF7DE4" w:rsidRPr="00EF7DE4" w:rsidTr="001A21F2">
        <w:trPr>
          <w:trHeight w:val="984"/>
        </w:trPr>
        <w:tc>
          <w:tcPr>
            <w:tcW w:w="1560" w:type="dxa"/>
          </w:tcPr>
          <w:p w:rsidR="00A51663" w:rsidRDefault="00A51663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  <w:r w:rsidRPr="00A51663">
              <w:rPr>
                <w:sz w:val="20"/>
                <w:szCs w:val="20"/>
              </w:rPr>
              <w:t>Wydział</w:t>
            </w: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A51663" w:rsidRPr="001A21F2" w:rsidRDefault="00A51663" w:rsidP="002D09BB">
            <w:pPr>
              <w:spacing w:line="276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1A21F2">
              <w:rPr>
                <w:rFonts w:asciiTheme="majorHAnsi" w:hAnsiTheme="majorHAnsi"/>
                <w:b/>
                <w:sz w:val="28"/>
                <w:szCs w:val="28"/>
              </w:rPr>
              <w:t>EAIiE</w:t>
            </w:r>
            <w:proofErr w:type="spellEnd"/>
          </w:p>
        </w:tc>
        <w:tc>
          <w:tcPr>
            <w:tcW w:w="3543" w:type="dxa"/>
            <w:gridSpan w:val="2"/>
          </w:tcPr>
          <w:p w:rsidR="00A51663" w:rsidRDefault="00A51663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  <w:r w:rsidRPr="001A21F2">
              <w:rPr>
                <w:sz w:val="20"/>
              </w:rPr>
              <w:t>Imię i nazwisko</w:t>
            </w:r>
          </w:p>
          <w:p w:rsidR="006F5711" w:rsidRPr="006F5711" w:rsidRDefault="006F5711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A51663" w:rsidRPr="001A21F2" w:rsidRDefault="00A51663" w:rsidP="0094390F">
            <w:pPr>
              <w:pStyle w:val="Akapitzlist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A21F2">
              <w:rPr>
                <w:rFonts w:asciiTheme="majorHAnsi" w:hAnsiTheme="majorHAnsi"/>
                <w:b/>
                <w:sz w:val="24"/>
                <w:szCs w:val="24"/>
              </w:rPr>
              <w:t>Krzysztof Czernek</w:t>
            </w:r>
          </w:p>
          <w:p w:rsidR="00A51663" w:rsidRPr="001A21F2" w:rsidRDefault="00A51663" w:rsidP="0094390F">
            <w:pPr>
              <w:pStyle w:val="Akapitzlist"/>
              <w:numPr>
                <w:ilvl w:val="0"/>
                <w:numId w:val="5"/>
              </w:numPr>
              <w:spacing w:line="276" w:lineRule="auto"/>
              <w:jc w:val="both"/>
              <w:rPr>
                <w:b/>
                <w:sz w:val="20"/>
              </w:rPr>
            </w:pPr>
            <w:r w:rsidRPr="001A21F2">
              <w:rPr>
                <w:rFonts w:asciiTheme="majorHAnsi" w:hAnsiTheme="majorHAnsi"/>
                <w:b/>
                <w:sz w:val="24"/>
                <w:szCs w:val="24"/>
              </w:rPr>
              <w:t>Tomasz Kozubowski</w:t>
            </w:r>
          </w:p>
        </w:tc>
        <w:tc>
          <w:tcPr>
            <w:tcW w:w="1701" w:type="dxa"/>
          </w:tcPr>
          <w:p w:rsidR="001A21F2" w:rsidRDefault="00A51663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  <w:r>
              <w:rPr>
                <w:sz w:val="20"/>
              </w:rPr>
              <w:t>Rok</w:t>
            </w:r>
          </w:p>
          <w:p w:rsidR="006F5711" w:rsidRPr="006F5711" w:rsidRDefault="006F5711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A51663" w:rsidRPr="001A21F2" w:rsidRDefault="001A21F2" w:rsidP="002D09BB">
            <w:pPr>
              <w:spacing w:line="276" w:lineRule="auto"/>
              <w:jc w:val="center"/>
              <w:rPr>
                <w:rFonts w:asciiTheme="majorHAnsi" w:hAnsiTheme="majorHAnsi"/>
                <w:b/>
                <w:sz w:val="44"/>
                <w:szCs w:val="44"/>
              </w:rPr>
            </w:pPr>
            <w:r w:rsidRPr="001A21F2">
              <w:rPr>
                <w:rFonts w:asciiTheme="majorHAnsi" w:hAnsiTheme="majorHAnsi"/>
                <w:b/>
                <w:sz w:val="44"/>
                <w:szCs w:val="44"/>
              </w:rPr>
              <w:t>I</w:t>
            </w:r>
          </w:p>
        </w:tc>
        <w:tc>
          <w:tcPr>
            <w:tcW w:w="1843" w:type="dxa"/>
          </w:tcPr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  <w:r>
              <w:rPr>
                <w:sz w:val="20"/>
              </w:rPr>
              <w:t>Grupa</w:t>
            </w:r>
          </w:p>
          <w:p w:rsidR="006F5711" w:rsidRPr="006F5711" w:rsidRDefault="006F5711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EF7DE4" w:rsidRPr="00EF7DE4" w:rsidRDefault="001A21F2" w:rsidP="002D09BB">
            <w:pPr>
              <w:spacing w:line="276" w:lineRule="auto"/>
              <w:jc w:val="center"/>
              <w:rPr>
                <w:sz w:val="20"/>
              </w:rPr>
            </w:pPr>
            <w:r>
              <w:rPr>
                <w:rFonts w:asciiTheme="majorHAnsi" w:hAnsiTheme="majorHAnsi"/>
                <w:b/>
                <w:sz w:val="44"/>
                <w:szCs w:val="44"/>
              </w:rPr>
              <w:t>2</w:t>
            </w:r>
          </w:p>
        </w:tc>
        <w:tc>
          <w:tcPr>
            <w:tcW w:w="1559" w:type="dxa"/>
          </w:tcPr>
          <w:p w:rsidR="001A21F2" w:rsidRPr="001A21F2" w:rsidRDefault="00EA74DA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Zespół</w:t>
            </w:r>
          </w:p>
          <w:p w:rsidR="00EF7DE4" w:rsidRPr="00EF7DE4" w:rsidRDefault="001A21F2" w:rsidP="002D09BB">
            <w:pPr>
              <w:spacing w:line="276" w:lineRule="auto"/>
              <w:jc w:val="center"/>
              <w:rPr>
                <w:sz w:val="20"/>
              </w:rPr>
            </w:pPr>
            <w:r>
              <w:rPr>
                <w:rFonts w:asciiTheme="majorHAnsi" w:hAnsiTheme="majorHAnsi"/>
                <w:b/>
                <w:sz w:val="44"/>
                <w:szCs w:val="44"/>
              </w:rPr>
              <w:t>1</w:t>
            </w:r>
            <w:r w:rsidR="000B23C8">
              <w:rPr>
                <w:rFonts w:asciiTheme="majorHAnsi" w:hAnsiTheme="majorHAnsi"/>
                <w:b/>
                <w:sz w:val="44"/>
                <w:szCs w:val="44"/>
              </w:rPr>
              <w:t>4</w:t>
            </w:r>
          </w:p>
        </w:tc>
      </w:tr>
      <w:tr w:rsidR="00EF7DE4" w:rsidRPr="00EF7DE4" w:rsidTr="001A21F2">
        <w:trPr>
          <w:trHeight w:val="1153"/>
        </w:trPr>
        <w:tc>
          <w:tcPr>
            <w:tcW w:w="1560" w:type="dxa"/>
            <w:vAlign w:val="center"/>
          </w:tcPr>
          <w:p w:rsidR="00EF7DE4" w:rsidRPr="001A21F2" w:rsidRDefault="00A51663" w:rsidP="002D09BB">
            <w:pPr>
              <w:spacing w:line="276" w:lineRule="auto"/>
              <w:jc w:val="center"/>
              <w:rPr>
                <w:rFonts w:asciiTheme="majorHAnsi" w:hAnsiTheme="majorHAnsi"/>
                <w:b/>
                <w:sz w:val="24"/>
              </w:rPr>
            </w:pPr>
            <w:r w:rsidRPr="001A21F2">
              <w:rPr>
                <w:rFonts w:asciiTheme="majorHAnsi" w:hAnsiTheme="majorHAnsi"/>
                <w:b/>
                <w:sz w:val="24"/>
              </w:rPr>
              <w:t xml:space="preserve">PRACOWNIA FIZYCZNA </w:t>
            </w:r>
            <w:proofErr w:type="spellStart"/>
            <w:r w:rsidRPr="001A21F2">
              <w:rPr>
                <w:rFonts w:asciiTheme="majorHAnsi" w:hAnsiTheme="majorHAnsi"/>
                <w:b/>
                <w:sz w:val="24"/>
              </w:rPr>
              <w:t>WFiIS</w:t>
            </w:r>
            <w:proofErr w:type="spellEnd"/>
            <w:r w:rsidRPr="001A21F2">
              <w:rPr>
                <w:rFonts w:asciiTheme="majorHAnsi" w:hAnsiTheme="majorHAnsi"/>
                <w:b/>
                <w:sz w:val="24"/>
              </w:rPr>
              <w:t xml:space="preserve"> AGH</w:t>
            </w:r>
          </w:p>
        </w:tc>
        <w:tc>
          <w:tcPr>
            <w:tcW w:w="7087" w:type="dxa"/>
            <w:gridSpan w:val="4"/>
          </w:tcPr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  <w:r>
              <w:rPr>
                <w:sz w:val="20"/>
              </w:rPr>
              <w:t>Temat</w:t>
            </w: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317DF" w:rsidP="00A12D8A">
            <w:pPr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1317DF">
              <w:rPr>
                <w:rFonts w:asciiTheme="majorHAnsi" w:hAnsiTheme="majorHAnsi"/>
                <w:b/>
                <w:sz w:val="28"/>
                <w:szCs w:val="32"/>
              </w:rPr>
              <w:t>Współczynnik załamania światła dla ciał s</w:t>
            </w:r>
            <w:bookmarkStart w:id="0" w:name="_GoBack"/>
            <w:bookmarkEnd w:id="0"/>
            <w:r w:rsidRPr="001317DF">
              <w:rPr>
                <w:rFonts w:asciiTheme="majorHAnsi" w:hAnsiTheme="majorHAnsi"/>
                <w:b/>
                <w:sz w:val="28"/>
                <w:szCs w:val="32"/>
              </w:rPr>
              <w:t>tałych</w:t>
            </w:r>
          </w:p>
        </w:tc>
        <w:tc>
          <w:tcPr>
            <w:tcW w:w="1559" w:type="dxa"/>
          </w:tcPr>
          <w:p w:rsidR="001A21F2" w:rsidRDefault="001A21F2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Nr ćwiczenia</w:t>
            </w: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EF7DE4" w:rsidRPr="00EF7DE4" w:rsidRDefault="001317DF" w:rsidP="00A12D8A">
            <w:pPr>
              <w:spacing w:line="276" w:lineRule="auto"/>
              <w:jc w:val="center"/>
              <w:rPr>
                <w:sz w:val="20"/>
              </w:rPr>
            </w:pPr>
            <w:r>
              <w:rPr>
                <w:rFonts w:asciiTheme="majorHAnsi" w:hAnsiTheme="majorHAnsi"/>
                <w:b/>
                <w:sz w:val="44"/>
                <w:szCs w:val="44"/>
              </w:rPr>
              <w:t>51</w:t>
            </w:r>
          </w:p>
        </w:tc>
      </w:tr>
      <w:tr w:rsidR="00A51663" w:rsidRPr="00EF7DE4" w:rsidTr="001A21F2">
        <w:trPr>
          <w:trHeight w:val="961"/>
        </w:trPr>
        <w:tc>
          <w:tcPr>
            <w:tcW w:w="1560" w:type="dxa"/>
          </w:tcPr>
          <w:p w:rsidR="001A21F2" w:rsidRDefault="003151FA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Data wykonania</w:t>
            </w: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EF7DE4" w:rsidRPr="001A21F2" w:rsidRDefault="001317DF" w:rsidP="0094390F">
            <w:pPr>
              <w:spacing w:line="276" w:lineRule="auto"/>
              <w:jc w:val="both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32"/>
              </w:rPr>
              <w:t>17</w:t>
            </w:r>
            <w:r w:rsidR="008E5EED">
              <w:rPr>
                <w:rFonts w:asciiTheme="majorHAnsi" w:hAnsiTheme="majorHAnsi" w:cstheme="minorHAnsi"/>
                <w:b/>
                <w:sz w:val="24"/>
                <w:szCs w:val="32"/>
              </w:rPr>
              <w:t>.04</w:t>
            </w:r>
            <w:r w:rsidR="001A21F2" w:rsidRPr="001A21F2">
              <w:rPr>
                <w:rFonts w:asciiTheme="majorHAnsi" w:hAnsiTheme="majorHAnsi" w:cstheme="minorHAnsi"/>
                <w:b/>
                <w:sz w:val="24"/>
                <w:szCs w:val="32"/>
              </w:rPr>
              <w:t>.2012</w:t>
            </w:r>
          </w:p>
        </w:tc>
        <w:tc>
          <w:tcPr>
            <w:tcW w:w="1799" w:type="dxa"/>
          </w:tcPr>
          <w:p w:rsidR="001A21F2" w:rsidRDefault="001A21F2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Data oddania</w:t>
            </w: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EF7DE4" w:rsidRPr="00EF7DE4" w:rsidRDefault="00EF7DE4" w:rsidP="0094390F">
            <w:pPr>
              <w:spacing w:line="276" w:lineRule="auto"/>
              <w:jc w:val="both"/>
              <w:rPr>
                <w:sz w:val="20"/>
              </w:rPr>
            </w:pPr>
          </w:p>
        </w:tc>
        <w:tc>
          <w:tcPr>
            <w:tcW w:w="1744" w:type="dxa"/>
          </w:tcPr>
          <w:p w:rsidR="00EF7DE4" w:rsidRPr="00EF7DE4" w:rsidRDefault="00A51663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Zwrot do poprawy</w:t>
            </w:r>
          </w:p>
        </w:tc>
        <w:tc>
          <w:tcPr>
            <w:tcW w:w="1701" w:type="dxa"/>
          </w:tcPr>
          <w:p w:rsidR="00EF7DE4" w:rsidRPr="00EF7DE4" w:rsidRDefault="00A51663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Data oddania</w:t>
            </w:r>
          </w:p>
        </w:tc>
        <w:tc>
          <w:tcPr>
            <w:tcW w:w="1843" w:type="dxa"/>
          </w:tcPr>
          <w:p w:rsidR="00EF7DE4" w:rsidRPr="00EF7DE4" w:rsidRDefault="00A51663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Data zaliczenia</w:t>
            </w:r>
          </w:p>
        </w:tc>
        <w:tc>
          <w:tcPr>
            <w:tcW w:w="1559" w:type="dxa"/>
          </w:tcPr>
          <w:p w:rsidR="00EF7DE4" w:rsidRPr="00EF7DE4" w:rsidRDefault="00A51663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OCENA</w:t>
            </w:r>
          </w:p>
        </w:tc>
      </w:tr>
    </w:tbl>
    <w:p w:rsidR="00EF7DE4" w:rsidRPr="00EF7DE4" w:rsidRDefault="00EF7DE4" w:rsidP="0094390F">
      <w:pPr>
        <w:jc w:val="both"/>
      </w:pPr>
    </w:p>
    <w:p w:rsidR="00C41978" w:rsidRDefault="00C41978" w:rsidP="0094390F">
      <w:pPr>
        <w:pStyle w:val="Nagwek1"/>
        <w:numPr>
          <w:ilvl w:val="0"/>
          <w:numId w:val="1"/>
        </w:numPr>
        <w:jc w:val="both"/>
        <w:rPr>
          <w:color w:val="auto"/>
        </w:rPr>
      </w:pPr>
      <w:r w:rsidRPr="00C41978">
        <w:rPr>
          <w:color w:val="auto"/>
        </w:rPr>
        <w:t>Cel ćwiczenia</w:t>
      </w:r>
    </w:p>
    <w:p w:rsidR="00C41978" w:rsidRPr="00A96B5F" w:rsidRDefault="00C41978" w:rsidP="0094390F">
      <w:pPr>
        <w:jc w:val="both"/>
        <w:rPr>
          <w:sz w:val="24"/>
        </w:rPr>
      </w:pPr>
    </w:p>
    <w:p w:rsidR="00C41978" w:rsidRPr="00A96B5F" w:rsidRDefault="00032AD4" w:rsidP="0094390F">
      <w:pPr>
        <w:jc w:val="both"/>
        <w:rPr>
          <w:sz w:val="24"/>
        </w:rPr>
      </w:pPr>
      <w:r>
        <w:rPr>
          <w:sz w:val="24"/>
        </w:rPr>
        <w:t>Załącznik 6</w:t>
      </w:r>
      <w:r w:rsidR="00C41978" w:rsidRPr="00A96B5F">
        <w:rPr>
          <w:sz w:val="24"/>
        </w:rPr>
        <w:t>.1</w:t>
      </w:r>
    </w:p>
    <w:p w:rsidR="00C41978" w:rsidRPr="00C41978" w:rsidRDefault="00C41978" w:rsidP="0094390F">
      <w:pPr>
        <w:pStyle w:val="Nagwek1"/>
        <w:numPr>
          <w:ilvl w:val="0"/>
          <w:numId w:val="1"/>
        </w:numPr>
        <w:jc w:val="both"/>
        <w:rPr>
          <w:color w:val="auto"/>
        </w:rPr>
      </w:pPr>
      <w:r w:rsidRPr="00C41978">
        <w:rPr>
          <w:color w:val="auto"/>
        </w:rPr>
        <w:t>Wstęp teoretyczny</w:t>
      </w:r>
    </w:p>
    <w:p w:rsidR="00C41978" w:rsidRPr="00C41978" w:rsidRDefault="00C41978" w:rsidP="0094390F">
      <w:pPr>
        <w:jc w:val="both"/>
      </w:pPr>
    </w:p>
    <w:p w:rsidR="00C41978" w:rsidRPr="00A96B5F" w:rsidRDefault="00032AD4" w:rsidP="0094390F">
      <w:pPr>
        <w:jc w:val="both"/>
        <w:rPr>
          <w:sz w:val="24"/>
        </w:rPr>
      </w:pPr>
      <w:r>
        <w:rPr>
          <w:sz w:val="24"/>
        </w:rPr>
        <w:t>Załącznik 6</w:t>
      </w:r>
      <w:r w:rsidR="001317DF">
        <w:rPr>
          <w:sz w:val="24"/>
        </w:rPr>
        <w:t>.2</w:t>
      </w:r>
    </w:p>
    <w:p w:rsidR="00C41978" w:rsidRDefault="00C41978" w:rsidP="0094390F">
      <w:pPr>
        <w:pStyle w:val="Nagwek1"/>
        <w:numPr>
          <w:ilvl w:val="0"/>
          <w:numId w:val="1"/>
        </w:numPr>
        <w:jc w:val="both"/>
        <w:rPr>
          <w:color w:val="auto"/>
        </w:rPr>
      </w:pPr>
      <w:r w:rsidRPr="00C41978">
        <w:rPr>
          <w:color w:val="auto"/>
        </w:rPr>
        <w:t>Wyniki pomiarów</w:t>
      </w:r>
    </w:p>
    <w:p w:rsidR="00C41978" w:rsidRPr="00426893" w:rsidRDefault="00C41978" w:rsidP="0094390F">
      <w:pPr>
        <w:jc w:val="both"/>
        <w:rPr>
          <w:rFonts w:cstheme="minorHAnsi"/>
          <w:sz w:val="24"/>
          <w:szCs w:val="24"/>
        </w:rPr>
      </w:pPr>
    </w:p>
    <w:p w:rsidR="001317DF" w:rsidRPr="001317DF" w:rsidRDefault="001317DF" w:rsidP="001317DF">
      <w:pPr>
        <w:autoSpaceDE w:val="0"/>
        <w:autoSpaceDN w:val="0"/>
        <w:adjustRightInd w:val="0"/>
        <w:spacing w:after="0"/>
        <w:ind w:firstLine="357"/>
        <w:jc w:val="both"/>
        <w:rPr>
          <w:rFonts w:eastAsiaTheme="minorEastAsia" w:cstheme="minorHAnsi"/>
          <w:sz w:val="24"/>
          <w:szCs w:val="24"/>
        </w:rPr>
      </w:pPr>
      <w:r w:rsidRPr="001317DF">
        <w:rPr>
          <w:rFonts w:eastAsiaTheme="minorEastAsia" w:cstheme="minorHAnsi"/>
          <w:sz w:val="24"/>
          <w:szCs w:val="24"/>
        </w:rPr>
        <w:t xml:space="preserve">Doświadczenie rozpoczęliśmy od zapoznania się z budową mikroskopu. Wyregulowaliśmy </w:t>
      </w:r>
      <w:r>
        <w:rPr>
          <w:rFonts w:eastAsiaTheme="minorEastAsia" w:cstheme="minorHAnsi"/>
          <w:sz w:val="24"/>
          <w:szCs w:val="24"/>
        </w:rPr>
        <w:t xml:space="preserve">położenie </w:t>
      </w:r>
      <w:r w:rsidRPr="001317DF">
        <w:rPr>
          <w:rFonts w:eastAsiaTheme="minorEastAsia" w:cstheme="minorHAnsi"/>
          <w:sz w:val="24"/>
          <w:szCs w:val="24"/>
        </w:rPr>
        <w:t>lampy mikroskopowej tak, aby światło padało na obiektyw. W doświadczeniu wykorzystaliśmy płytkę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1317DF">
        <w:rPr>
          <w:rFonts w:eastAsiaTheme="minorEastAsia" w:cstheme="minorHAnsi"/>
          <w:sz w:val="24"/>
          <w:szCs w:val="24"/>
        </w:rPr>
        <w:t>szklaną oraz ple</w:t>
      </w:r>
      <w:r w:rsidR="000F27B4">
        <w:rPr>
          <w:rFonts w:eastAsiaTheme="minorEastAsia" w:cstheme="minorHAnsi"/>
          <w:sz w:val="24"/>
          <w:szCs w:val="24"/>
        </w:rPr>
        <w:t>ks</w:t>
      </w:r>
      <w:r w:rsidRPr="001317DF">
        <w:rPr>
          <w:rFonts w:eastAsiaTheme="minorEastAsia" w:cstheme="minorHAnsi"/>
          <w:sz w:val="24"/>
          <w:szCs w:val="24"/>
        </w:rPr>
        <w:t>iglasową, które zostały wcześniej oznaczone flamastrem po obu stronach kreskami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1317DF">
        <w:rPr>
          <w:rFonts w:eastAsiaTheme="minorEastAsia" w:cstheme="minorHAnsi"/>
          <w:sz w:val="24"/>
          <w:szCs w:val="24"/>
        </w:rPr>
        <w:t>pionowymi i poziomymi. Każd</w:t>
      </w:r>
      <w:r>
        <w:rPr>
          <w:rFonts w:eastAsiaTheme="minorEastAsia" w:cstheme="minorHAnsi"/>
          <w:sz w:val="24"/>
          <w:szCs w:val="24"/>
        </w:rPr>
        <w:t>ą z nich zmierzyliśmy ośmio</w:t>
      </w:r>
      <w:r w:rsidRPr="001317DF">
        <w:rPr>
          <w:rFonts w:eastAsiaTheme="minorEastAsia" w:cstheme="minorHAnsi"/>
          <w:sz w:val="24"/>
          <w:szCs w:val="24"/>
        </w:rPr>
        <w:t>krotnie śrubą mikrometryczną o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1317DF">
        <w:rPr>
          <w:rFonts w:eastAsiaTheme="minorEastAsia" w:cstheme="minorHAnsi"/>
          <w:sz w:val="24"/>
          <w:szCs w:val="24"/>
        </w:rPr>
        <w:t>dokładności 0,01mm w trzech miejscach. Dla obu płytek wykonaliśmy następujące czynności:</w:t>
      </w:r>
      <w:r w:rsidR="00C26C3D">
        <w:rPr>
          <w:rFonts w:eastAsiaTheme="minorEastAsia" w:cstheme="minorHAnsi"/>
          <w:sz w:val="24"/>
          <w:szCs w:val="24"/>
        </w:rPr>
        <w:t xml:space="preserve"> najpierw </w:t>
      </w:r>
      <w:r w:rsidRPr="001317DF">
        <w:rPr>
          <w:rFonts w:eastAsiaTheme="minorEastAsia" w:cstheme="minorHAnsi"/>
          <w:sz w:val="24"/>
          <w:szCs w:val="24"/>
        </w:rPr>
        <w:t>ustawiliśmy płytkę na stoliku mikroskopu w uchwycie, wyregulowaliśmy wysokość stolika tak, aby</w:t>
      </w:r>
      <w:r w:rsidR="00C26C3D">
        <w:rPr>
          <w:rFonts w:eastAsiaTheme="minorEastAsia" w:cstheme="minorHAnsi"/>
          <w:sz w:val="24"/>
          <w:szCs w:val="24"/>
        </w:rPr>
        <w:t xml:space="preserve"> </w:t>
      </w:r>
      <w:r w:rsidRPr="001317DF">
        <w:rPr>
          <w:rFonts w:eastAsiaTheme="minorEastAsia" w:cstheme="minorHAnsi"/>
          <w:sz w:val="24"/>
          <w:szCs w:val="24"/>
        </w:rPr>
        <w:t xml:space="preserve">uzyskać ostre obrazy kresek: pionowej ad i pionowej </w:t>
      </w:r>
      <w:r w:rsidR="00C26C3D">
        <w:rPr>
          <w:rFonts w:eastAsiaTheme="minorEastAsia" w:cstheme="minorHAnsi"/>
          <w:sz w:val="24"/>
          <w:szCs w:val="24"/>
        </w:rPr>
        <w:t>ag (każdej z osobna) oraz ośm</w:t>
      </w:r>
      <w:r w:rsidRPr="001317DF">
        <w:rPr>
          <w:rFonts w:eastAsiaTheme="minorEastAsia" w:cstheme="minorHAnsi"/>
          <w:sz w:val="24"/>
          <w:szCs w:val="24"/>
        </w:rPr>
        <w:t>iokrotnie</w:t>
      </w:r>
      <w:r w:rsidR="00C26C3D">
        <w:rPr>
          <w:rFonts w:eastAsiaTheme="minorEastAsia" w:cstheme="minorHAnsi"/>
          <w:sz w:val="24"/>
          <w:szCs w:val="24"/>
        </w:rPr>
        <w:t xml:space="preserve"> </w:t>
      </w:r>
      <w:r w:rsidRPr="001317DF">
        <w:rPr>
          <w:rFonts w:eastAsiaTheme="minorEastAsia" w:cstheme="minorHAnsi"/>
          <w:sz w:val="24"/>
          <w:szCs w:val="24"/>
        </w:rPr>
        <w:t>odczytaliśmy wskazania czujnika mikrometrycznego.</w:t>
      </w:r>
    </w:p>
    <w:p w:rsidR="00032AD4" w:rsidRDefault="001317DF" w:rsidP="001317DF">
      <w:pPr>
        <w:autoSpaceDE w:val="0"/>
        <w:autoSpaceDN w:val="0"/>
        <w:adjustRightInd w:val="0"/>
        <w:spacing w:after="0"/>
        <w:ind w:firstLine="357"/>
        <w:jc w:val="both"/>
        <w:rPr>
          <w:rFonts w:eastAsiaTheme="minorEastAsia" w:cstheme="minorHAnsi"/>
          <w:sz w:val="24"/>
          <w:szCs w:val="24"/>
        </w:rPr>
      </w:pPr>
      <w:r w:rsidRPr="001317DF">
        <w:rPr>
          <w:rFonts w:eastAsiaTheme="minorEastAsia" w:cstheme="minorHAnsi"/>
          <w:sz w:val="24"/>
          <w:szCs w:val="24"/>
        </w:rPr>
        <w:t>Kolejnym etapem doświadczenia było zbadanie współczynnika załamania w zależności od długości fali</w:t>
      </w:r>
      <w:r w:rsidR="00C26C3D">
        <w:rPr>
          <w:rFonts w:eastAsiaTheme="minorEastAsia" w:cstheme="minorHAnsi"/>
          <w:sz w:val="24"/>
          <w:szCs w:val="24"/>
        </w:rPr>
        <w:t xml:space="preserve"> dla płytki szklanej</w:t>
      </w:r>
      <w:r w:rsidRPr="001317DF">
        <w:rPr>
          <w:rFonts w:eastAsiaTheme="minorEastAsia" w:cstheme="minorHAnsi"/>
          <w:sz w:val="24"/>
          <w:szCs w:val="24"/>
        </w:rPr>
        <w:t>. Na lampę nakładaliśmy kolejno filtry: zielony 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</m:t>
        </m:r>
        <m:r>
          <w:rPr>
            <w:rFonts w:ascii="Cambria Math" w:eastAsiaTheme="minorEastAsia" w:hAnsi="Cambria Math" w:cstheme="minorHAnsi"/>
            <w:sz w:val="24"/>
            <w:szCs w:val="24"/>
          </w:rPr>
          <m:t>=0,50</m:t>
        </m:r>
        <m:r>
          <w:rPr>
            <w:rFonts w:ascii="Cambria Math" w:eastAsiaTheme="minorEastAsia" w:hAnsi="Cambria Math" w:cstheme="minorHAnsi"/>
            <w:sz w:val="24"/>
            <w:szCs w:val="24"/>
          </w:rPr>
          <m:t>μm</m:t>
        </m:r>
      </m:oMath>
      <w:r w:rsidRPr="001317DF">
        <w:rPr>
          <w:rFonts w:eastAsiaTheme="minorEastAsia" w:cstheme="minorHAnsi"/>
          <w:sz w:val="24"/>
          <w:szCs w:val="24"/>
        </w:rPr>
        <w:t>), czerwony</w:t>
      </w:r>
      <w:r w:rsidR="00C26C3D">
        <w:rPr>
          <w:rFonts w:eastAsiaTheme="minorEastAsia" w:cstheme="minorHAnsi"/>
          <w:sz w:val="24"/>
          <w:szCs w:val="24"/>
        </w:rPr>
        <w:t xml:space="preserve"> </w:t>
      </w:r>
      <w:r w:rsidRPr="001317DF">
        <w:rPr>
          <w:rFonts w:eastAsiaTheme="minorEastAsia"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</m:t>
        </m:r>
        <m:r>
          <w:rPr>
            <w:rFonts w:ascii="Cambria Math" w:eastAsiaTheme="minorEastAsia" w:hAnsi="Cambria Math" w:cstheme="minorHAnsi"/>
            <w:sz w:val="24"/>
            <w:szCs w:val="24"/>
          </w:rPr>
          <m:t>=0,63</m:t>
        </m:r>
        <m:r>
          <w:rPr>
            <w:rFonts w:ascii="Cambria Math" w:eastAsiaTheme="minorEastAsia" w:hAnsi="Cambria Math" w:cstheme="minorHAnsi"/>
            <w:sz w:val="24"/>
            <w:szCs w:val="24"/>
          </w:rPr>
          <m:t>μm</m:t>
        </m:r>
      </m:oMath>
      <w:r w:rsidR="004E4030">
        <w:rPr>
          <w:rFonts w:eastAsiaTheme="minorEastAsia" w:cstheme="minorHAnsi"/>
          <w:sz w:val="24"/>
          <w:szCs w:val="24"/>
        </w:rPr>
        <w:t>), żółty 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</m:t>
        </m:r>
        <m:r>
          <w:rPr>
            <w:rFonts w:ascii="Cambria Math" w:eastAsiaTheme="minorEastAsia" w:hAnsi="Cambria Math" w:cstheme="minorHAnsi"/>
            <w:sz w:val="24"/>
            <w:szCs w:val="24"/>
          </w:rPr>
          <m:t>=0,59</m:t>
        </m:r>
        <m:r>
          <w:rPr>
            <w:rFonts w:ascii="Cambria Math" w:eastAsiaTheme="minorEastAsia" w:hAnsi="Cambria Math" w:cstheme="minorHAnsi"/>
            <w:sz w:val="24"/>
            <w:szCs w:val="24"/>
          </w:rPr>
          <m:t>μm</m:t>
        </m:r>
      </m:oMath>
      <w:r w:rsidRPr="001317DF">
        <w:rPr>
          <w:rFonts w:eastAsiaTheme="minorEastAsia" w:cstheme="minorHAnsi"/>
          <w:sz w:val="24"/>
          <w:szCs w:val="24"/>
        </w:rPr>
        <w:t>)</w:t>
      </w:r>
      <w:r w:rsidR="00C26C3D">
        <w:rPr>
          <w:rFonts w:eastAsiaTheme="minorEastAsia" w:cstheme="minorHAnsi"/>
          <w:sz w:val="24"/>
          <w:szCs w:val="24"/>
        </w:rPr>
        <w:t>, niebieski 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λ=0,48μm</m:t>
        </m:r>
      </m:oMath>
      <w:r w:rsidR="00C26C3D">
        <w:rPr>
          <w:rFonts w:eastAsiaTheme="minorEastAsia" w:cstheme="minorHAnsi"/>
          <w:sz w:val="24"/>
          <w:szCs w:val="24"/>
        </w:rPr>
        <w:t>)</w:t>
      </w:r>
      <w:r w:rsidRPr="001317DF">
        <w:rPr>
          <w:rFonts w:eastAsiaTheme="minorEastAsia" w:cstheme="minorHAnsi"/>
          <w:sz w:val="24"/>
          <w:szCs w:val="24"/>
        </w:rPr>
        <w:t>. W każdym z przy</w:t>
      </w:r>
      <w:r w:rsidR="004E4030">
        <w:rPr>
          <w:rFonts w:eastAsiaTheme="minorEastAsia" w:cstheme="minorHAnsi"/>
          <w:sz w:val="24"/>
          <w:szCs w:val="24"/>
        </w:rPr>
        <w:t>padków wykonywaliśmy pomiar cztero</w:t>
      </w:r>
      <w:r w:rsidRPr="001317DF">
        <w:rPr>
          <w:rFonts w:eastAsiaTheme="minorEastAsia" w:cstheme="minorHAnsi"/>
          <w:sz w:val="24"/>
          <w:szCs w:val="24"/>
        </w:rPr>
        <w:t>krotnie w</w:t>
      </w:r>
      <w:r w:rsidR="004E4030">
        <w:rPr>
          <w:rFonts w:eastAsiaTheme="minorEastAsia" w:cstheme="minorHAnsi"/>
          <w:sz w:val="24"/>
          <w:szCs w:val="24"/>
        </w:rPr>
        <w:t xml:space="preserve"> </w:t>
      </w:r>
      <w:r w:rsidRPr="001317DF">
        <w:rPr>
          <w:rFonts w:eastAsiaTheme="minorEastAsia" w:cstheme="minorHAnsi"/>
          <w:sz w:val="24"/>
          <w:szCs w:val="24"/>
        </w:rPr>
        <w:t>sposób analogiczny jak poprzednio.</w:t>
      </w:r>
    </w:p>
    <w:p w:rsidR="004E4030" w:rsidRDefault="004E4030" w:rsidP="001317DF">
      <w:pPr>
        <w:autoSpaceDE w:val="0"/>
        <w:autoSpaceDN w:val="0"/>
        <w:adjustRightInd w:val="0"/>
        <w:spacing w:after="0"/>
        <w:ind w:firstLine="357"/>
        <w:jc w:val="both"/>
        <w:rPr>
          <w:rFonts w:ascii="Times-Roman" w:hAnsi="Times-Roman" w:cs="Times-Roman"/>
          <w:sz w:val="24"/>
          <w:szCs w:val="24"/>
        </w:rPr>
      </w:pPr>
    </w:p>
    <w:p w:rsidR="005D6179" w:rsidRDefault="00A96B5F" w:rsidP="0094390F">
      <w:pPr>
        <w:pStyle w:val="Nagwek1"/>
        <w:numPr>
          <w:ilvl w:val="0"/>
          <w:numId w:val="1"/>
        </w:numPr>
        <w:jc w:val="both"/>
        <w:rPr>
          <w:color w:val="auto"/>
        </w:rPr>
      </w:pPr>
      <w:r w:rsidRPr="00E20F48">
        <w:rPr>
          <w:color w:val="auto"/>
        </w:rPr>
        <w:lastRenderedPageBreak/>
        <w:t>Opracowanie wyników pomiarów</w:t>
      </w:r>
    </w:p>
    <w:p w:rsidR="008E5EED" w:rsidRDefault="008E5EED" w:rsidP="00B45678">
      <w:pPr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A05574" w:rsidRDefault="004E4030" w:rsidP="003C4F0D">
      <w:pPr>
        <w:ind w:left="360" w:firstLine="34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Opracowanie wyników pomiarów rozpoczęliśmy od obliczenia pozornych grubości płytek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h=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sub>
        </m:sSub>
      </m:oMath>
      <w:r w:rsidR="006D2677">
        <w:rPr>
          <w:rFonts w:eastAsiaTheme="minorEastAsia" w:cstheme="minorHAnsi"/>
          <w:sz w:val="24"/>
          <w:szCs w:val="24"/>
        </w:rPr>
        <w:t xml:space="preserve"> (6.4.1) dla wszystkich pomiarów. Następnie obliczyliśmy wartość średnią grubości pozornych dla obydwu płytek: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szkło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=1,51mm</m:t>
        </m:r>
      </m:oMath>
      <w:r w:rsidR="006D2677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pleksi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1,401</m:t>
        </m:r>
        <m:r>
          <w:rPr>
            <w:rFonts w:ascii="Cambria Math" w:eastAsiaTheme="minorEastAsia" w:hAnsi="Cambria Math" w:cstheme="minorHAnsi"/>
            <w:sz w:val="24"/>
            <w:szCs w:val="24"/>
          </w:rPr>
          <m:t>mm</m:t>
        </m:r>
      </m:oMath>
      <w:r w:rsidR="006D2677">
        <w:rPr>
          <w:rFonts w:eastAsiaTheme="minorEastAsia" w:cstheme="minorHAnsi"/>
          <w:sz w:val="24"/>
          <w:szCs w:val="24"/>
        </w:rPr>
        <w:t xml:space="preserve"> (6.4.2)</w:t>
      </w:r>
      <w:r w:rsidR="00EC41DD">
        <w:rPr>
          <w:rFonts w:eastAsiaTheme="minorEastAsia" w:cstheme="minorHAnsi"/>
          <w:sz w:val="24"/>
          <w:szCs w:val="24"/>
        </w:rPr>
        <w:t xml:space="preserve"> oraz grubości rzeczywistych: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szkło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=2,306mm</m:t>
        </m:r>
      </m:oMath>
      <w:r w:rsidR="00EC41DD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pleksi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2,080</m:t>
        </m:r>
        <m:r>
          <w:rPr>
            <w:rFonts w:ascii="Cambria Math" w:eastAsiaTheme="minorEastAsia" w:hAnsi="Cambria Math" w:cstheme="minorHAnsi"/>
            <w:sz w:val="24"/>
            <w:szCs w:val="24"/>
          </w:rPr>
          <m:t>mm</m:t>
        </m:r>
      </m:oMath>
      <w:r w:rsidR="00975CFC">
        <w:rPr>
          <w:rFonts w:eastAsiaTheme="minorEastAsia" w:cstheme="minorHAnsi"/>
          <w:sz w:val="24"/>
          <w:szCs w:val="24"/>
        </w:rPr>
        <w:t xml:space="preserve"> (6.4.3).</w:t>
      </w:r>
      <w:r w:rsidR="006D2677">
        <w:rPr>
          <w:rFonts w:eastAsiaTheme="minorEastAsia" w:cstheme="minorHAnsi"/>
          <w:sz w:val="24"/>
          <w:szCs w:val="24"/>
        </w:rPr>
        <w:t xml:space="preserve"> W kolejności, obliczyliśmy współczynnik załamania dla ob</w:t>
      </w:r>
      <w:r w:rsidR="00975CFC">
        <w:rPr>
          <w:rFonts w:eastAsiaTheme="minorEastAsia" w:cstheme="minorHAnsi"/>
          <w:sz w:val="24"/>
          <w:szCs w:val="24"/>
        </w:rPr>
        <w:t>ydwu płytek wykorzystując wzór:</w:t>
      </w:r>
      <w:r w:rsidR="006D2677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szkło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szkło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szkło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=1,527 </m:t>
        </m:r>
      </m:oMath>
      <w:r w:rsidR="006D2677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pleksi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pleksi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pleksi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=1,484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975CFC">
        <w:rPr>
          <w:rFonts w:eastAsiaTheme="minorEastAsia" w:cstheme="minorHAnsi"/>
          <w:sz w:val="24"/>
          <w:szCs w:val="24"/>
        </w:rPr>
        <w:t>(6.4.4</w:t>
      </w:r>
      <w:r w:rsidR="006D2677">
        <w:rPr>
          <w:rFonts w:eastAsiaTheme="minorEastAsia" w:cstheme="minorHAnsi"/>
          <w:sz w:val="24"/>
          <w:szCs w:val="24"/>
        </w:rPr>
        <w:t>). W wypadku badania zależności n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(λ)</m:t>
        </m:r>
      </m:oMath>
      <w:r w:rsidR="006D2677">
        <w:rPr>
          <w:rFonts w:eastAsiaTheme="minorEastAsia" w:cstheme="minorHAnsi"/>
          <w:sz w:val="24"/>
          <w:szCs w:val="24"/>
        </w:rPr>
        <w:t xml:space="preserve"> przyjęliśmy, że grubość rzeczywista jest stała i równa średniej arytmetycznej grubości rzeczywistych zmierz</w:t>
      </w:r>
      <w:r w:rsidR="00975CFC">
        <w:rPr>
          <w:rFonts w:eastAsiaTheme="minorEastAsia" w:cstheme="minorHAnsi"/>
          <w:sz w:val="24"/>
          <w:szCs w:val="24"/>
        </w:rPr>
        <w:t xml:space="preserve">onych na początku doświadczenia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szkło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=2,306mm</m:t>
        </m:r>
      </m:oMath>
      <w:r w:rsidR="00EC41DD">
        <w:rPr>
          <w:rFonts w:eastAsiaTheme="minorEastAsia" w:cstheme="minorHAnsi"/>
          <w:sz w:val="24"/>
          <w:szCs w:val="24"/>
        </w:rPr>
        <w:t>.</w:t>
      </w:r>
      <w:r w:rsidR="006D2677">
        <w:rPr>
          <w:rFonts w:eastAsiaTheme="minorEastAsia" w:cstheme="minorHAnsi"/>
          <w:sz w:val="24"/>
          <w:szCs w:val="24"/>
        </w:rPr>
        <w:t xml:space="preserve"> </w:t>
      </w:r>
      <w:r w:rsidR="00C9394F">
        <w:rPr>
          <w:rFonts w:eastAsiaTheme="minorEastAsia" w:cstheme="minorHAnsi"/>
          <w:sz w:val="24"/>
          <w:szCs w:val="24"/>
        </w:rPr>
        <w:t xml:space="preserve">Wszystkie wyniki pomiarów znajdują się w </w:t>
      </w:r>
      <w:r w:rsidR="00EC41DD">
        <w:rPr>
          <w:rFonts w:eastAsiaTheme="minorEastAsia" w:cstheme="minorHAnsi"/>
          <w:sz w:val="24"/>
          <w:szCs w:val="24"/>
        </w:rPr>
        <w:t xml:space="preserve">tabeli w </w:t>
      </w:r>
      <w:r w:rsidR="00C9394F">
        <w:rPr>
          <w:rFonts w:eastAsiaTheme="minorEastAsia" w:cstheme="minorHAnsi"/>
          <w:sz w:val="24"/>
          <w:szCs w:val="24"/>
        </w:rPr>
        <w:t xml:space="preserve">załączniku </w:t>
      </w:r>
      <w:r w:rsidR="00EC41DD">
        <w:rPr>
          <w:rFonts w:eastAsiaTheme="minorEastAsia" w:cstheme="minorHAnsi"/>
          <w:sz w:val="24"/>
          <w:szCs w:val="24"/>
        </w:rPr>
        <w:t xml:space="preserve">6.3. </w:t>
      </w:r>
    </w:p>
    <w:p w:rsidR="003C4F0D" w:rsidRDefault="003C4F0D" w:rsidP="006D2677">
      <w:pPr>
        <w:ind w:left="36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Następnie obliczyliśmy niepewność standardową typu B dla pomiarów grubości rzeczywistej.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0,01mm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=0,0058mm</m:t>
        </m:r>
      </m:oMath>
      <w:r>
        <w:rPr>
          <w:rFonts w:eastAsiaTheme="minorEastAsia" w:cstheme="minorHAnsi"/>
          <w:sz w:val="24"/>
          <w:szCs w:val="24"/>
        </w:rPr>
        <w:t xml:space="preserve">. </w:t>
      </w:r>
      <w:r w:rsidR="000F59A8">
        <w:rPr>
          <w:rFonts w:eastAsiaTheme="minorEastAsia" w:cstheme="minorHAnsi"/>
          <w:sz w:val="24"/>
          <w:szCs w:val="24"/>
        </w:rPr>
        <w:t xml:space="preserve">Następnie obliczyliśmy niepewność standardową typu A dla pomiaru grubości pozornych płytek: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8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8∙7</m:t>
                </m:r>
              </m:den>
            </m:f>
          </m:e>
        </m:rad>
      </m:oMath>
      <w:r w:rsidR="000F59A8">
        <w:rPr>
          <w:rFonts w:eastAsiaTheme="minorEastAsia" w:cstheme="minorHAnsi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szkło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=0,0076mm</m:t>
        </m:r>
      </m:oMath>
      <w:r w:rsidR="00B025D1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pleksi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=0,0093</m:t>
        </m:r>
        <m:r>
          <w:rPr>
            <w:rFonts w:ascii="Cambria Math" w:eastAsiaTheme="minorEastAsia" w:hAnsi="Cambria Math" w:cstheme="minorHAnsi"/>
            <w:sz w:val="24"/>
            <w:szCs w:val="24"/>
          </w:rPr>
          <m:t>mm</m:t>
        </m:r>
      </m:oMath>
      <w:r w:rsidR="009219AE">
        <w:rPr>
          <w:rFonts w:eastAsiaTheme="minorEastAsia" w:cstheme="minorHAnsi"/>
          <w:sz w:val="24"/>
          <w:szCs w:val="24"/>
        </w:rPr>
        <w:t xml:space="preserve"> </w:t>
      </w:r>
      <w:r w:rsidR="007E55CA">
        <w:rPr>
          <w:rFonts w:eastAsiaTheme="minorEastAsia" w:cstheme="minorHAnsi"/>
          <w:sz w:val="24"/>
          <w:szCs w:val="24"/>
        </w:rPr>
        <w:t xml:space="preserve">(6.4.5). </w:t>
      </w:r>
      <w:r w:rsidR="009219AE">
        <w:rPr>
          <w:rFonts w:eastAsiaTheme="minorEastAsia" w:cstheme="minorHAnsi"/>
          <w:sz w:val="24"/>
          <w:szCs w:val="24"/>
        </w:rPr>
        <w:t xml:space="preserve">Wyniki tych obliczeń posłużyły nam do obliczenia niepewności współczynnika załamania światła: </w:t>
      </w:r>
      <w:r w:rsidR="007E55CA">
        <w:rPr>
          <w:rFonts w:eastAsiaTheme="minorEastAsia" w:cstheme="minorHAnsi"/>
          <w:sz w:val="24"/>
          <w:szCs w:val="24"/>
        </w:rPr>
        <w:t xml:space="preserve">                  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=n∙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h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9219AE">
        <w:rPr>
          <w:rFonts w:eastAsiaTheme="minorEastAsia" w:cstheme="minorHAnsi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pleksi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=0,0424</m:t>
        </m:r>
      </m:oMath>
      <w:r w:rsidR="009219AE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szkło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=0,0390</m:t>
        </m:r>
      </m:oMath>
      <w:r w:rsidR="009219AE">
        <w:rPr>
          <w:rFonts w:eastAsiaTheme="minorEastAsia" w:cstheme="minorHAnsi"/>
          <w:sz w:val="24"/>
          <w:szCs w:val="24"/>
        </w:rPr>
        <w:t xml:space="preserve"> (6.4.6). </w:t>
      </w:r>
    </w:p>
    <w:p w:rsidR="009219AE" w:rsidRDefault="009219AE" w:rsidP="006D2677">
      <w:pPr>
        <w:ind w:left="36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Dla każdej długości fali obliczyliśmy średnią wartość współczynnika załamania na podstawie czterokrotnego pomiaru. Następnie wykonaliśmy wykres zależności współczynnika załamania od długości fali dla płytki ze szkła. Wykres zamieściliśmy w załączniku 6.5. Wszelkie obliczenia z wykorzystaniem wzorów 6.4.1-6.4.6 zamieszczone zostały w załączniku 6.4.  </w:t>
      </w:r>
    </w:p>
    <w:p w:rsidR="009219AE" w:rsidRPr="009219AE" w:rsidRDefault="009219AE" w:rsidP="009219AE">
      <w:pPr>
        <w:pStyle w:val="Nagwek1"/>
        <w:ind w:left="993" w:hanging="567"/>
        <w:rPr>
          <w:rFonts w:eastAsiaTheme="minorEastAsia"/>
          <w:color w:val="auto"/>
        </w:rPr>
      </w:pPr>
      <w:r w:rsidRPr="009219AE">
        <w:rPr>
          <w:rFonts w:eastAsiaTheme="minorEastAsia"/>
          <w:color w:val="auto"/>
        </w:rPr>
        <w:t xml:space="preserve">V. </w:t>
      </w:r>
      <w:r>
        <w:rPr>
          <w:rFonts w:eastAsiaTheme="minorEastAsia"/>
          <w:color w:val="auto"/>
        </w:rPr>
        <w:tab/>
      </w:r>
      <w:r w:rsidRPr="009219AE">
        <w:rPr>
          <w:rFonts w:eastAsiaTheme="minorEastAsia"/>
          <w:color w:val="auto"/>
        </w:rPr>
        <w:t>Wnioski</w:t>
      </w:r>
    </w:p>
    <w:p w:rsidR="00536D03" w:rsidRPr="00463D18" w:rsidRDefault="00536D03" w:rsidP="0094390F">
      <w:pPr>
        <w:jc w:val="both"/>
        <w:rPr>
          <w:sz w:val="24"/>
          <w:szCs w:val="24"/>
        </w:rPr>
      </w:pPr>
    </w:p>
    <w:p w:rsidR="009219AE" w:rsidRPr="009219AE" w:rsidRDefault="009219AE" w:rsidP="009219AE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naszych pomiarów wynika, iż wartość współczynnika załamania światła dla szkła oraz pleksi wynoszą odpowiednio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szkło</m:t>
            </m:r>
          </m:sub>
        </m:sSub>
        <m:r>
          <w:rPr>
            <w:rFonts w:ascii="Cambria Math" w:hAnsi="Cambria Math"/>
            <w:sz w:val="24"/>
            <w:szCs w:val="24"/>
          </w:rPr>
          <m:t>=1,527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pleksi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=1,48</m:t>
        </m:r>
      </m:oMath>
      <w:r>
        <w:rPr>
          <w:rFonts w:eastAsiaTheme="minorEastAsia"/>
          <w:sz w:val="24"/>
          <w:szCs w:val="24"/>
        </w:rPr>
        <w:t xml:space="preserve">. Niepewności tych pomiarów wyniosły: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szkło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=0,0424</m:t>
        </m:r>
      </m:oMath>
      <w:r>
        <w:rPr>
          <w:rFonts w:eastAsiaTheme="minorEastAsia"/>
          <w:sz w:val="24"/>
          <w:szCs w:val="24"/>
        </w:rPr>
        <w:t>,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szkło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=0,0390</m:t>
        </m:r>
      </m:oMath>
      <w:r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br/>
      </w:r>
    </w:p>
    <w:p w:rsidR="004B2EA7" w:rsidRPr="00DA40B9" w:rsidRDefault="004B2EA7" w:rsidP="004B2EA7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Na dokładność pomiarów mogła wpłynąć niepewność oceny ostrości obrazu przez oko ludzkie, szczególnie w warunkach zmęczenia wielokrotnymi pomiarami</w:t>
      </w:r>
      <w:r>
        <w:rPr>
          <w:rFonts w:eastAsiaTheme="minorEastAsia"/>
          <w:sz w:val="24"/>
          <w:szCs w:val="24"/>
        </w:rPr>
        <w:br/>
      </w:r>
    </w:p>
    <w:p w:rsidR="00DA40B9" w:rsidRPr="00DA40B9" w:rsidRDefault="00DA40B9" w:rsidP="00DA40B9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Wartości </w:t>
      </w:r>
      <w:r w:rsidR="009219AE">
        <w:rPr>
          <w:sz w:val="24"/>
          <w:szCs w:val="24"/>
        </w:rPr>
        <w:t xml:space="preserve">tablicowe </w:t>
      </w:r>
      <w:r>
        <w:rPr>
          <w:sz w:val="24"/>
          <w:szCs w:val="24"/>
        </w:rPr>
        <w:t xml:space="preserve">współczynników załamania światła dla szkła oraz pleksi wynoszą odpowiednio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szkło</m:t>
                </m:r>
              </m:e>
            </m:d>
          </m:sub>
        </m:sSub>
        <m:r>
          <w:rPr>
            <w:rFonts w:ascii="Cambria Math" w:hAnsi="Cambria Math"/>
            <w:sz w:val="24"/>
            <w:szCs w:val="24"/>
          </w:rPr>
          <m:t>∈(1,50;1,58)</m:t>
        </m:r>
      </m:oMath>
      <w:r>
        <w:rPr>
          <w:rFonts w:eastAsiaTheme="minorEastAsia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t(pleksi)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=1,49</m:t>
        </m:r>
      </m:oMath>
      <w:r>
        <w:rPr>
          <w:rFonts w:eastAsiaTheme="minorEastAsia"/>
          <w:sz w:val="24"/>
          <w:szCs w:val="24"/>
        </w:rPr>
        <w:t xml:space="preserve">. Wartości te mieszczą się w przedziałach odpowiednio: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1,488 ;1,566</m:t>
            </m:r>
          </m:e>
        </m:d>
      </m:oMath>
      <w:r>
        <w:rPr>
          <w:rFonts w:eastAsiaTheme="minorEastAsia"/>
          <w:sz w:val="24"/>
          <w:szCs w:val="24"/>
        </w:rPr>
        <w:t xml:space="preserve"> oraz </w:t>
      </w:r>
      <m:oMath>
        <m:r>
          <w:rPr>
            <w:rFonts w:ascii="Cambria Math" w:eastAsiaTheme="minorEastAsia" w:hAnsi="Cambria Math"/>
            <w:sz w:val="24"/>
            <w:szCs w:val="24"/>
          </w:rPr>
          <m:t>[1,442 ;1,526]</m:t>
        </m:r>
      </m:oMath>
      <w:r>
        <w:rPr>
          <w:rFonts w:eastAsiaTheme="minorEastAsia"/>
          <w:sz w:val="24"/>
          <w:szCs w:val="24"/>
        </w:rPr>
        <w:t>, w związku z czym uznajemy, iż mieszczą się one w przedziałach niepewności pomiarowych – nasze pomiary pozostają w zgodzie z wartościami tablicowymi</w:t>
      </w:r>
      <w:r>
        <w:rPr>
          <w:rFonts w:eastAsiaTheme="minorEastAsia"/>
          <w:sz w:val="24"/>
          <w:szCs w:val="24"/>
        </w:rPr>
        <w:br/>
      </w:r>
    </w:p>
    <w:p w:rsidR="00DA40B9" w:rsidRPr="00DA40B9" w:rsidRDefault="00357705" w:rsidP="00DA40B9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Nasz wykres zależności współczynnika załamania od długości fali nie zgadza się z teorią (współczynnik załamania powinien maleć logarytmicznie wraz ze wzrostem długości fali). Może to być spowodowane złym stanem filtrów lub </w:t>
      </w:r>
      <w:r w:rsidR="00E265EC">
        <w:rPr>
          <w:sz w:val="24"/>
          <w:szCs w:val="24"/>
        </w:rPr>
        <w:t>faktem ewentualnego pominięcia</w:t>
      </w:r>
      <w:r w:rsidR="00795FD6">
        <w:rPr>
          <w:sz w:val="24"/>
          <w:szCs w:val="24"/>
        </w:rPr>
        <w:t xml:space="preserve"> przez nas</w:t>
      </w:r>
      <w:r w:rsidR="00E265EC">
        <w:rPr>
          <w:sz w:val="24"/>
          <w:szCs w:val="24"/>
        </w:rPr>
        <w:t xml:space="preserve"> jakiegoś </w:t>
      </w:r>
      <w:r w:rsidR="00795FD6">
        <w:rPr>
          <w:sz w:val="24"/>
          <w:szCs w:val="24"/>
        </w:rPr>
        <w:t xml:space="preserve">czynnika mającego znaczny wpływ na niepewność </w:t>
      </w:r>
      <w:r w:rsidR="00E265EC">
        <w:rPr>
          <w:sz w:val="24"/>
          <w:szCs w:val="24"/>
        </w:rPr>
        <w:t>pomiaru.</w:t>
      </w:r>
    </w:p>
    <w:sectPr w:rsidR="00DA40B9" w:rsidRPr="00DA40B9" w:rsidSect="00DA1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67B4"/>
    <w:multiLevelType w:val="hybridMultilevel"/>
    <w:tmpl w:val="1F58F272"/>
    <w:lvl w:ilvl="0" w:tplc="879849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55826"/>
    <w:multiLevelType w:val="hybridMultilevel"/>
    <w:tmpl w:val="F672036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6769A"/>
    <w:multiLevelType w:val="hybridMultilevel"/>
    <w:tmpl w:val="863628DA"/>
    <w:lvl w:ilvl="0" w:tplc="5BBA7D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4775F"/>
    <w:multiLevelType w:val="hybridMultilevel"/>
    <w:tmpl w:val="9956F6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2136E"/>
    <w:multiLevelType w:val="hybridMultilevel"/>
    <w:tmpl w:val="2A0ED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A2984"/>
    <w:multiLevelType w:val="hybridMultilevel"/>
    <w:tmpl w:val="863628DA"/>
    <w:lvl w:ilvl="0" w:tplc="5BBA7D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C1741"/>
    <w:multiLevelType w:val="hybridMultilevel"/>
    <w:tmpl w:val="92E85A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C7D89"/>
    <w:multiLevelType w:val="hybridMultilevel"/>
    <w:tmpl w:val="8F8A20D8"/>
    <w:lvl w:ilvl="0" w:tplc="04150017">
      <w:start w:val="1"/>
      <w:numFmt w:val="lowerLetter"/>
      <w:lvlText w:val="%1)"/>
      <w:lvlJc w:val="left"/>
      <w:pPr>
        <w:ind w:left="1140" w:hanging="360"/>
      </w:pPr>
    </w:lvl>
    <w:lvl w:ilvl="1" w:tplc="04150019" w:tentative="1">
      <w:start w:val="1"/>
      <w:numFmt w:val="lowerLetter"/>
      <w:lvlText w:val="%2."/>
      <w:lvlJc w:val="left"/>
      <w:pPr>
        <w:ind w:left="1860" w:hanging="360"/>
      </w:pPr>
    </w:lvl>
    <w:lvl w:ilvl="2" w:tplc="0415001B" w:tentative="1">
      <w:start w:val="1"/>
      <w:numFmt w:val="lowerRoman"/>
      <w:lvlText w:val="%3."/>
      <w:lvlJc w:val="right"/>
      <w:pPr>
        <w:ind w:left="2580" w:hanging="180"/>
      </w:pPr>
    </w:lvl>
    <w:lvl w:ilvl="3" w:tplc="0415000F" w:tentative="1">
      <w:start w:val="1"/>
      <w:numFmt w:val="decimal"/>
      <w:lvlText w:val="%4."/>
      <w:lvlJc w:val="left"/>
      <w:pPr>
        <w:ind w:left="3300" w:hanging="360"/>
      </w:pPr>
    </w:lvl>
    <w:lvl w:ilvl="4" w:tplc="04150019" w:tentative="1">
      <w:start w:val="1"/>
      <w:numFmt w:val="lowerLetter"/>
      <w:lvlText w:val="%5."/>
      <w:lvlJc w:val="left"/>
      <w:pPr>
        <w:ind w:left="4020" w:hanging="360"/>
      </w:pPr>
    </w:lvl>
    <w:lvl w:ilvl="5" w:tplc="0415001B" w:tentative="1">
      <w:start w:val="1"/>
      <w:numFmt w:val="lowerRoman"/>
      <w:lvlText w:val="%6."/>
      <w:lvlJc w:val="right"/>
      <w:pPr>
        <w:ind w:left="4740" w:hanging="180"/>
      </w:pPr>
    </w:lvl>
    <w:lvl w:ilvl="6" w:tplc="0415000F" w:tentative="1">
      <w:start w:val="1"/>
      <w:numFmt w:val="decimal"/>
      <w:lvlText w:val="%7."/>
      <w:lvlJc w:val="left"/>
      <w:pPr>
        <w:ind w:left="5460" w:hanging="360"/>
      </w:pPr>
    </w:lvl>
    <w:lvl w:ilvl="7" w:tplc="04150019" w:tentative="1">
      <w:start w:val="1"/>
      <w:numFmt w:val="lowerLetter"/>
      <w:lvlText w:val="%8."/>
      <w:lvlJc w:val="left"/>
      <w:pPr>
        <w:ind w:left="6180" w:hanging="360"/>
      </w:pPr>
    </w:lvl>
    <w:lvl w:ilvl="8" w:tplc="041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66F63B2B"/>
    <w:multiLevelType w:val="hybridMultilevel"/>
    <w:tmpl w:val="4BA8C88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26A47"/>
    <w:multiLevelType w:val="hybridMultilevel"/>
    <w:tmpl w:val="5AD2AA98"/>
    <w:lvl w:ilvl="0" w:tplc="E9CCEF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5C2D44"/>
    <w:multiLevelType w:val="hybridMultilevel"/>
    <w:tmpl w:val="7E2E1B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78"/>
    <w:rsid w:val="00017BB3"/>
    <w:rsid w:val="00023DEB"/>
    <w:rsid w:val="00032AD4"/>
    <w:rsid w:val="00045487"/>
    <w:rsid w:val="0006404A"/>
    <w:rsid w:val="00065327"/>
    <w:rsid w:val="000730A9"/>
    <w:rsid w:val="000B23C8"/>
    <w:rsid w:val="000D55A7"/>
    <w:rsid w:val="000F27B4"/>
    <w:rsid w:val="000F59A8"/>
    <w:rsid w:val="001317DF"/>
    <w:rsid w:val="00152AF2"/>
    <w:rsid w:val="001709C8"/>
    <w:rsid w:val="001A21F2"/>
    <w:rsid w:val="001B73B7"/>
    <w:rsid w:val="001C6063"/>
    <w:rsid w:val="001D12FB"/>
    <w:rsid w:val="00200D80"/>
    <w:rsid w:val="002234FC"/>
    <w:rsid w:val="0022653B"/>
    <w:rsid w:val="00274667"/>
    <w:rsid w:val="00274D22"/>
    <w:rsid w:val="00294929"/>
    <w:rsid w:val="0029745A"/>
    <w:rsid w:val="002B14BB"/>
    <w:rsid w:val="002B293A"/>
    <w:rsid w:val="002D09BB"/>
    <w:rsid w:val="002E01AE"/>
    <w:rsid w:val="002E0642"/>
    <w:rsid w:val="00306721"/>
    <w:rsid w:val="003151FA"/>
    <w:rsid w:val="00323802"/>
    <w:rsid w:val="00357705"/>
    <w:rsid w:val="00361414"/>
    <w:rsid w:val="00367AEC"/>
    <w:rsid w:val="003B0D30"/>
    <w:rsid w:val="003B2282"/>
    <w:rsid w:val="003C4F0D"/>
    <w:rsid w:val="003C5BAF"/>
    <w:rsid w:val="003E4319"/>
    <w:rsid w:val="003F2599"/>
    <w:rsid w:val="004003BF"/>
    <w:rsid w:val="00401F6D"/>
    <w:rsid w:val="00426893"/>
    <w:rsid w:val="004534BB"/>
    <w:rsid w:val="00463D18"/>
    <w:rsid w:val="00467C40"/>
    <w:rsid w:val="004930CA"/>
    <w:rsid w:val="004B2EA7"/>
    <w:rsid w:val="004B59C7"/>
    <w:rsid w:val="004B717B"/>
    <w:rsid w:val="004E4030"/>
    <w:rsid w:val="004F0ACA"/>
    <w:rsid w:val="004F3DCF"/>
    <w:rsid w:val="005263C8"/>
    <w:rsid w:val="005333DD"/>
    <w:rsid w:val="00533966"/>
    <w:rsid w:val="00536D03"/>
    <w:rsid w:val="00570D48"/>
    <w:rsid w:val="00583885"/>
    <w:rsid w:val="00585DB2"/>
    <w:rsid w:val="00593A06"/>
    <w:rsid w:val="005D6179"/>
    <w:rsid w:val="005F61EB"/>
    <w:rsid w:val="0060460A"/>
    <w:rsid w:val="006332CE"/>
    <w:rsid w:val="00634170"/>
    <w:rsid w:val="0066007E"/>
    <w:rsid w:val="00687A85"/>
    <w:rsid w:val="006D2677"/>
    <w:rsid w:val="006E370B"/>
    <w:rsid w:val="006E5BE9"/>
    <w:rsid w:val="006F2750"/>
    <w:rsid w:val="006F5711"/>
    <w:rsid w:val="007852F4"/>
    <w:rsid w:val="00795FD6"/>
    <w:rsid w:val="007D6083"/>
    <w:rsid w:val="007E55CA"/>
    <w:rsid w:val="00802A9A"/>
    <w:rsid w:val="00811245"/>
    <w:rsid w:val="00816EBB"/>
    <w:rsid w:val="00872D27"/>
    <w:rsid w:val="008802B2"/>
    <w:rsid w:val="0088672E"/>
    <w:rsid w:val="008A0861"/>
    <w:rsid w:val="008D60E7"/>
    <w:rsid w:val="008E110F"/>
    <w:rsid w:val="008E5EED"/>
    <w:rsid w:val="009219AE"/>
    <w:rsid w:val="00936DE6"/>
    <w:rsid w:val="0094390F"/>
    <w:rsid w:val="0094735F"/>
    <w:rsid w:val="00975CFC"/>
    <w:rsid w:val="0098174E"/>
    <w:rsid w:val="00982637"/>
    <w:rsid w:val="0099463B"/>
    <w:rsid w:val="009A3AA7"/>
    <w:rsid w:val="009B2C89"/>
    <w:rsid w:val="009D1D11"/>
    <w:rsid w:val="009D7AD1"/>
    <w:rsid w:val="009F2A50"/>
    <w:rsid w:val="00A01C4C"/>
    <w:rsid w:val="00A05574"/>
    <w:rsid w:val="00A118A4"/>
    <w:rsid w:val="00A12D8A"/>
    <w:rsid w:val="00A1695C"/>
    <w:rsid w:val="00A40EC4"/>
    <w:rsid w:val="00A41667"/>
    <w:rsid w:val="00A51663"/>
    <w:rsid w:val="00A612EB"/>
    <w:rsid w:val="00A66171"/>
    <w:rsid w:val="00A839AB"/>
    <w:rsid w:val="00A96B5F"/>
    <w:rsid w:val="00AB67CC"/>
    <w:rsid w:val="00AB6DE4"/>
    <w:rsid w:val="00B025D1"/>
    <w:rsid w:val="00B05810"/>
    <w:rsid w:val="00B2072B"/>
    <w:rsid w:val="00B22412"/>
    <w:rsid w:val="00B375CA"/>
    <w:rsid w:val="00B45678"/>
    <w:rsid w:val="00BB7F21"/>
    <w:rsid w:val="00C17475"/>
    <w:rsid w:val="00C26C3D"/>
    <w:rsid w:val="00C30570"/>
    <w:rsid w:val="00C41978"/>
    <w:rsid w:val="00C642EC"/>
    <w:rsid w:val="00C70021"/>
    <w:rsid w:val="00C7176D"/>
    <w:rsid w:val="00C82CED"/>
    <w:rsid w:val="00C831F9"/>
    <w:rsid w:val="00C9394F"/>
    <w:rsid w:val="00CC16CC"/>
    <w:rsid w:val="00D07429"/>
    <w:rsid w:val="00D62642"/>
    <w:rsid w:val="00DA1685"/>
    <w:rsid w:val="00DA40B9"/>
    <w:rsid w:val="00E20F48"/>
    <w:rsid w:val="00E265EC"/>
    <w:rsid w:val="00E43D5E"/>
    <w:rsid w:val="00E53DF4"/>
    <w:rsid w:val="00E65F3E"/>
    <w:rsid w:val="00E7020B"/>
    <w:rsid w:val="00E87AF1"/>
    <w:rsid w:val="00E91D74"/>
    <w:rsid w:val="00E93891"/>
    <w:rsid w:val="00EA74DA"/>
    <w:rsid w:val="00EC41DD"/>
    <w:rsid w:val="00EC4294"/>
    <w:rsid w:val="00EF7DE4"/>
    <w:rsid w:val="00F019E1"/>
    <w:rsid w:val="00F206FE"/>
    <w:rsid w:val="00F22CA1"/>
    <w:rsid w:val="00F2381A"/>
    <w:rsid w:val="00FA1907"/>
    <w:rsid w:val="00FE4DD2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41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39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4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1978"/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19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19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41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1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1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A96B5F"/>
    <w:rPr>
      <w:color w:val="808080"/>
    </w:rPr>
  </w:style>
  <w:style w:type="paragraph" w:styleId="Akapitzlist">
    <w:name w:val="List Paragraph"/>
    <w:basedOn w:val="Normalny"/>
    <w:uiPriority w:val="34"/>
    <w:qFormat/>
    <w:rsid w:val="00A05574"/>
    <w:pPr>
      <w:ind w:left="720"/>
      <w:contextualSpacing/>
    </w:pPr>
  </w:style>
  <w:style w:type="table" w:styleId="Tabela-Siatka">
    <w:name w:val="Table Grid"/>
    <w:basedOn w:val="Standardowy"/>
    <w:uiPriority w:val="59"/>
    <w:rsid w:val="00EF7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687A85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43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41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39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4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1978"/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19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19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41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1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1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A96B5F"/>
    <w:rPr>
      <w:color w:val="808080"/>
    </w:rPr>
  </w:style>
  <w:style w:type="paragraph" w:styleId="Akapitzlist">
    <w:name w:val="List Paragraph"/>
    <w:basedOn w:val="Normalny"/>
    <w:uiPriority w:val="34"/>
    <w:qFormat/>
    <w:rsid w:val="00A05574"/>
    <w:pPr>
      <w:ind w:left="720"/>
      <w:contextualSpacing/>
    </w:pPr>
  </w:style>
  <w:style w:type="table" w:styleId="Tabela-Siatka">
    <w:name w:val="Table Grid"/>
    <w:basedOn w:val="Standardowy"/>
    <w:uiPriority w:val="59"/>
    <w:rsid w:val="00EF7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687A85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43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635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15</cp:revision>
  <dcterms:created xsi:type="dcterms:W3CDTF">2012-04-20T14:25:00Z</dcterms:created>
  <dcterms:modified xsi:type="dcterms:W3CDTF">2012-04-20T15:36:00Z</dcterms:modified>
</cp:coreProperties>
</file>