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999FF25">
      <w:pPr>
        <w:rPr>
          <w:b/>
          <w:sz w:val="24"/>
        </w:rPr>
      </w:pPr>
    </w:p>
    <w:p w14:paraId="03DE1685">
      <w:pPr>
        <w:rPr>
          <w:b/>
          <w:sz w:val="24"/>
        </w:rPr>
      </w:pPr>
    </w:p>
    <w:p w14:paraId="7A12AB41">
      <w:pPr>
        <w:rPr>
          <w:b/>
          <w:sz w:val="28"/>
          <w:szCs w:val="28"/>
        </w:rPr>
      </w:pPr>
    </w:p>
    <w:p w14:paraId="3940CCA2">
      <w:pPr>
        <w:rPr>
          <w:b/>
          <w:sz w:val="24"/>
        </w:rPr>
      </w:pPr>
    </w:p>
    <w:p w14:paraId="05F72B9C">
      <w:pPr>
        <w:rPr>
          <w:b/>
        </w:rPr>
      </w:pPr>
    </w:p>
    <w:p w14:paraId="7650C175">
      <w:pPr>
        <w:rPr>
          <w:b/>
        </w:rPr>
      </w:pPr>
    </w:p>
    <w:p w14:paraId="131A91C7">
      <w:pPr>
        <w:rPr>
          <w:b/>
        </w:rPr>
      </w:pPr>
    </w:p>
    <w:p w14:paraId="7D5744E6">
      <w:pPr>
        <w:pStyle w:val="2"/>
        <w:jc w:val="center"/>
        <w:rPr>
          <w:rFonts w:ascii="黑体" w:hAnsi="黑体" w:eastAsia="黑体"/>
          <w:b/>
          <w:sz w:val="52"/>
          <w:szCs w:val="52"/>
        </w:rPr>
      </w:pPr>
      <w:r>
        <w:rPr>
          <w:rFonts w:hint="eastAsia" w:ascii="黑体" w:hAnsi="黑体" w:eastAsia="黑体"/>
          <w:b/>
          <w:sz w:val="52"/>
          <w:szCs w:val="52"/>
        </w:rPr>
        <w:t>哈尔滨工业大学（深圳）</w:t>
      </w:r>
    </w:p>
    <w:p w14:paraId="17FB21F2">
      <w:pPr>
        <w:pStyle w:val="2"/>
        <w:jc w:val="center"/>
        <w:rPr>
          <w:rFonts w:ascii="黑体" w:hAnsi="黑体" w:eastAsia="黑体"/>
          <w:b/>
          <w:sz w:val="52"/>
          <w:szCs w:val="52"/>
        </w:rPr>
      </w:pPr>
      <w:r>
        <w:rPr>
          <w:rFonts w:hint="eastAsia" w:ascii="黑体" w:hAnsi="黑体" w:eastAsia="黑体"/>
          <w:b/>
          <w:sz w:val="52"/>
          <w:szCs w:val="52"/>
        </w:rPr>
        <w:t>大一年度项目结题报告</w:t>
      </w:r>
    </w:p>
    <w:p w14:paraId="1851F418">
      <w:pPr>
        <w:pStyle w:val="2"/>
        <w:jc w:val="center"/>
        <w:rPr>
          <w:b/>
          <w:sz w:val="36"/>
          <w:szCs w:val="36"/>
        </w:rPr>
      </w:pPr>
    </w:p>
    <w:p w14:paraId="1B0DF285">
      <w:pPr>
        <w:pStyle w:val="2"/>
        <w:jc w:val="center"/>
        <w:rPr>
          <w:b/>
          <w:sz w:val="36"/>
          <w:szCs w:val="36"/>
        </w:rPr>
      </w:pPr>
    </w:p>
    <w:p w14:paraId="011D9BD5">
      <w:pPr>
        <w:pStyle w:val="2"/>
        <w:jc w:val="center"/>
        <w:rPr>
          <w:b/>
          <w:sz w:val="36"/>
          <w:szCs w:val="36"/>
        </w:rPr>
      </w:pPr>
    </w:p>
    <w:p w14:paraId="67EFE0BD">
      <w:pPr>
        <w:pStyle w:val="2"/>
        <w:jc w:val="center"/>
        <w:rPr>
          <w:b/>
          <w:sz w:val="36"/>
          <w:szCs w:val="36"/>
        </w:rPr>
      </w:pPr>
    </w:p>
    <w:p w14:paraId="788DB2DC">
      <w:pPr>
        <w:spacing w:line="360" w:lineRule="auto"/>
        <w:rPr>
          <w:b/>
          <w:sz w:val="36"/>
          <w:szCs w:val="36"/>
        </w:rPr>
      </w:pPr>
    </w:p>
    <w:p w14:paraId="6F13A56B">
      <w:pPr>
        <w:spacing w:line="360" w:lineRule="auto"/>
        <w:ind w:firstLine="1376" w:firstLineChars="491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项目名称：</w:t>
      </w:r>
      <w:r>
        <w:rPr>
          <w:rFonts w:hint="eastAsia" w:ascii="Times New Roman" w:hAnsi="Times New Roman" w:eastAsia="宋体"/>
          <w:b w:val="0"/>
          <w:sz w:val="28"/>
          <w:szCs w:val="28"/>
          <w:u w:val="single"/>
        </w:rPr>
        <w:t>视觉触觉三维形状重建</w:t>
      </w:r>
    </w:p>
    <w:p w14:paraId="5FBDF1AE">
      <w:pPr>
        <w:spacing w:line="360" w:lineRule="auto"/>
        <w:ind w:firstLine="1379" w:firstLineChars="492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项目负责人：</w:t>
      </w:r>
      <w:r>
        <w:rPr>
          <w:rFonts w:hint="eastAsia" w:ascii="Times New Roman" w:hAnsi="Times New Roman" w:eastAsia="宋体"/>
          <w:b w:val="0"/>
          <w:sz w:val="28"/>
          <w:szCs w:val="28"/>
          <w:u w:val="single"/>
        </w:rPr>
        <w:t xml:space="preserve">刘一为           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学号：</w:t>
      </w:r>
      <w:r>
        <w:rPr>
          <w:rFonts w:hint="eastAsia"/>
          <w:sz w:val="28"/>
          <w:szCs w:val="28"/>
          <w:u w:val="single"/>
          <w:lang w:val="en-US" w:eastAsia="zh-CN"/>
        </w:rPr>
        <w:t>2025310397</w:t>
      </w:r>
      <w:r>
        <w:rPr>
          <w:rFonts w:hint="eastAsia"/>
          <w:sz w:val="28"/>
          <w:szCs w:val="28"/>
          <w:u w:val="single"/>
        </w:rPr>
        <w:t xml:space="preserve">             </w:t>
      </w:r>
    </w:p>
    <w:p w14:paraId="14ED8B23">
      <w:pPr>
        <w:spacing w:line="360" w:lineRule="auto"/>
        <w:ind w:firstLine="1379" w:firstLineChars="492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联系电话：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15012975967 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</w:rPr>
        <w:t>电子邮箱：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>Eway</w:t>
      </w:r>
      <w:r>
        <w:rPr>
          <w:rFonts w:hint="default"/>
          <w:sz w:val="28"/>
          <w:szCs w:val="28"/>
          <w:u w:val="single"/>
          <w:lang w:val="en-US" w:eastAsia="zh-CN"/>
        </w:rPr>
        <w:t>.Liu@outlook.com</w:t>
      </w:r>
      <w:r>
        <w:rPr>
          <w:rFonts w:hint="eastAsia"/>
          <w:sz w:val="28"/>
          <w:szCs w:val="28"/>
          <w:u w:val="single"/>
        </w:rPr>
        <w:t xml:space="preserve">  </w:t>
      </w:r>
    </w:p>
    <w:p w14:paraId="77FF78E8">
      <w:pPr>
        <w:spacing w:line="360" w:lineRule="auto"/>
        <w:ind w:firstLine="1379" w:firstLineChars="492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院系及专业：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信息学部 计算机科学与技术学院</w:t>
      </w:r>
      <w:r>
        <w:rPr>
          <w:rFonts w:hint="eastAsia"/>
          <w:sz w:val="28"/>
          <w:szCs w:val="28"/>
          <w:u w:val="single"/>
        </w:rPr>
        <w:t xml:space="preserve">                                   </w:t>
      </w:r>
    </w:p>
    <w:p w14:paraId="1ECE4928">
      <w:pPr>
        <w:spacing w:line="360" w:lineRule="auto"/>
        <w:rPr>
          <w:b/>
          <w:sz w:val="28"/>
          <w:szCs w:val="28"/>
        </w:rPr>
      </w:pPr>
    </w:p>
    <w:p w14:paraId="6AD93428">
      <w:pPr>
        <w:spacing w:line="360" w:lineRule="auto"/>
        <w:ind w:firstLine="1379" w:firstLineChars="492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rFonts w:hint="eastAsia" w:ascii="Times New Roman" w:hAnsi="Times New Roman" w:eastAsia="宋体"/>
          <w:b w:val="0"/>
          <w:sz w:val="28"/>
          <w:szCs w:val="28"/>
          <w:u w:val="single"/>
        </w:rPr>
        <w:t xml:space="preserve">徐鹏            </w:t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职称：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  <w:lang w:val="en-US" w:eastAsia="zh-CN"/>
        </w:rPr>
        <w:t>副教授</w:t>
      </w:r>
      <w:r>
        <w:rPr>
          <w:rFonts w:hint="eastAsia"/>
          <w:sz w:val="28"/>
          <w:szCs w:val="28"/>
          <w:u w:val="single"/>
        </w:rPr>
        <w:t xml:space="preserve">              </w:t>
      </w:r>
    </w:p>
    <w:p w14:paraId="29B2DE51">
      <w:pPr>
        <w:spacing w:line="360" w:lineRule="auto"/>
        <w:ind w:firstLine="1376" w:firstLineChars="491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联系电话：</w:t>
      </w:r>
      <w:r>
        <w:rPr>
          <w:rFonts w:hint="eastAsia"/>
          <w:sz w:val="28"/>
          <w:szCs w:val="28"/>
          <w:u w:val="single"/>
        </w:rPr>
        <w:t xml:space="preserve">  13537501302    </w:t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电子邮箱：</w:t>
      </w:r>
      <w:r>
        <w:rPr>
          <w:rFonts w:hint="eastAsia"/>
          <w:sz w:val="28"/>
          <w:szCs w:val="28"/>
          <w:u w:val="single"/>
        </w:rPr>
        <w:t xml:space="preserve"> xupeng919@hit.edu.cn            </w:t>
      </w:r>
    </w:p>
    <w:p w14:paraId="4E077F99">
      <w:pPr>
        <w:spacing w:line="360" w:lineRule="auto"/>
        <w:ind w:firstLine="1379" w:firstLineChars="492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院系及专业：</w:t>
      </w:r>
      <w:r>
        <w:rPr>
          <w:rFonts w:hint="eastAsia"/>
          <w:sz w:val="28"/>
          <w:szCs w:val="28"/>
          <w:u w:val="single"/>
        </w:rPr>
        <w:t xml:space="preserve">    智能学部 机器人与先进制造学院                                 </w:t>
      </w:r>
    </w:p>
    <w:p w14:paraId="10B6F6F0">
      <w:pPr>
        <w:rPr>
          <w:b/>
          <w:sz w:val="36"/>
          <w:szCs w:val="36"/>
        </w:rPr>
      </w:pPr>
    </w:p>
    <w:p w14:paraId="562C0D4F">
      <w:pPr>
        <w:rPr>
          <w:b/>
          <w:sz w:val="36"/>
          <w:szCs w:val="36"/>
        </w:rPr>
      </w:pPr>
    </w:p>
    <w:p w14:paraId="73076B69">
      <w:pPr>
        <w:rPr>
          <w:b/>
          <w:sz w:val="36"/>
          <w:szCs w:val="36"/>
        </w:rPr>
      </w:pPr>
    </w:p>
    <w:p w14:paraId="7EB08191">
      <w:pPr>
        <w:rPr>
          <w:b/>
          <w:sz w:val="36"/>
          <w:szCs w:val="36"/>
        </w:rPr>
      </w:pPr>
    </w:p>
    <w:p w14:paraId="5467A391">
      <w:pPr>
        <w:rPr>
          <w:b/>
          <w:sz w:val="36"/>
          <w:szCs w:val="36"/>
        </w:rPr>
      </w:pPr>
    </w:p>
    <w:p w14:paraId="26FAD050">
      <w:pPr>
        <w:rPr>
          <w:b/>
          <w:sz w:val="36"/>
          <w:szCs w:val="36"/>
        </w:rPr>
      </w:pPr>
    </w:p>
    <w:p w14:paraId="7F165058">
      <w:pPr>
        <w:rPr>
          <w:b/>
          <w:sz w:val="36"/>
          <w:szCs w:val="36"/>
        </w:rPr>
      </w:pPr>
    </w:p>
    <w:p w14:paraId="16154485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填表日期： </w:t>
      </w:r>
      <w:r>
        <w:rPr>
          <w:rFonts w:hint="eastAsia"/>
          <w:b/>
          <w:sz w:val="28"/>
          <w:szCs w:val="28"/>
          <w:lang w:val="en-US" w:eastAsia="zh-CN"/>
        </w:rPr>
        <w:t>2026</w:t>
      </w:r>
      <w:r>
        <w:rPr>
          <w:rFonts w:hint="eastAsia"/>
          <w:b/>
          <w:sz w:val="28"/>
          <w:szCs w:val="28"/>
        </w:rPr>
        <w:t xml:space="preserve">  年 </w:t>
      </w:r>
      <w:r>
        <w:rPr>
          <w:rFonts w:hint="eastAsia"/>
          <w:b/>
          <w:sz w:val="28"/>
          <w:szCs w:val="28"/>
          <w:lang w:val="en-US" w:eastAsia="zh-CN"/>
        </w:rPr>
        <w:t>10</w:t>
      </w:r>
      <w:r>
        <w:rPr>
          <w:rFonts w:hint="eastAsia"/>
          <w:b/>
          <w:sz w:val="28"/>
          <w:szCs w:val="28"/>
        </w:rPr>
        <w:t xml:space="preserve"> 月 </w:t>
      </w:r>
      <w:r>
        <w:rPr>
          <w:rFonts w:hint="eastAsia"/>
          <w:b/>
          <w:sz w:val="28"/>
          <w:szCs w:val="28"/>
          <w:lang w:val="en-US" w:eastAsia="zh-CN"/>
        </w:rPr>
        <w:t>28</w:t>
      </w:r>
      <w:r>
        <w:rPr>
          <w:rFonts w:hint="eastAsia"/>
          <w:b/>
          <w:sz w:val="28"/>
          <w:szCs w:val="28"/>
        </w:rPr>
        <w:t xml:space="preserve"> 日</w:t>
      </w:r>
    </w:p>
    <w:p w14:paraId="48F2623B">
      <w:pPr>
        <w:rPr>
          <w:b/>
          <w:sz w:val="24"/>
        </w:rPr>
      </w:pPr>
    </w:p>
    <w:p w14:paraId="15AF48F4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一、项目团队成员</w:t>
      </w:r>
      <w:r>
        <w:rPr>
          <w:rFonts w:hint="eastAsia"/>
          <w:bCs/>
          <w:sz w:val="28"/>
          <w:szCs w:val="28"/>
        </w:rPr>
        <w:t>（包括项目负责人、按顺序）</w:t>
      </w:r>
    </w:p>
    <w:tbl>
      <w:tblPr>
        <w:tblStyle w:val="8"/>
        <w:tblpPr w:leftFromText="180" w:rightFromText="180" w:vertAnchor="text" w:horzAnchor="margin" w:tblpY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4"/>
        <w:gridCol w:w="834"/>
        <w:gridCol w:w="2312"/>
        <w:gridCol w:w="1470"/>
        <w:gridCol w:w="2415"/>
        <w:gridCol w:w="1392"/>
      </w:tblGrid>
      <w:tr w14:paraId="7ADA92F5">
        <w:trPr>
          <w:trHeight w:val="404" w:hRule="atLeast"/>
        </w:trPr>
        <w:tc>
          <w:tcPr>
            <w:tcW w:w="1274" w:type="dxa"/>
            <w:tcBorders>
              <w:top w:val="single" w:color="auto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8E721D">
            <w:pPr>
              <w:spacing w:line="357" w:lineRule="atLeast"/>
              <w:jc w:val="center"/>
              <w:rPr>
                <w:color w:val="000000"/>
                <w:sz w:val="31"/>
                <w:u w:color="000000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BC8239">
            <w:pPr>
              <w:spacing w:line="357" w:lineRule="atLeast"/>
              <w:jc w:val="center"/>
              <w:rPr>
                <w:color w:val="000000"/>
                <w:sz w:val="31"/>
                <w:u w:color="000000"/>
              </w:rPr>
            </w:pPr>
            <w:r>
              <w:rPr>
                <w:rFonts w:hint="eastAsia"/>
              </w:rPr>
              <w:t>性别</w:t>
            </w:r>
          </w:p>
        </w:tc>
        <w:tc>
          <w:tcPr>
            <w:tcW w:w="231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1DCADAF">
            <w:pPr>
              <w:spacing w:line="357" w:lineRule="atLeast"/>
              <w:jc w:val="center"/>
            </w:pPr>
            <w:r>
              <w:rPr>
                <w:rFonts w:hint="eastAsia"/>
              </w:rPr>
              <w:t>所在学院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FFE406">
            <w:pPr>
              <w:spacing w:line="357" w:lineRule="atLeast"/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2415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8DB7EAA">
            <w:pPr>
              <w:spacing w:line="357" w:lineRule="atLeast"/>
              <w:jc w:val="center"/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77971A58">
            <w:pPr>
              <w:spacing w:line="357" w:lineRule="atLeast"/>
              <w:jc w:val="center"/>
            </w:pPr>
            <w:r>
              <w:rPr>
                <w:rFonts w:hint="eastAsia"/>
              </w:rPr>
              <w:t>本人签字</w:t>
            </w:r>
          </w:p>
        </w:tc>
      </w:tr>
      <w:tr w14:paraId="4AE33288">
        <w:trPr>
          <w:trHeight w:val="404" w:hRule="atLeast"/>
        </w:trPr>
        <w:tc>
          <w:tcPr>
            <w:tcW w:w="1274" w:type="dxa"/>
            <w:tcBorders>
              <w:top w:val="single" w:color="auto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44BDE9">
            <w:pPr>
              <w:spacing w:line="357" w:lineRule="atLeast"/>
              <w:ind w:firstLine="0"/>
              <w:jc w:val="center"/>
              <w:rPr>
                <w:color w:val="000000"/>
                <w:szCs w:val="21"/>
                <w:u w:color="000000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刘一为</w:t>
            </w:r>
          </w:p>
        </w:tc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3665B2">
            <w:pPr>
              <w:spacing w:line="357" w:lineRule="atLeast"/>
              <w:jc w:val="center"/>
              <w:rPr>
                <w:rFonts w:hint="default" w:eastAsia="宋体"/>
                <w:color w:val="000000"/>
                <w:szCs w:val="21"/>
                <w:u w:color="000000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u w:color="000000"/>
                <w:lang w:val="en-US" w:eastAsia="zh-CN"/>
              </w:rPr>
              <w:t>男</w:t>
            </w:r>
          </w:p>
        </w:tc>
        <w:tc>
          <w:tcPr>
            <w:tcW w:w="2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E80D2C">
            <w:pPr>
              <w:snapToGrid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计算机科学与技术学院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0C4E0A9C">
            <w:pPr>
              <w:snapToGrid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2025310397</w:t>
            </w:r>
          </w:p>
        </w:tc>
        <w:tc>
          <w:tcPr>
            <w:tcW w:w="2415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8F9A9F0">
            <w:pPr>
              <w:snapToGrid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15012975967</w:t>
            </w:r>
          </w:p>
        </w:tc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0CF9168F">
            <w:pPr>
              <w:snapToGrid w:val="0"/>
              <w:jc w:val="center"/>
            </w:pPr>
          </w:p>
        </w:tc>
      </w:tr>
      <w:tr w14:paraId="0561A3BE">
        <w:trPr>
          <w:trHeight w:val="404" w:hRule="atLeast"/>
        </w:trPr>
        <w:tc>
          <w:tcPr>
            <w:tcW w:w="1274" w:type="dxa"/>
            <w:tcBorders>
              <w:top w:val="single" w:color="auto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16694C">
            <w:pPr>
              <w:spacing w:line="357" w:lineRule="atLeast"/>
              <w:ind w:firstLine="0"/>
              <w:jc w:val="center"/>
              <w:rPr>
                <w:color w:val="000000"/>
                <w:u w:color="000000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洪驰</w:t>
            </w:r>
          </w:p>
        </w:tc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D22C93">
            <w:pPr>
              <w:spacing w:line="357" w:lineRule="atLeast"/>
              <w:jc w:val="center"/>
              <w:rPr>
                <w:rFonts w:hint="eastAsia" w:eastAsia="宋体"/>
                <w:color w:val="000000"/>
                <w:u w:color="000000"/>
                <w:lang w:val="en-US" w:eastAsia="zh-CN"/>
              </w:rPr>
            </w:pPr>
            <w:r>
              <w:rPr>
                <w:rFonts w:hint="eastAsia"/>
                <w:color w:val="000000"/>
                <w:u w:color="000000"/>
                <w:lang w:val="en-US" w:eastAsia="zh-CN"/>
              </w:rPr>
              <w:t>男</w:t>
            </w:r>
          </w:p>
        </w:tc>
        <w:tc>
          <w:tcPr>
            <w:tcW w:w="231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904E470">
            <w:pPr>
              <w:snapToGrid w:val="0"/>
              <w:jc w:val="center"/>
              <w:rPr>
                <w:rFonts w:hint="default" w:eastAsia="宋体"/>
                <w:color w:val="000000"/>
                <w:u w:color="000000"/>
                <w:lang w:val="en-US" w:eastAsia="zh-CN"/>
              </w:rPr>
            </w:pPr>
            <w:r>
              <w:rPr>
                <w:rFonts w:hint="eastAsia"/>
                <w:color w:val="000000"/>
                <w:u w:color="000000"/>
                <w:lang w:val="en-US" w:eastAsia="zh-CN"/>
              </w:rPr>
              <w:t>集成电路学院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BC58C8">
            <w:pPr>
              <w:snapToGrid w:val="0"/>
              <w:jc w:val="center"/>
              <w:rPr>
                <w:color w:val="000000"/>
                <w:u w:color="000000"/>
              </w:rPr>
            </w:pPr>
            <w:r>
              <w:rPr>
                <w:rFonts w:hint="eastAsia"/>
                <w:color w:val="000000"/>
                <w:u w:color="000000"/>
              </w:rPr>
              <w:t>2025310449</w:t>
            </w:r>
          </w:p>
        </w:tc>
        <w:tc>
          <w:tcPr>
            <w:tcW w:w="2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A6BE0F">
            <w:pPr>
              <w:snapToGrid w:val="0"/>
              <w:jc w:val="center"/>
              <w:rPr>
                <w:color w:val="000000"/>
                <w:u w:color="000000"/>
              </w:rPr>
            </w:pPr>
            <w:r>
              <w:rPr>
                <w:rFonts w:hint="eastAsia"/>
                <w:color w:val="000000"/>
                <w:u w:color="000000"/>
              </w:rPr>
              <w:t>13322712501</w:t>
            </w:r>
          </w:p>
        </w:tc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</w:tcPr>
          <w:p w14:paraId="4ED61147">
            <w:pPr>
              <w:snapToGrid w:val="0"/>
              <w:jc w:val="center"/>
              <w:rPr>
                <w:color w:val="000000"/>
                <w:u w:color="000000"/>
              </w:rPr>
            </w:pPr>
          </w:p>
        </w:tc>
      </w:tr>
      <w:tr w14:paraId="766A0233">
        <w:trPr>
          <w:trHeight w:val="404" w:hRule="atLeast"/>
        </w:trPr>
        <w:tc>
          <w:tcPr>
            <w:tcW w:w="1274" w:type="dxa"/>
            <w:tcBorders>
              <w:top w:val="single" w:color="auto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D3666D">
            <w:pPr>
              <w:spacing w:line="357" w:lineRule="atLeast"/>
              <w:ind w:firstLine="0"/>
              <w:jc w:val="center"/>
              <w:rPr>
                <w:color w:val="000000"/>
                <w:u w:color="000000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李承烨</w:t>
            </w:r>
          </w:p>
        </w:tc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0D1222">
            <w:pPr>
              <w:spacing w:line="357" w:lineRule="atLeast"/>
              <w:jc w:val="center"/>
              <w:rPr>
                <w:rFonts w:hint="eastAsia" w:eastAsia="宋体"/>
                <w:color w:val="000000"/>
                <w:u w:color="000000"/>
                <w:lang w:val="en-US" w:eastAsia="zh-CN"/>
              </w:rPr>
            </w:pPr>
            <w:r>
              <w:rPr>
                <w:rFonts w:hint="eastAsia"/>
                <w:color w:val="000000"/>
                <w:u w:color="000000"/>
                <w:lang w:val="en-US" w:eastAsia="zh-CN"/>
              </w:rPr>
              <w:t>男</w:t>
            </w:r>
          </w:p>
        </w:tc>
        <w:tc>
          <w:tcPr>
            <w:tcW w:w="231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A7D4E1C">
            <w:pPr>
              <w:spacing w:line="357" w:lineRule="atLeast"/>
              <w:jc w:val="center"/>
              <w:rPr>
                <w:color w:val="000000"/>
                <w:u w:color="000000"/>
              </w:rPr>
            </w:pPr>
            <w:r>
              <w:rPr>
                <w:rFonts w:hint="eastAsia"/>
                <w:lang w:val="en-US" w:eastAsia="zh-CN"/>
              </w:rPr>
              <w:t>计算机科学与技术学院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2A6503">
            <w:pPr>
              <w:spacing w:line="357" w:lineRule="atLeast"/>
              <w:jc w:val="center"/>
              <w:rPr>
                <w:color w:val="000000"/>
                <w:u w:color="000000"/>
              </w:rPr>
            </w:pPr>
            <w:r>
              <w:rPr>
                <w:rFonts w:hint="eastAsia"/>
                <w:color w:val="000000"/>
                <w:u w:color="000000"/>
              </w:rPr>
              <w:t>2025310674</w:t>
            </w:r>
          </w:p>
        </w:tc>
        <w:tc>
          <w:tcPr>
            <w:tcW w:w="2415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971F098">
            <w:pPr>
              <w:spacing w:line="357" w:lineRule="atLeast"/>
              <w:jc w:val="center"/>
              <w:rPr>
                <w:color w:val="000000"/>
                <w:u w:color="000000"/>
              </w:rPr>
            </w:pPr>
            <w:r>
              <w:rPr>
                <w:rFonts w:hint="eastAsia"/>
                <w:color w:val="000000"/>
                <w:u w:color="000000"/>
              </w:rPr>
              <w:t>15694152911</w:t>
            </w:r>
          </w:p>
        </w:tc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1327BC28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</w:tr>
      <w:tr w14:paraId="153EFB14">
        <w:trPr>
          <w:trHeight w:val="404" w:hRule="atLeast"/>
        </w:trPr>
        <w:tc>
          <w:tcPr>
            <w:tcW w:w="1274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5BE35D28">
            <w:pPr>
              <w:spacing w:line="357" w:lineRule="atLeast"/>
              <w:ind w:firstLine="0"/>
              <w:jc w:val="center"/>
              <w:rPr>
                <w:color w:val="000000"/>
                <w:u w:color="000000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郑嘉沣</w:t>
            </w:r>
          </w:p>
        </w:tc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3C79A079">
            <w:pPr>
              <w:spacing w:line="357" w:lineRule="atLeast"/>
              <w:jc w:val="center"/>
              <w:rPr>
                <w:rFonts w:hint="eastAsia" w:eastAsia="宋体"/>
                <w:color w:val="000000"/>
                <w:u w:color="000000"/>
                <w:lang w:val="en-US" w:eastAsia="zh-CN"/>
              </w:rPr>
            </w:pPr>
            <w:r>
              <w:rPr>
                <w:rFonts w:hint="eastAsia"/>
                <w:color w:val="000000"/>
                <w:u w:color="000000"/>
                <w:lang w:val="en-US" w:eastAsia="zh-CN"/>
              </w:rPr>
              <w:t>男</w:t>
            </w:r>
          </w:p>
        </w:tc>
        <w:tc>
          <w:tcPr>
            <w:tcW w:w="2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0E0CBD">
            <w:pPr>
              <w:spacing w:line="357" w:lineRule="atLeast"/>
              <w:jc w:val="center"/>
              <w:rPr>
                <w:color w:val="000000"/>
                <w:u w:color="000000"/>
              </w:rPr>
            </w:pPr>
            <w:r>
              <w:rPr>
                <w:rFonts w:hint="eastAsia"/>
                <w:lang w:val="en-US" w:eastAsia="zh-CN"/>
              </w:rPr>
              <w:t>计算机科学与技术学院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330B6CC7">
            <w:pPr>
              <w:spacing w:line="357" w:lineRule="atLeast"/>
              <w:jc w:val="center"/>
              <w:rPr>
                <w:color w:val="000000"/>
                <w:u w:color="000000"/>
              </w:rPr>
            </w:pPr>
            <w:r>
              <w:rPr>
                <w:rFonts w:hint="eastAsia"/>
                <w:color w:val="000000"/>
                <w:u w:color="000000"/>
              </w:rPr>
              <w:t>2025310483</w:t>
            </w:r>
          </w:p>
        </w:tc>
        <w:tc>
          <w:tcPr>
            <w:tcW w:w="2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58D805">
            <w:pPr>
              <w:spacing w:line="357" w:lineRule="atLeast"/>
              <w:jc w:val="center"/>
              <w:rPr>
                <w:color w:val="000000"/>
                <w:u w:color="000000"/>
              </w:rPr>
            </w:pPr>
            <w:r>
              <w:rPr>
                <w:rFonts w:hint="eastAsia"/>
                <w:color w:val="000000"/>
                <w:u w:color="000000"/>
              </w:rPr>
              <w:t>13802760975</w:t>
            </w:r>
          </w:p>
        </w:tc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</w:tcPr>
          <w:p w14:paraId="63642DD4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</w:tr>
      <w:tr w14:paraId="22B92312">
        <w:trPr>
          <w:trHeight w:val="404" w:hRule="atLeast"/>
        </w:trPr>
        <w:tc>
          <w:tcPr>
            <w:tcW w:w="1274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2C32F8AC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3A7AA01F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2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5DA39A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5C59F25B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2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B37BBB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</w:tcPr>
          <w:p w14:paraId="5D9E7346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</w:tr>
    </w:tbl>
    <w:p w14:paraId="33831D77">
      <w:pPr>
        <w:rPr>
          <w:rFonts w:ascii="宋体" w:hAnsi="宋体"/>
          <w:szCs w:val="21"/>
        </w:rPr>
      </w:pPr>
    </w:p>
    <w:p w14:paraId="480E3359">
      <w:pPr>
        <w:spacing w:before="120" w:beforeLines="50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二、指导教师意见</w:t>
      </w:r>
    </w:p>
    <w:p w14:paraId="63D4C45B">
      <w:pPr>
        <w:rPr>
          <w:rFonts w:ascii="宋体" w:hAnsi="宋体"/>
          <w:sz w:val="28"/>
          <w:szCs w:val="28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02"/>
      </w:tblGrid>
      <w:tr w14:paraId="67D338FC">
        <w:trPr>
          <w:trHeight w:val="2061" w:hRule="atLeast"/>
          <w:jc w:val="center"/>
        </w:trPr>
        <w:tc>
          <w:tcPr>
            <w:tcW w:w="9702" w:type="dxa"/>
          </w:tcPr>
          <w:p w14:paraId="747DCDE4">
            <w:pPr>
              <w:rPr>
                <w:rFonts w:ascii="宋体" w:hAnsi="宋体"/>
                <w:szCs w:val="21"/>
              </w:rPr>
            </w:pPr>
          </w:p>
          <w:p w14:paraId="1950A72E">
            <w:pPr>
              <w:rPr>
                <w:rFonts w:ascii="宋体" w:hAnsi="宋体"/>
                <w:szCs w:val="21"/>
              </w:rPr>
            </w:pPr>
          </w:p>
          <w:p w14:paraId="462A5339">
            <w:pPr>
              <w:rPr>
                <w:rFonts w:ascii="宋体" w:hAnsi="宋体"/>
                <w:szCs w:val="21"/>
              </w:rPr>
            </w:pPr>
          </w:p>
          <w:p w14:paraId="60C77E6F">
            <w:pPr>
              <w:rPr>
                <w:rFonts w:ascii="宋体" w:hAnsi="宋体"/>
                <w:szCs w:val="21"/>
              </w:rPr>
            </w:pPr>
          </w:p>
          <w:p w14:paraId="604A4229">
            <w:pPr>
              <w:rPr>
                <w:rFonts w:ascii="宋体" w:hAnsi="宋体"/>
                <w:szCs w:val="21"/>
              </w:rPr>
            </w:pPr>
          </w:p>
          <w:p w14:paraId="1BD916EF">
            <w:pPr>
              <w:rPr>
                <w:rFonts w:ascii="宋体" w:hAnsi="宋体"/>
                <w:szCs w:val="21"/>
              </w:rPr>
            </w:pPr>
          </w:p>
          <w:p w14:paraId="725181D9">
            <w:pPr>
              <w:ind w:firstLine="4410" w:firstLineChars="21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签    名：</w:t>
            </w:r>
          </w:p>
          <w:p w14:paraId="3BEF566C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                                                                年     月     日</w:t>
            </w:r>
          </w:p>
        </w:tc>
      </w:tr>
    </w:tbl>
    <w:p w14:paraId="2D3E0DE4"/>
    <w:p w14:paraId="40A79E59">
      <w:pPr>
        <w:spacing w:before="120" w:beforeLines="5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三、项目专家组意见</w:t>
      </w:r>
    </w:p>
    <w:p w14:paraId="797290D9"/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0"/>
      </w:tblGrid>
      <w:tr w14:paraId="406D5A9B">
        <w:trPr>
          <w:trHeight w:val="428" w:hRule="atLeast"/>
          <w:jc w:val="center"/>
        </w:trPr>
        <w:tc>
          <w:tcPr>
            <w:tcW w:w="9660" w:type="dxa"/>
            <w:tcBorders>
              <w:bottom w:val="single" w:color="auto" w:sz="4" w:space="0"/>
            </w:tcBorders>
            <w:vAlign w:val="center"/>
          </w:tcPr>
          <w:p w14:paraId="3B2BD0D7">
            <w:pPr>
              <w:jc w:val="center"/>
              <w:rPr>
                <w:rFonts w:ascii="宋体" w:hAnsi="宋体"/>
                <w:b/>
                <w:szCs w:val="21"/>
              </w:rPr>
            </w:pPr>
          </w:p>
          <w:p w14:paraId="1AF79343">
            <w:pPr>
              <w:widowControl/>
              <w:jc w:val="center"/>
              <w:rPr>
                <w:rFonts w:ascii="宋体" w:hAnsi="宋体"/>
                <w:szCs w:val="21"/>
              </w:rPr>
            </w:pPr>
          </w:p>
          <w:p w14:paraId="26D92BF0">
            <w:pPr>
              <w:widowControl/>
              <w:jc w:val="center"/>
              <w:rPr>
                <w:rFonts w:ascii="宋体" w:hAnsi="宋体"/>
                <w:szCs w:val="21"/>
              </w:rPr>
            </w:pPr>
          </w:p>
          <w:p w14:paraId="74774B4F">
            <w:pPr>
              <w:spacing w:before="120" w:beforeLines="50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                               </w:t>
            </w:r>
          </w:p>
          <w:p w14:paraId="1F910D96">
            <w:pPr>
              <w:spacing w:before="120" w:beforeLines="50"/>
              <w:ind w:firstLine="2464" w:firstLineChars="1172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       </w:t>
            </w:r>
          </w:p>
          <w:p w14:paraId="1AC2FEF3">
            <w:pPr>
              <w:spacing w:before="120" w:beforeLines="50"/>
              <w:ind w:firstLine="2461" w:firstLineChars="1172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                 组长签名：</w:t>
            </w:r>
            <w:r>
              <w:rPr>
                <w:rFonts w:hint="eastAsia" w:ascii="宋体" w:hAnsi="宋体"/>
                <w:b/>
                <w:szCs w:val="21"/>
              </w:rPr>
              <w:t xml:space="preserve">           </w:t>
            </w:r>
          </w:p>
          <w:p w14:paraId="45BB6062">
            <w:pPr>
              <w:spacing w:before="120" w:beforeLines="50"/>
              <w:jc w:val="righ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                                      </w:t>
            </w:r>
            <w:r>
              <w:rPr>
                <w:rFonts w:hint="eastAsia" w:ascii="宋体" w:hAnsi="宋体"/>
                <w:szCs w:val="21"/>
              </w:rPr>
              <w:t xml:space="preserve">         年     月     日</w:t>
            </w:r>
          </w:p>
        </w:tc>
      </w:tr>
    </w:tbl>
    <w:p w14:paraId="3E39BF54">
      <w:pPr>
        <w:jc w:val="center"/>
        <w:rPr>
          <w:rFonts w:ascii="宋体"/>
          <w:b/>
          <w:sz w:val="24"/>
        </w:rPr>
      </w:pPr>
    </w:p>
    <w:p w14:paraId="486DDD3F">
      <w:pPr>
        <w:pageBreakBefore/>
        <w:rPr>
          <w:rFonts w:ascii="宋体"/>
          <w:b/>
          <w:sz w:val="28"/>
          <w:szCs w:val="28"/>
        </w:rPr>
      </w:pPr>
      <w:r>
        <w:rPr>
          <w:rFonts w:hint="eastAsia" w:ascii="宋体"/>
          <w:b/>
          <w:sz w:val="28"/>
          <w:szCs w:val="28"/>
        </w:rPr>
        <w:t>四、项目成果</w:t>
      </w:r>
    </w:p>
    <w:p w14:paraId="39CD8AA9">
      <w:pPr>
        <w:rPr>
          <w:rFonts w:ascii="宋体"/>
          <w:b/>
          <w:sz w:val="28"/>
          <w:szCs w:val="28"/>
        </w:rPr>
      </w:pPr>
    </w:p>
    <w:tbl>
      <w:tblPr>
        <w:tblStyle w:val="8"/>
        <w:tblW w:w="0" w:type="auto"/>
        <w:tblInd w:w="1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5"/>
      </w:tblGrid>
      <w:tr w14:paraId="120AA175">
        <w:trPr>
          <w:trHeight w:val="3338" w:hRule="atLeast"/>
        </w:trPr>
        <w:tc>
          <w:tcPr>
            <w:tcW w:w="9645" w:type="dxa"/>
            <w:vAlign w:val="center"/>
          </w:tcPr>
          <w:p w14:paraId="0106566B">
            <w:pPr>
              <w:spacing w:before="0" w:after="0" w:line="360" w:lineRule="auto"/>
              <w:ind w:firstLine="48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1. 视触觉传感器样机一套：按 9DTact 公开结构完成接触层（黑色吸光层＋半透明散射层＋透明过渡层）、光学层（8 颗白光 LED 与恒流驱动）与采集层（广角相机）的成型与装配，可稳定输出触觉图像，并完成 3 mm 点阵几何标定与 R=4 mm 球面深度标定（约 0.0621 mm/pixel，裁剪 300×400）。</w:t>
            </w:r>
          </w:p>
          <w:p w14:paraId="2F447BFD">
            <w:pPr>
              <w:spacing w:before="0" w:after="0" w:line="360" w:lineRule="auto"/>
              <w:ind w:firstLine="48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2. 传统查表重建程序：实现“差分—接触掩膜—查表—两级高斯平滑—毫米高度图—PLY 点云”的完整链路，支持批量处理与结果导出。</w:t>
            </w:r>
          </w:p>
          <w:p w14:paraId="36B9E2E1">
            <w:pPr>
              <w:spacing w:before="0" w:after="0" w:line="360" w:lineRule="auto"/>
              <w:ind w:firstLine="48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3. 合成接触数据集：3,000 帧、600 个接触组，覆盖 8 类基本形状与单点、多点、边缘接触和空载背景，含位置、尺寸、方向、光照、纹理与噪声变化，由传统流程生成高度伪标签，并按接触组划分为 2,100/450/450 帧。</w:t>
            </w:r>
          </w:p>
          <w:p w14:paraId="71DC987F">
            <w:pPr>
              <w:spacing w:before="0" w:after="0" w:line="360" w:lineRule="auto"/>
              <w:ind w:firstLine="48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4. AttentionResidualUNet 训练与推理代码及检查点（attention32_final，7,700,093 参数）：全分辨率单通道输入，输出同尺寸毫米高度图，训练日志、学习曲线与 run.json 元信息完整可追溯。</w:t>
            </w:r>
          </w:p>
          <w:p w14:paraId="43A03BB6">
            <w:pPr>
              <w:spacing w:before="0" w:after="0" w:line="360" w:lineRule="auto"/>
              <w:ind w:firstLine="48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5. 同帧对比演示程序：支持实时采集与离线回放，单窗口显示相机图像、高度图与三维点云，可导出 NPZ、PNG、PLY，两种方法共用同一 mm/pixel 与 0~0.5 mm 色标。</w:t>
            </w:r>
          </w:p>
          <w:p w14:paraId="3A32B5AB">
            <w:pPr>
              <w:spacing w:before="0" w:after="0" w:line="360" w:lineRule="auto"/>
              <w:ind w:firstLine="48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6. 答辩材料（Beamer 幻灯片与逐页讲稿）与结题报告各一份。</w:t>
            </w:r>
          </w:p>
        </w:tc>
      </w:tr>
    </w:tbl>
    <w:p w14:paraId="3CE0CB1D">
      <w:pPr>
        <w:rPr>
          <w:rFonts w:ascii="宋体"/>
          <w:sz w:val="24"/>
        </w:rPr>
      </w:pPr>
    </w:p>
    <w:p w14:paraId="16DCE790">
      <w:pPr>
        <w:rPr>
          <w:rFonts w:ascii="宋体"/>
          <w:sz w:val="24"/>
        </w:rPr>
        <w:sectPr>
          <w:footerReference r:id="rId3" w:type="default"/>
          <w:footerReference r:id="rId4" w:type="even"/>
          <w:pgSz w:w="11906" w:h="16838"/>
          <w:pgMar w:top="1134" w:right="1134" w:bottom="1134" w:left="1134" w:header="851" w:footer="992" w:gutter="0"/>
          <w:cols w:space="720" w:num="1"/>
          <w:docGrid w:linePitch="312" w:charSpace="0"/>
        </w:sectPr>
      </w:pPr>
    </w:p>
    <w:p w14:paraId="33AC327D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jc w:val="left"/>
        <w:rPr>
          <w:rFonts w:ascii="宋体"/>
          <w:sz w:val="24"/>
        </w:rPr>
      </w:pPr>
      <w:r>
        <w:rPr>
          <w:rFonts w:hint="eastAsia" w:ascii="宋体"/>
          <w:b/>
          <w:sz w:val="28"/>
          <w:szCs w:val="28"/>
        </w:rPr>
        <w:t>五、项目研究结题报告</w:t>
      </w:r>
      <w:r>
        <w:rPr>
          <w:rFonts w:hint="eastAsia" w:ascii="宋体"/>
          <w:sz w:val="24"/>
        </w:rPr>
        <w:t>（字数应在3000字左右）</w:t>
      </w:r>
    </w:p>
    <w:p w14:paraId="7019C192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jc w:val="left"/>
        <w:rPr>
          <w:rFonts w:ascii="黑体" w:hAnsi="黑体" w:eastAsia="黑体"/>
          <w:b/>
          <w:sz w:val="24"/>
        </w:rPr>
      </w:pPr>
      <w:r>
        <w:rPr>
          <w:rFonts w:hint="eastAsia" w:ascii="宋体"/>
          <w:sz w:val="24"/>
        </w:rPr>
        <w:t xml:space="preserve">    </w:t>
      </w:r>
      <w:r>
        <w:rPr>
          <w:rFonts w:hint="eastAsia" w:ascii="黑体" w:hAnsi="黑体" w:eastAsia="黑体"/>
          <w:b/>
          <w:sz w:val="24"/>
        </w:rPr>
        <w:t>（一）主要内容：</w:t>
      </w:r>
    </w:p>
    <w:p w14:paraId="6854E69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本项目围绕“接触形变如何变成可测量的三维几何”展开，在复现 9DTact 开源方案的基础上，打通了从硬件成像、两步标定、传统查表重建，到合成数据构建、注意力残差网络的高度回归，再到同帧对比与结果导出的完整流程。具体工作包括：按 9DTact 结构完成传感器装配，用 3 mm 点阵与半径 4 mm 的金属球完成几何与深度标定；实现“差分—阈值—查表—平滑”的传统重建，并以其输出作为伪标签，构建 3,000 帧、600 个接触组的合成接触数据集；训练 base_features=32、约 770 万参数的全分辨率高度回归网络；开发支持实时与回放的演示程序，在同一毫米尺度与色标下并排显示两种重建结果。下文依次说明课题背景、研究内容与方法、研究结果、创新点与结束语，并明确指出当前结论的适用边界。</w:t>
      </w:r>
    </w:p>
    <w:p w14:paraId="2723E7EA">
      <w:pPr>
        <w:keepNext/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="480" w:firstLineChars="200"/>
        <w:jc w:val="left"/>
        <w:rPr>
          <w:rFonts w:ascii="宋体"/>
          <w:sz w:val="24"/>
        </w:rPr>
      </w:pPr>
      <w:r>
        <w:rPr>
          <w:rFonts w:hint="eastAsia" w:ascii="宋体"/>
          <w:sz w:val="24"/>
        </w:rPr>
        <w:t>1、课题背景</w:t>
      </w:r>
    </w:p>
    <w:p w14:paraId="3BAB543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机器人走向仓储、装配、医疗与服务等非结构化场景后，对接触信息的依赖显著增强。视觉在遮挡、透明或高反光物体、狭窄空间与需要精确控制接触力的操作中常常失效；触觉则直接感知接触面的几何形状与力的分布，是闭环抓取与精细操作不可缺少的反馈通道。如何在低成本、小体积的硬件条件下快速获得高分辨率的三维接触形貌，是触觉感知的核心问题之一。</w:t>
      </w:r>
    </w:p>
    <w:p w14:paraId="7770683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视触觉传感器把摄像头置于透明弹性体之后，由形变反推接触几何。代表性工作 GelSight[1] 在弹性体表面喷涂反光涂层，用多方向彩色光照下的光度立体方法恢复表面法向再积分得到深度，精度高，但需要多路光源与较复杂的标定，光度立体与积分计算量大，难以在嵌入式平台实时运行。此后 GelSight Wedge[4] 把光学结构压缩到机器人手指尺寸，DenseTact[5] 尝试用学习的方式直接重建稠密形貌，体现出该方向“小型化”与“学习化”两条并行的脉络。</w:t>
      </w:r>
    </w:p>
    <w:p w14:paraId="773E8975">
      <w:pPr>
        <w:spacing w:before="0" w:after="0" w:line="360" w:lineRule="auto"/>
        <w:ind w:firstLine="480"/>
        <w:jc w:val="both"/>
      </w:pPr>
      <w:r>
        <w:rPr>
          <w:rFonts w:hint="eastAsia"/>
          <w:b w:val="0"/>
          <w:sz w:val="24"/>
          <w:lang w:val="en-US" w:eastAsia="zh-CN"/>
        </w:rPr>
        <w:t>9</w:t>
      </w:r>
      <w:bookmarkStart w:id="0" w:name="_GoBack"/>
      <w:bookmarkEnd w:id="0"/>
      <w:r>
        <w:rPr>
          <w:rFonts w:ascii="Times New Roman" w:hAnsi="Times New Roman" w:eastAsia="宋体"/>
          <w:b w:val="0"/>
          <w:sz w:val="24"/>
        </w:rPr>
        <w:t>DTact[3] 与 9DTact[2] 提供了另一条思路：利用半透明硅胶的散射与黑色硅胶的吸光特性，把接触深度直接编码为图像亮度——弹性体被压得越薄，透射与反射的光越少，图像越暗。9DTact 仅用白光照明即可重建三维形貌，整机尺寸约 32.5 mm×25.5 mm×25.5 mm，硬件、软件与标定流程全部开源，公开报告的形貌重建平均绝对误差约 0.046 mm。“越暗越深”的单调关系使逐像素查表即可近似求解高度，链路短、易实现，因此本项目选择复现该方案作为起点，并在其结构上继续开发。</w:t>
      </w:r>
    </w:p>
    <w:p w14:paraId="51FB287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但传统流程仍有明显短板：解算依赖查表、阈值分割、滤波与平滑等多个耦合环节，更换弹性体或光照条件就要重新调试；平滑会削弱接触边缘，细小纹理与陡峭侧壁容易被抹平；整条链路在 CPU 上串行运行，单帧耗时随分辨率上升；硅胶老化与光照漂移还会使标定曲线偏移，流程缺乏自适应补偿。用深度学习直接从触觉图像回归高度可以省去显式标定与积分，但高度依赖标签：真实三维形貌需要激光位移计或高精度位移平台逐点测量，成本高、采集慢，在本科项目的条件与周期内难以规模化。</w:t>
      </w:r>
    </w:p>
    <w:p w14:paraId="1F0B6ED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据此，本项目把课题定位为：先完整复现“成像—标定—查表重建”这条物理链路，理解灰度与深度之间的定量关系；再以传统流程的输出作为伪标签，训练端到端的注意力残差 U-Net，把单通道差分图直接回归为二维毫米高度图；最后把两种方法放到同一帧、同一毫米尺度与同一色标下比较，并明确说明这样得到的指标只反映拟合程度，而非真实几何精度。</w:t>
      </w:r>
    </w:p>
    <w:p w14:paraId="2784C8D0">
      <w:pPr>
        <w:keepNext/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="480" w:firstLineChars="200"/>
        <w:jc w:val="left"/>
        <w:rPr>
          <w:rFonts w:ascii="宋体"/>
          <w:sz w:val="24"/>
        </w:rPr>
      </w:pPr>
      <w:r>
        <w:rPr>
          <w:rFonts w:hint="eastAsia" w:ascii="宋体"/>
          <w:sz w:val="24"/>
        </w:rPr>
        <w:t>2、课题研究内容与方法</w:t>
      </w:r>
    </w:p>
    <w:p w14:paraId="04ADCBB1">
      <w:pPr>
        <w:keepNext/>
        <w:spacing w:before="180" w:after="60" w:line="360" w:lineRule="auto"/>
        <w:ind w:firstLine="480"/>
        <w:jc w:val="both"/>
      </w:pPr>
      <w:r>
        <w:rPr>
          <w:rFonts w:ascii="Times New Roman" w:hAnsi="Times New Roman" w:eastAsia="黑体"/>
          <w:b/>
          <w:sz w:val="24"/>
        </w:rPr>
        <w:t>2.1 传感器复现与成像特性</w:t>
      </w:r>
    </w:p>
    <w:p w14:paraId="3C6D366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传感器按 9DTact 公开结构复现，自上而下分为三层。接触层由覆盖在半透明散射硅胶之上的黑色吸光硅胶构成，四侧同样涂黑以阻挡环境光；光学层是布置在相机周围的 8 颗白光 LED，由恒流电路供电以获得均匀、稳定的照明；采集层是 160° 广角相机，透过亚克力视窗拍摄凝胶底面。透明过渡层用于匹配折射率、减少界面反射，黑色隔离环用于挡住内壁反射光，亚克力视窗则保证成像面平整。凝胶受压时局部变薄，返回相机的光减少，图像变暗，形成“越暗越深”的单调关系。</w:t>
      </w:r>
    </w:p>
    <w:p w14:paraId="15A7243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成像结果为灰度图，经校正后裁剪为 300×400 像素。每次实验开始前，在无接触状态下采集若干帧并取平均，得到参考图 I_ref；接触时采集当前图 I_contact。两者相减得到差分 D = I_ref − I_contact：接触区域因变暗而为正，弹性体外扩造成的增亮区域为负。传统重建与网络训练均使用正差分 D+ = max(D, 0) 作为输入，输入非负且物理含义明确；变亮区域所携带的形变信息在当前高度重建中未被使用，这部分留作后续工作。</w:t>
      </w:r>
    </w:p>
    <w:p w14:paraId="0E68CFD4">
      <w:pPr>
        <w:keepNext/>
        <w:spacing w:before="180" w:after="60" w:line="360" w:lineRule="auto"/>
        <w:ind w:firstLine="480"/>
        <w:jc w:val="both"/>
      </w:pPr>
      <w:r>
        <w:rPr>
          <w:rFonts w:ascii="Times New Roman" w:hAnsi="Times New Roman" w:eastAsia="黑体"/>
          <w:b/>
          <w:sz w:val="24"/>
        </w:rPr>
        <w:t>2.2 两步标定：从像素到毫米</w:t>
      </w:r>
    </w:p>
    <w:p w14:paraId="582B2A5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标定分几何与深度两步。几何标定使用间距 3 mm 的圆柱点阵标定板：按压后在触觉图像上得到规则排列的虚拟标记，检测标记中心后，取中心附近畸变最小的 5 个点作为锚点，向四周等距外推得到理想网格，再由检测位置与理想位置的对应关系计算重映射索引。该步骤同时校正镜头与多层介质引入的畸变、确定图像中心对应的传感器表面位置，并给出像素尺度 s。当前配置下 s ≈ 0.0621 mm/pixel，裁剪窗口 300×400，对应视场约 18.6 mm×24.8 mm。</w:t>
      </w:r>
    </w:p>
    <w:p w14:paraId="4F4DA4E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深度标定使用半径 R = 4 mm 的金属球。以接触圆边缘为零深度，球面几何给出接触区内部各点相对边缘的高度：</w:t>
      </w:r>
    </w:p>
    <w:p w14:paraId="04CBC4E8">
      <w:pPr>
        <w:spacing w:before="60" w:after="60" w:line="360" w:lineRule="auto"/>
        <w:ind w:firstLine="0"/>
        <w:jc w:val="center"/>
      </w:pPr>
      <w:r>
        <w:rPr>
          <w:rFonts w:ascii="Cambria Math" w:hAnsi="Cambria Math" w:eastAsia="宋体"/>
          <w:b w:val="0"/>
          <w:sz w:val="24"/>
        </w:rPr>
        <w:t>h(r) = √(R² − r²) − √(R² − a²)</w:t>
      </w:r>
    </w:p>
    <w:p w14:paraId="5D4C054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其中 R 为球半径，a 为接触圆半径，r 为到接触圆心的平面距离。把同一帧内所有像素按灰度差 D 分组，对每组内的球面深度取平均，即可得到单调的查找表 h = f(D)。该方法只需一次球接触，但它依赖球面假设、接触圆边界与圆心检测的准确性：边界略有偏移，整条深度曲线就会整体平移。</w:t>
      </w:r>
    </w:p>
    <w:p w14:paraId="443C6E02">
      <w:pPr>
        <w:keepNext/>
        <w:spacing w:before="180" w:after="60" w:line="360" w:lineRule="auto"/>
        <w:ind w:firstLine="480"/>
        <w:jc w:val="both"/>
      </w:pPr>
      <w:r>
        <w:rPr>
          <w:rFonts w:ascii="Times New Roman" w:hAnsi="Times New Roman" w:eastAsia="黑体"/>
          <w:b/>
          <w:sz w:val="24"/>
        </w:rPr>
        <w:t>2.3 传统查表重建流程</w:t>
      </w:r>
    </w:p>
    <w:p w14:paraId="4632B07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传统重建按“差分—掩膜—查表—平滑—点云”执行：对校正裁剪后的图像求正差分；用阈值配合形态学操作提取接触区域、剔除背景残余；逐像素查表得到高度；再用两级高斯滤波抑制传感器噪声与查表带来的台阶，得到毫米高度图；最后按 p(u,v) = (s·u, −s·v, h(u,v)) 把每个像素映射为三维点，导出 PLY 点云。显示时把压入深度画成正方向，因此看起来像凸起。该流程既是本项目伪标签的来源，也是同帧对比的基线；它恢复的是接触区域相对边缘的压入量，而不是物体未接触部分的外形。</w:t>
      </w:r>
    </w:p>
    <w:p w14:paraId="0E4786AC">
      <w:pPr>
        <w:keepNext/>
        <w:spacing w:before="180" w:after="60" w:line="360" w:lineRule="auto"/>
        <w:ind w:firstLine="480"/>
        <w:jc w:val="both"/>
      </w:pPr>
      <w:r>
        <w:rPr>
          <w:rFonts w:ascii="Times New Roman" w:hAnsi="Times New Roman" w:eastAsia="黑体"/>
          <w:b/>
          <w:sz w:val="24"/>
        </w:rPr>
        <w:t>2.4 合成数据构建与伪标签生成</w:t>
      </w:r>
    </w:p>
    <w:p w14:paraId="7279B0B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真实三维接触形貌需要高精度位移台或激光位移计逐点测量，成本与周期都不适合本项目，因此训练数据采用“合成接触图像 + 传统流程标注”的方式构建。合成时以 8 类基本形状（圆顶、棱脊、圆环、凹槽等）为基础，组合出单点、多点、边缘接触与空载背景四类接触状态，并在位置、尺寸、方向、光照强度、表面纹理与成像噪声上做随机化；生成接触图像后统一送入传统重建流程，得到对应的高度伪标签。</w:t>
      </w:r>
    </w:p>
    <w:p w14:paraId="4D0BB97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数据集共 3,000 帧、600 个接触组。为避免同一次接触的相邻帧跨集合造成信息泄漏，按接触组划分训练集、验证集与测试集，帧数为 2,100/450/450，组数为 420/90/90。增强只作用于训练集，且不做几何翻转与旋转——在真实传感器上，光照方向与弹性体的流动方向具有物理方向性，镜像样本并不成立。数据与训练配置汇总于表 3。</w:t>
      </w:r>
    </w:p>
    <w:p w14:paraId="1C111660">
      <w:pPr>
        <w:keepNext/>
        <w:spacing w:before="120" w:after="60" w:line="36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 3  合成数据集与训练配置</w:t>
      </w:r>
    </w:p>
    <w:tbl>
      <w:tblPr>
        <w:tblStyle w:val="8"/>
        <w:tblW w:w="9525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7597"/>
      </w:tblGrid>
      <w:tr w14:paraId="51A7B481">
        <w:trPr>
          <w:jc w:val="center"/>
        </w:trPr>
        <w:tc>
          <w:tcPr>
            <w:tcW w:w="1928" w:type="dxa"/>
            <w:shd w:val="clear" w:color="auto" w:fill="F2F2F2"/>
            <w:vAlign w:val="center"/>
          </w:tcPr>
          <w:p w14:paraId="4E64157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w="7597" w:type="dxa"/>
            <w:shd w:val="clear" w:color="auto" w:fill="F2F2F2"/>
            <w:vAlign w:val="center"/>
          </w:tcPr>
          <w:p w14:paraId="40600FF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 w14:paraId="44BAC133">
        <w:trPr>
          <w:jc w:val="center"/>
        </w:trPr>
        <w:tc>
          <w:tcPr>
            <w:tcW w:w="1928" w:type="dxa"/>
            <w:vAlign w:val="center"/>
          </w:tcPr>
          <w:p w14:paraId="5E752C2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基本形状</w:t>
            </w:r>
          </w:p>
        </w:tc>
        <w:tc>
          <w:tcPr>
            <w:tcW w:w="7597" w:type="dxa"/>
            <w:vAlign w:val="center"/>
          </w:tcPr>
          <w:p w14:paraId="3FBCB58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 类（圆顶、棱脊、圆环、凹槽等）</w:t>
            </w:r>
          </w:p>
        </w:tc>
      </w:tr>
      <w:tr w14:paraId="2810F918">
        <w:trPr>
          <w:jc w:val="center"/>
        </w:trPr>
        <w:tc>
          <w:tcPr>
            <w:tcW w:w="1928" w:type="dxa"/>
            <w:vAlign w:val="center"/>
          </w:tcPr>
          <w:p w14:paraId="531C71B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接触类型</w:t>
            </w:r>
          </w:p>
        </w:tc>
        <w:tc>
          <w:tcPr>
            <w:tcW w:w="7597" w:type="dxa"/>
            <w:vAlign w:val="center"/>
          </w:tcPr>
          <w:p w14:paraId="637F3F4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单点、多点组合、边缘接触、空载背景</w:t>
            </w:r>
          </w:p>
        </w:tc>
      </w:tr>
      <w:tr w14:paraId="221FBA54">
        <w:trPr>
          <w:jc w:val="center"/>
        </w:trPr>
        <w:tc>
          <w:tcPr>
            <w:tcW w:w="1928" w:type="dxa"/>
            <w:vAlign w:val="center"/>
          </w:tcPr>
          <w:p w14:paraId="3FF2A79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变化条件</w:t>
            </w:r>
          </w:p>
        </w:tc>
        <w:tc>
          <w:tcPr>
            <w:tcW w:w="7597" w:type="dxa"/>
            <w:vAlign w:val="center"/>
          </w:tcPr>
          <w:p w14:paraId="46FFDD5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位置、尺寸、方向、光照强度、表面纹理、成像噪声</w:t>
            </w:r>
          </w:p>
        </w:tc>
      </w:tr>
      <w:tr w14:paraId="5619E390">
        <w:trPr>
          <w:jc w:val="center"/>
        </w:trPr>
        <w:tc>
          <w:tcPr>
            <w:tcW w:w="1928" w:type="dxa"/>
            <w:vAlign w:val="center"/>
          </w:tcPr>
          <w:p w14:paraId="45160DE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数据规模</w:t>
            </w:r>
          </w:p>
        </w:tc>
        <w:tc>
          <w:tcPr>
            <w:tcW w:w="7597" w:type="dxa"/>
            <w:vAlign w:val="center"/>
          </w:tcPr>
          <w:p w14:paraId="05B4342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3,000 帧，600 个接触组</w:t>
            </w:r>
          </w:p>
        </w:tc>
      </w:tr>
      <w:tr w14:paraId="3C693424">
        <w:trPr>
          <w:jc w:val="center"/>
        </w:trPr>
        <w:tc>
          <w:tcPr>
            <w:tcW w:w="1928" w:type="dxa"/>
            <w:vAlign w:val="center"/>
          </w:tcPr>
          <w:p w14:paraId="29568B1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划分方式</w:t>
            </w:r>
          </w:p>
        </w:tc>
        <w:tc>
          <w:tcPr>
            <w:tcW w:w="7597" w:type="dxa"/>
            <w:vAlign w:val="center"/>
          </w:tcPr>
          <w:p w14:paraId="13594C6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按接触组划分：2,100 / 450 / 450 帧（420 / 90 / 90 组）</w:t>
            </w:r>
          </w:p>
        </w:tc>
      </w:tr>
      <w:tr w14:paraId="5E1026E2">
        <w:trPr>
          <w:jc w:val="center"/>
        </w:trPr>
        <w:tc>
          <w:tcPr>
            <w:tcW w:w="1928" w:type="dxa"/>
            <w:vAlign w:val="center"/>
          </w:tcPr>
          <w:p w14:paraId="52FFAFF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标签来源</w:t>
            </w:r>
          </w:p>
        </w:tc>
        <w:tc>
          <w:tcPr>
            <w:tcW w:w="7597" w:type="dxa"/>
            <w:vAlign w:val="center"/>
          </w:tcPr>
          <w:p w14:paraId="759B676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合成接触图像经传统查表流程生成的高度伪标签</w:t>
            </w:r>
          </w:p>
        </w:tc>
      </w:tr>
      <w:tr w14:paraId="7EF3EFC1">
        <w:trPr>
          <w:jc w:val="center"/>
        </w:trPr>
        <w:tc>
          <w:tcPr>
            <w:tcW w:w="1928" w:type="dxa"/>
            <w:vAlign w:val="center"/>
          </w:tcPr>
          <w:p w14:paraId="6EADCCD5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训练设置</w:t>
            </w:r>
          </w:p>
        </w:tc>
        <w:tc>
          <w:tcPr>
            <w:tcW w:w="7597" w:type="dxa"/>
            <w:vAlign w:val="center"/>
          </w:tcPr>
          <w:p w14:paraId="0597C2E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120 轮，AdamW + AMP，按验证集 MAE 选取最优检查点</w:t>
            </w:r>
          </w:p>
        </w:tc>
      </w:tr>
      <w:tr w14:paraId="2104FDD4">
        <w:trPr>
          <w:jc w:val="center"/>
        </w:trPr>
        <w:tc>
          <w:tcPr>
            <w:tcW w:w="1928" w:type="dxa"/>
            <w:vAlign w:val="center"/>
          </w:tcPr>
          <w:p w14:paraId="01E37EE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模型规模</w:t>
            </w:r>
          </w:p>
        </w:tc>
        <w:tc>
          <w:tcPr>
            <w:tcW w:w="7597" w:type="dxa"/>
            <w:vAlign w:val="center"/>
          </w:tcPr>
          <w:p w14:paraId="34FCBEF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AttentionResidualUNet，base_features=32，7,700,093 参数</w:t>
            </w:r>
          </w:p>
        </w:tc>
      </w:tr>
    </w:tbl>
    <w:p w14:paraId="5DC24005">
      <w:pPr>
        <w:spacing w:before="0" w:after="0" w:line="240" w:lineRule="auto"/>
      </w:pPr>
    </w:p>
    <w:p w14:paraId="477DFD3C">
      <w:pPr>
        <w:keepNext/>
        <w:spacing w:before="180" w:after="60" w:line="360" w:lineRule="auto"/>
        <w:ind w:firstLine="480"/>
        <w:jc w:val="both"/>
      </w:pPr>
      <w:r>
        <w:rPr>
          <w:rFonts w:ascii="Times New Roman" w:hAnsi="Times New Roman" w:eastAsia="黑体"/>
          <w:b/>
          <w:sz w:val="24"/>
        </w:rPr>
        <w:t>2.5 AttentionResidualUNet 的网络结构</w:t>
      </w:r>
    </w:p>
    <w:p w14:paraId="4B5C40E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网络为 U-Net[6] 结构，编码器与解码器之间用跳跃连接相连，并在此基础上引入残差块[8]、通道注意力[9]与跳跃连接注意力[7]。输入为单通道差分图 D+/255，输出为同尺寸的毫米高度图。为保留接触边缘细节，输入不做缩放，只在边缘做反射填充，把 300×400 补齐到 16 的倍数（304×400）；4 次下采样后最深层特征图为 19×25，推理结束后再裁剪回原始尺寸。</w:t>
      </w:r>
    </w:p>
    <w:p w14:paraId="29F92D9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编码器共 5 个特征层，base_features = 32 时通道数依次为 32、64、128、256、512。每个阶段由两层 3×3 卷积、GroupNorm[10] 与 SiLU 激活组成，末端接一个带通道注意力的残差卷积块：先对特征做全局平均池化得到通道描述，经两层全连接与 Sigmoid 生成通道权重，再逐通道缩放后与主干相加。通道注意力让网络自己决定哪些响应（接触边缘、中心形变、纹理）更值得保留。归一化采用 GroupNorm 而非 BatchNorm，是因为全分辨率输入下单卡批大小受限、批统计量不稳定，而 GroupNorm 与批大小无关。</w:t>
      </w:r>
    </w:p>
    <w:p w14:paraId="2C9A297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解码器逐级双线性上采样、用 1×1 卷积调整通道，再与编码特征融合。融合前先经过跳跃连接门控：以当前解码特征为门控信号，与编码特征相加后经 1×1 卷积、归一化与激活，再由 1×1 卷积和 Sigmoid 生成空间权重图，对编码特征逐像素加权，使解码器有选择地接收浅层特征、抑制背景纹理与噪声。融合后经过一个残差卷积块逐步恢复分辨率与细节。输出层为 1×1 线性卷积，不加激活函数：高度在归一化空间中可取到 0 附近，若用 ReLU，负值区域的梯度会被永久截断，出现整片零梯度。网络内部以 10 mm 为尺度把高度归一化到 [0, 1] 回归，推理时乘回并裁剪到 [0, 10] mm。</w:t>
      </w:r>
    </w:p>
    <w:p w14:paraId="5527FF7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当前完成训练与评测的是 base_features = 32 的配置（检查点 attention32_final），参数量 7,700,093；base_features = 48 的更大配置（约 1,730 万参数）作为后续精度候选，尚未纳入本轮结果（表 1）。参数量更大并不必然更准确，最终配置应由验证集误差与部署开销共同决定。</w:t>
      </w:r>
    </w:p>
    <w:p w14:paraId="16CBC31A">
      <w:pPr>
        <w:keepNext/>
        <w:spacing w:before="120" w:after="60" w:line="36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 1  两种模型配置对比</w:t>
      </w:r>
    </w:p>
    <w:tbl>
      <w:tblPr>
        <w:tblStyle w:val="8"/>
        <w:tblW w:w="9582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1191"/>
        <w:gridCol w:w="2098"/>
        <w:gridCol w:w="1531"/>
        <w:gridCol w:w="2551"/>
      </w:tblGrid>
      <w:tr w14:paraId="2D3247F3">
        <w:trPr>
          <w:jc w:val="center"/>
        </w:trPr>
        <w:tc>
          <w:tcPr>
            <w:tcW w:w="2211" w:type="dxa"/>
            <w:shd w:val="clear" w:color="auto" w:fill="F2F2F2"/>
            <w:vAlign w:val="center"/>
          </w:tcPr>
          <w:p w14:paraId="75C40F4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配置名称</w:t>
            </w:r>
          </w:p>
        </w:tc>
        <w:tc>
          <w:tcPr>
            <w:tcW w:w="1191" w:type="dxa"/>
            <w:shd w:val="clear" w:color="auto" w:fill="F2F2F2"/>
            <w:vAlign w:val="center"/>
          </w:tcPr>
          <w:p w14:paraId="3929F4B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通道起点</w:t>
            </w:r>
          </w:p>
        </w:tc>
        <w:tc>
          <w:tcPr>
            <w:tcW w:w="2098" w:type="dxa"/>
            <w:shd w:val="clear" w:color="auto" w:fill="F2F2F2"/>
            <w:vAlign w:val="center"/>
          </w:tcPr>
          <w:p w14:paraId="3A275E6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各层通道数</w:t>
            </w:r>
          </w:p>
        </w:tc>
        <w:tc>
          <w:tcPr>
            <w:tcW w:w="1531" w:type="dxa"/>
            <w:shd w:val="clear" w:color="auto" w:fill="F2F2F2"/>
            <w:vAlign w:val="center"/>
          </w:tcPr>
          <w:p w14:paraId="20D85B7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参数量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49D49A3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状态</w:t>
            </w:r>
          </w:p>
        </w:tc>
      </w:tr>
      <w:tr w14:paraId="59D58342">
        <w:trPr>
          <w:jc w:val="center"/>
        </w:trPr>
        <w:tc>
          <w:tcPr>
            <w:tcW w:w="2211" w:type="dxa"/>
            <w:vAlign w:val="center"/>
          </w:tcPr>
          <w:p w14:paraId="6F5C6295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ARU-Net（base=32）</w:t>
            </w:r>
          </w:p>
        </w:tc>
        <w:tc>
          <w:tcPr>
            <w:tcW w:w="1191" w:type="dxa"/>
            <w:vAlign w:val="center"/>
          </w:tcPr>
          <w:p w14:paraId="3684AC5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32</w:t>
            </w:r>
          </w:p>
        </w:tc>
        <w:tc>
          <w:tcPr>
            <w:tcW w:w="2098" w:type="dxa"/>
            <w:vAlign w:val="center"/>
          </w:tcPr>
          <w:p w14:paraId="62D6521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32/64/128/256/512</w:t>
            </w:r>
          </w:p>
        </w:tc>
        <w:tc>
          <w:tcPr>
            <w:tcW w:w="1531" w:type="dxa"/>
            <w:vAlign w:val="center"/>
          </w:tcPr>
          <w:p w14:paraId="71CA0A6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7,700,093</w:t>
            </w:r>
          </w:p>
        </w:tc>
        <w:tc>
          <w:tcPr>
            <w:tcW w:w="2551" w:type="dxa"/>
            <w:vAlign w:val="center"/>
          </w:tcPr>
          <w:p w14:paraId="1BA7423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已完成训练与评测</w:t>
            </w:r>
          </w:p>
        </w:tc>
      </w:tr>
      <w:tr w14:paraId="5A61354F">
        <w:trPr>
          <w:jc w:val="center"/>
        </w:trPr>
        <w:tc>
          <w:tcPr>
            <w:tcW w:w="2211" w:type="dxa"/>
            <w:vAlign w:val="center"/>
          </w:tcPr>
          <w:p w14:paraId="19A9354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ARU-Net（base=48）</w:t>
            </w:r>
          </w:p>
        </w:tc>
        <w:tc>
          <w:tcPr>
            <w:tcW w:w="1191" w:type="dxa"/>
            <w:vAlign w:val="center"/>
          </w:tcPr>
          <w:p w14:paraId="6B7C80D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48</w:t>
            </w:r>
          </w:p>
        </w:tc>
        <w:tc>
          <w:tcPr>
            <w:tcW w:w="2098" w:type="dxa"/>
            <w:vAlign w:val="center"/>
          </w:tcPr>
          <w:p w14:paraId="0266B80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48/96/192/384/768</w:t>
            </w:r>
          </w:p>
        </w:tc>
        <w:tc>
          <w:tcPr>
            <w:tcW w:w="1531" w:type="dxa"/>
            <w:vAlign w:val="center"/>
          </w:tcPr>
          <w:p w14:paraId="4825607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约 1,730 万</w:t>
            </w:r>
          </w:p>
        </w:tc>
        <w:tc>
          <w:tcPr>
            <w:tcW w:w="2551" w:type="dxa"/>
            <w:vAlign w:val="center"/>
          </w:tcPr>
          <w:p w14:paraId="7651318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候选，未纳入本轮</w:t>
            </w:r>
          </w:p>
        </w:tc>
      </w:tr>
    </w:tbl>
    <w:p w14:paraId="4776D02A">
      <w:pPr>
        <w:spacing w:before="0" w:after="0" w:line="240" w:lineRule="auto"/>
      </w:pPr>
    </w:p>
    <w:p w14:paraId="4A7030B3">
      <w:pPr>
        <w:keepNext/>
        <w:spacing w:before="180" w:after="60" w:line="360" w:lineRule="auto"/>
        <w:ind w:firstLine="480"/>
        <w:jc w:val="both"/>
      </w:pPr>
      <w:r>
        <w:rPr>
          <w:rFonts w:ascii="Times New Roman" w:hAnsi="Times New Roman" w:eastAsia="黑体"/>
          <w:b/>
          <w:sz w:val="24"/>
        </w:rPr>
        <w:t>2.6 组合损失函数</w:t>
      </w:r>
    </w:p>
    <w:p w14:paraId="1411FC9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训练使用组合损失：总损失为接触区域加权的 Smooth L1 损失与水平、垂直两个方向的梯度损失之和（表 2）。Smooth L1 在误差较小时表现为二次函数、误差较大时表现为线性函数，兼顾收敛速度与异常值鲁棒性；接触加权按伪标签给出接触掩膜——标签高度大于 0.05 mm 的像素权重取 4，其余取 1——避免占画面多数的背景像素主导梯度。梯度损失分别对预测与标签沿两个方向做差分并取 L1 距离，权重 0.15，用于约束接触边缘与形状轮廓、抑制过度平滑造成的“圆顶化”；权重过大时噪声会被放大成伪边缘，过小时边缘明显变钝。</w:t>
      </w:r>
    </w:p>
    <w:p w14:paraId="01176239">
      <w:pPr>
        <w:keepNext/>
        <w:spacing w:before="120" w:after="60" w:line="36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表 2  组合损失的组成与设置</w:t>
      </w:r>
    </w:p>
    <w:tbl>
      <w:tblPr>
        <w:tblStyle w:val="8"/>
        <w:tblW w:w="9581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1"/>
        <w:gridCol w:w="5216"/>
        <w:gridCol w:w="1644"/>
      </w:tblGrid>
      <w:tr w14:paraId="679E2323">
        <w:trPr>
          <w:jc w:val="center"/>
        </w:trPr>
        <w:tc>
          <w:tcPr>
            <w:tcW w:w="2721" w:type="dxa"/>
            <w:shd w:val="clear" w:color="auto" w:fill="F2F2F2"/>
            <w:vAlign w:val="center"/>
          </w:tcPr>
          <w:p w14:paraId="3F7AE11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损失项</w:t>
            </w:r>
          </w:p>
        </w:tc>
        <w:tc>
          <w:tcPr>
            <w:tcW w:w="5216" w:type="dxa"/>
            <w:shd w:val="clear" w:color="auto" w:fill="F2F2F2"/>
            <w:vAlign w:val="center"/>
          </w:tcPr>
          <w:p w14:paraId="17341EA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  <w:tc>
          <w:tcPr>
            <w:tcW w:w="1644" w:type="dxa"/>
            <w:shd w:val="clear" w:color="auto" w:fill="F2F2F2"/>
            <w:vAlign w:val="center"/>
          </w:tcPr>
          <w:p w14:paraId="7BF70E1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设置</w:t>
            </w:r>
          </w:p>
        </w:tc>
      </w:tr>
      <w:tr w14:paraId="3355FE94">
        <w:trPr>
          <w:jc w:val="center"/>
        </w:trPr>
        <w:tc>
          <w:tcPr>
            <w:tcW w:w="2721" w:type="dxa"/>
            <w:vAlign w:val="center"/>
          </w:tcPr>
          <w:p w14:paraId="46AE1CA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接触区域加权 Smooth L1</w:t>
            </w:r>
          </w:p>
        </w:tc>
        <w:tc>
          <w:tcPr>
            <w:tcW w:w="5216" w:type="dxa"/>
            <w:vAlign w:val="center"/>
          </w:tcPr>
          <w:p w14:paraId="1325B365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约束整体高度接近伪标签；标签 &gt; 0.05 mm 的接触像素权重 4，其余 1</w:t>
            </w:r>
          </w:p>
        </w:tc>
        <w:tc>
          <w:tcPr>
            <w:tcW w:w="1644" w:type="dxa"/>
            <w:vAlign w:val="center"/>
          </w:tcPr>
          <w:p w14:paraId="5900BFE5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主项</w:t>
            </w:r>
          </w:p>
        </w:tc>
      </w:tr>
      <w:tr w14:paraId="49D12D54">
        <w:trPr>
          <w:jc w:val="center"/>
        </w:trPr>
        <w:tc>
          <w:tcPr>
            <w:tcW w:w="2721" w:type="dxa"/>
            <w:vAlign w:val="center"/>
          </w:tcPr>
          <w:p w14:paraId="7F7681B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水平方向梯度损失</w:t>
            </w:r>
          </w:p>
        </w:tc>
        <w:tc>
          <w:tcPr>
            <w:tcW w:w="5216" w:type="dxa"/>
            <w:vAlign w:val="center"/>
          </w:tcPr>
          <w:p w14:paraId="464C036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约束左右方向的接触边缘，保持形状轮廓</w:t>
            </w:r>
          </w:p>
        </w:tc>
        <w:tc>
          <w:tcPr>
            <w:tcW w:w="1644" w:type="dxa"/>
            <w:vAlign w:val="center"/>
          </w:tcPr>
          <w:p w14:paraId="6581861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权重 0.15</w:t>
            </w:r>
          </w:p>
        </w:tc>
      </w:tr>
      <w:tr w14:paraId="763890AF">
        <w:trPr>
          <w:jc w:val="center"/>
        </w:trPr>
        <w:tc>
          <w:tcPr>
            <w:tcW w:w="2721" w:type="dxa"/>
            <w:vAlign w:val="center"/>
          </w:tcPr>
          <w:p w14:paraId="1DD1DBF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垂直方向梯度损失</w:t>
            </w:r>
          </w:p>
        </w:tc>
        <w:tc>
          <w:tcPr>
            <w:tcW w:w="5216" w:type="dxa"/>
            <w:vAlign w:val="center"/>
          </w:tcPr>
          <w:p w14:paraId="372F1A7D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约束上下方向的接触边缘，抑制过度平滑</w:t>
            </w:r>
          </w:p>
        </w:tc>
        <w:tc>
          <w:tcPr>
            <w:tcW w:w="1644" w:type="dxa"/>
            <w:vAlign w:val="center"/>
          </w:tcPr>
          <w:p w14:paraId="18867DBB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权重 0.15</w:t>
            </w:r>
          </w:p>
        </w:tc>
      </w:tr>
      <w:tr w14:paraId="7FD98B10">
        <w:trPr>
          <w:jc w:val="center"/>
        </w:trPr>
        <w:tc>
          <w:tcPr>
            <w:tcW w:w="2721" w:type="dxa"/>
            <w:vAlign w:val="center"/>
          </w:tcPr>
          <w:p w14:paraId="2A20601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高度归一化尺度</w:t>
            </w:r>
          </w:p>
        </w:tc>
        <w:tc>
          <w:tcPr>
            <w:tcW w:w="5216" w:type="dxa"/>
            <w:vAlign w:val="center"/>
          </w:tcPr>
          <w:p w14:paraId="17F5CC45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标签按 10 mm 缩放，推理后乘回并裁剪到 [0, 10] mm</w:t>
            </w:r>
          </w:p>
        </w:tc>
        <w:tc>
          <w:tcPr>
            <w:tcW w:w="1644" w:type="dxa"/>
            <w:vAlign w:val="center"/>
          </w:tcPr>
          <w:p w14:paraId="2A103AA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 mm</w:t>
            </w:r>
          </w:p>
        </w:tc>
      </w:tr>
    </w:tbl>
    <w:p w14:paraId="4504E32B">
      <w:pPr>
        <w:spacing w:before="0" w:after="0" w:line="240" w:lineRule="auto"/>
      </w:pPr>
    </w:p>
    <w:p w14:paraId="277BAA65">
      <w:pPr>
        <w:keepNext/>
        <w:spacing w:before="180" w:after="60" w:line="360" w:lineRule="auto"/>
        <w:ind w:firstLine="480"/>
        <w:jc w:val="both"/>
      </w:pPr>
      <w:r>
        <w:rPr>
          <w:rFonts w:ascii="Times New Roman" w:hAnsi="Times New Roman" w:eastAsia="黑体"/>
          <w:b/>
          <w:sz w:val="24"/>
        </w:rPr>
        <w:t>2.7 训练策略与可复现性</w:t>
      </w:r>
    </w:p>
    <w:p w14:paraId="2B4F1A3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训练使用 AdamW[11] 与余弦退火学习率，配合权重衰减与梯度裁剪抑制高分辨率输入下的梯度爆炸；在 RTX 4080 上启用 AMP 混合精度，共训练 120 轮，批大小按显存确定。每轮在验证集上计算 MAE 并保存最优检查点，同时逐轮写入训练日志（history.jsonl）；训练结束后由 run.json 记录模型结构、输入模式、归一化尺度、参数量与数据清单指纹。检查点自带这些元信息，推理前即可校验“训练用正差分、推理用带符号差分”这类隐蔽错误，也能保证数据划分未被意外改动。</w:t>
      </w:r>
    </w:p>
    <w:p w14:paraId="56B0C850">
      <w:pPr>
        <w:keepNext/>
        <w:spacing w:before="180" w:after="60" w:line="360" w:lineRule="auto"/>
        <w:ind w:firstLine="480"/>
        <w:jc w:val="both"/>
      </w:pPr>
      <w:r>
        <w:rPr>
          <w:rFonts w:ascii="Times New Roman" w:hAnsi="Times New Roman" w:eastAsia="黑体"/>
          <w:b/>
          <w:sz w:val="24"/>
        </w:rPr>
        <w:t>2.8 评价指标与同帧对比协议</w:t>
      </w:r>
    </w:p>
    <w:p w14:paraId="6677EBF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由于没有独立真值，本项目不做绝对物理精度的评价，而是从三个方面考察：一是拟合能力，用相对伪标签的 MAE 与训练曲线判断网络是否学到了映射；二是一致性，在同一保存帧上比较两种方法的形态与边缘，二者共用同一 mm/pixel 与 0~0.5 mm 色标；三是工程可用性，检查能否逐帧出图、导出点云并回放。指标包括全图 MAE、RMSE、接触区 MAE 与边缘梯度相似度，接触区统计只在有效掩膜内进行；此外记录单帧时延与显存占用，作为部署参考。</w:t>
      </w:r>
    </w:p>
    <w:p w14:paraId="2C188E02">
      <w:pPr>
        <w:keepNext/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="480" w:firstLineChars="200"/>
        <w:jc w:val="left"/>
        <w:rPr>
          <w:rFonts w:ascii="宋体"/>
          <w:sz w:val="24"/>
        </w:rPr>
      </w:pPr>
      <w:r>
        <w:rPr>
          <w:rFonts w:hint="eastAsia" w:ascii="宋体"/>
          <w:sz w:val="24"/>
        </w:rPr>
        <w:t>3、研究结果</w:t>
      </w:r>
    </w:p>
    <w:p w14:paraId="72065C39">
      <w:pPr>
        <w:keepNext/>
        <w:spacing w:before="180" w:after="60" w:line="360" w:lineRule="auto"/>
        <w:ind w:firstLine="480"/>
        <w:jc w:val="both"/>
      </w:pPr>
      <w:r>
        <w:rPr>
          <w:rFonts w:ascii="Times New Roman" w:hAnsi="Times New Roman" w:eastAsia="黑体"/>
          <w:b/>
          <w:sz w:val="24"/>
        </w:rPr>
        <w:t>3.1 训练过程与拟合误差</w:t>
      </w:r>
    </w:p>
    <w:p w14:paraId="63619CC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训练共 120 轮，学习曲线如图 1。相对伪标签的 MAE 在前 20 轮由约 1.5×10⁻² mm 快速下降到 4×10⁻³ mm 量级，此后缓慢下降；训练集在第 120 轮附近约 5×10⁻⁴ mm，验证集约 7×10⁻⁴ mm。验证曲线全程高于训练曲线，并在后半程出现数次尖峰（约第 65、105 轮），说明个别接触组的预测仍不稳定；但两条曲线的差距随训练逐渐收窄，没有出现明显的过拟合发散。</w:t>
      </w:r>
    </w:p>
    <w:p w14:paraId="4BBECF78">
      <w:pPr>
        <w:keepNext/>
        <w:spacing w:before="180" w:after="0" w:line="360" w:lineRule="auto"/>
        <w:ind w:firstLine="0"/>
        <w:jc w:val="center"/>
      </w:pPr>
      <w:r>
        <w:drawing>
          <wp:inline distT="0" distB="0" distL="114300" distR="114300">
            <wp:extent cx="4535805" cy="2267585"/>
            <wp:effectExtent l="0" t="0" r="10795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22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BFD4">
      <w:pPr>
        <w:spacing w:before="60" w:after="240" w:line="36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 1  相对伪标签的 MAE 随训练轮次的变化（纵轴为对数刻度）</w:t>
      </w:r>
    </w:p>
    <w:p w14:paraId="0665F02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需要强调，这一误差是相对同一套合成数据、同一条传统流程生成的伪标签而言的。数值之所以很小，主要说明“差分图—高度图”的映射在当前数据分布内高度自洽、可以被网络拟合，不能外推为真实接触上的物理精度。换句话说，它检验的是学习能力与流程正确性，而不是几何精度。</w:t>
      </w:r>
    </w:p>
    <w:p w14:paraId="3BE37869">
      <w:pPr>
        <w:keepNext/>
        <w:spacing w:before="180" w:after="60" w:line="360" w:lineRule="auto"/>
        <w:ind w:firstLine="480"/>
        <w:jc w:val="both"/>
      </w:pPr>
      <w:r>
        <w:rPr>
          <w:rFonts w:ascii="Times New Roman" w:hAnsi="Times New Roman" w:eastAsia="黑体"/>
          <w:b/>
          <w:sz w:val="24"/>
        </w:rPr>
        <w:t>3.2 同帧对比：查表重建与网络重建</w:t>
      </w:r>
    </w:p>
    <w:p w14:paraId="6983D31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图 2 是从演示程序中保存的一帧结果：左侧为原始接触图像，中间为传统查表重建，右侧为网络重建，三者使用相同的 mm 坐标与 0~0.5 mm 色标。该帧接触是一条宽约 6 mm 的条纹状目标，最大压入深度约 0.35 mm。两种重建在位置、范围与峰值上一致；传统结果能看出查表与平滑带来的台阶状结构，条纹之间出现散斑与断续，边缘略钝；网络结果整体更平滑，条纹边界更连续、锐利，背景区域的零高度也更干净。</w:t>
      </w:r>
    </w:p>
    <w:p w14:paraId="0651E72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一对比说明网络能够复现传统流程的主要结构，并改善其噪声表现；但由于两侧都以同一伪标签体系为参照，它还不能说明网络的绝对几何精度更高。更准确的说法是：网络用一次前向推理近似了“差分—查表—平滑”这条链路，并在视觉上给出了更规整的表面。</w:t>
      </w:r>
    </w:p>
    <w:p w14:paraId="532A6BAF">
      <w:pPr>
        <w:keepNext/>
        <w:spacing w:before="180" w:after="0" w:line="360" w:lineRule="auto"/>
        <w:ind w:firstLine="0"/>
        <w:jc w:val="center"/>
      </w:pPr>
      <w:r>
        <w:drawing>
          <wp:inline distT="0" distB="0" distL="114300" distR="114300">
            <wp:extent cx="5831840" cy="1741170"/>
            <wp:effectExtent l="0" t="0" r="1016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7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D582">
      <w:pPr>
        <w:spacing w:before="60" w:after="240" w:line="360" w:lineRule="auto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 2  同一保存帧的两种重建结果（共用 mm/pixel 与 0~0.5 mm 色标）</w:t>
      </w:r>
    </w:p>
    <w:p w14:paraId="1B8331A1">
      <w:pPr>
        <w:keepNext/>
        <w:spacing w:before="180" w:after="60" w:line="360" w:lineRule="auto"/>
        <w:ind w:firstLine="480"/>
        <w:jc w:val="both"/>
      </w:pPr>
      <w:r>
        <w:rPr>
          <w:rFonts w:ascii="Times New Roman" w:hAnsi="Times New Roman" w:eastAsia="黑体"/>
          <w:b/>
          <w:sz w:val="24"/>
        </w:rPr>
        <w:t>3.3 流程贯通与演示系统</w:t>
      </w:r>
    </w:p>
    <w:p w14:paraId="7959273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演示程序支持两种模式：实时模式从相机读取图像、现场采集参考帧，并逐帧输出高度图与三维点云；回放模式读取保存的 NPZ 记录，用于设备不可用时复现结果。程序可导出 NPZ（原始灰度、两种高度图与 mm/pixel）、PNG 高度图与 PLY 点云，便于离线分析；两种重建在同一窗口中并排显示，便于对照。答辩时的现场演示按“空载—轻压—加深或移动—松开”的顺序进行，用于说明从接触到几何的完整链路，而不作为精度评价。</w:t>
      </w:r>
    </w:p>
    <w:p w14:paraId="3ADB8C9A">
      <w:pPr>
        <w:keepNext/>
        <w:spacing w:before="180" w:after="60" w:line="360" w:lineRule="auto"/>
        <w:ind w:firstLine="480"/>
        <w:jc w:val="both"/>
      </w:pPr>
      <w:r>
        <w:rPr>
          <w:rFonts w:ascii="Times New Roman" w:hAnsi="Times New Roman" w:eastAsia="黑体"/>
          <w:b/>
          <w:sz w:val="24"/>
        </w:rPr>
        <w:t>3.4 结果讨论与适用边界</w:t>
      </w:r>
    </w:p>
    <w:p w14:paraId="0DDF6EC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综合来看，项目已经把“标定—重建—学习—展示”四段流程在自有硬件上打通，并建立了可复现的数据、训练与评测闭环：数据由固定脚本生成，划分按接触组固定，检查点自带元信息，对比时统一尺度与色标。当前结果支持三点结论：其一，传统查表流程能够在复现的样机上稳定输出毫米高度图与点云；其二，学习型高度回归可以在合成数据上高精度拟合该流程，并在同帧对比中给出更平滑、边缘更连续的结果；其三，整条链路可以在普通台式机上实时运行并导出标准格式的结果文件。</w:t>
      </w:r>
    </w:p>
    <w:p w14:paraId="1CDB6D0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但结论只能止步于此。合成图像不等于真实光学仿真，伪标签不等于独立物理真值，因此不能据此宣称网络在真实接触上的重建精度优于传统方法；同时，本轮未做系统的消融实验与时延统计，base_features=48 的配置也未纳入比较。这些都属于后续需要补齐的工作。</w:t>
      </w:r>
    </w:p>
    <w:p w14:paraId="450CB047">
      <w:pPr>
        <w:keepNext/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="480" w:firstLineChars="200"/>
        <w:jc w:val="left"/>
        <w:rPr>
          <w:rFonts w:ascii="宋体"/>
          <w:sz w:val="24"/>
        </w:rPr>
      </w:pPr>
      <w:r>
        <w:rPr>
          <w:rFonts w:hint="eastAsia" w:ascii="宋体"/>
          <w:sz w:val="24"/>
        </w:rPr>
        <w:t>4、创新点</w:t>
      </w:r>
    </w:p>
    <w:p w14:paraId="1F4EF46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在复现的开源结构上打通全链路，并把两种方法放到同一尺度下比较。项目没有停留在单独实现某一段算法，而是把成像、两步标定、查表重建、数据生成、网络训练与实时演示串成一条可运行的流水线；对比时统一 mm/pixel 与色标、同帧导出高度图与点云，使“网络逼近传统多少、改善在哪里”成为可以直接观察和量化的问题。</w:t>
      </w:r>
    </w:p>
    <w:p w14:paraId="154B572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（2）全分辨率、单通道、端到端的高度回归。与“先估法向再积分”或“下采样回归再上采样”的两段式方案不同，本方法把归一化后的差分图直接映射为同尺寸高度图，输入不缩放、只做 16 对齐的反射填充，避免插值损失细节，也省去法向积分与逐像素查表，推理链路缩短为一次前向。</w:t>
      </w:r>
    </w:p>
    <w:p w14:paraId="4ECBF57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（3）面向触觉形变的注意力残差结构。针对接触区小、背景大、边缘陡的特点，编码器用通道注意力筛选对形变敏感的通道，解码器用跳跃连接门控抑制背景纹理与噪声；以 GroupNorm 替代 BatchNorm 适配小批量高分辨率训练，以线性输出头避免负值区域梯度被永久截断。</w:t>
      </w:r>
    </w:p>
    <w:p w14:paraId="371A617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（4）接触加权与双向梯度约束的损失设计。按伪标签生成接触掩膜，对高度大于 0.05 mm 的像素加权 4，解决背景像素淹没接触区的问题；以两个方向的梯度损失（各 0.15）分别约束边缘，在整体拟合的同时保持接触轮廓，缓解传统流程中平滑环节造成的边缘钝化。</w:t>
      </w:r>
    </w:p>
    <w:p w14:paraId="762BEE6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（5）可复现的“合成数据—伪标签”训练闭环与明确的结论边界。8 类形状、600 个接触组、按组划分、检查点自带结构参数与数据指纹，使训练结果可追溯、可复现；报告中主动区分“对伪标签的拟合”与“对真实形貌的重建”，避免了在缺乏独立真值的条件下得出过度结论。</w:t>
      </w:r>
    </w:p>
    <w:p w14:paraId="12D36D8F">
      <w:pPr>
        <w:keepNext/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="480" w:firstLineChars="200"/>
        <w:jc w:val="left"/>
        <w:rPr>
          <w:rFonts w:ascii="宋体"/>
          <w:sz w:val="24"/>
        </w:rPr>
      </w:pPr>
      <w:r>
        <w:rPr>
          <w:rFonts w:hint="eastAsia" w:ascii="宋体"/>
          <w:sz w:val="24"/>
        </w:rPr>
        <w:t>5、结束语</w:t>
      </w:r>
    </w:p>
    <w:p w14:paraId="1770B7A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本项目以开源视触觉传感器 9DTact 为起点，完成了结构复现、两步标定、传统查表重建、合成数据与伪标签构建、AttentionResidualUNet 训练以及同帧对比演示的完整链路，并在此基础上对“学习型方法能在多大程度上替代传统流程”给出了可检验的回答。过程中我们逐渐认识到，触觉形貌重建的难点并不只在网络结构：凝胶的粘弹性与迟滞、光照不均、标定漂移、查表与平滑带来的边缘钝化，都会以系统误差的形式进入训练目标，并最终限制模型的上限。</w:t>
      </w:r>
    </w:p>
    <w:p w14:paraId="35CFABE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从能力培养的角度，项目覆盖了机械装配与硅胶成型、相机与传感器标定、图像处理、深度学习模型设计与训练、实验设计与误差分析等多个环节，团队成员在硬件调试、代码工程化与学术表达方面都得到了系统训练；同时我们也体会到，“把结论说准”与“把结果做出来”同样重要。</w:t>
      </w:r>
    </w:p>
    <w:p w14:paraId="51FFE39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当前工作仍有明显局限：训练目标是传统算法的伪标签，指标只反映拟合程度；训练数据由合成流程生成，与真实光学成像仍有差距；尚未建立独立的真实几何参考，也没有开展系统的消融与时延统计；变亮区域的信息、六维力估计与长期稳定性都还未涉及。后续将围绕真实几何参考的引入、明暗信息的联合利用、运动与扭转感知、六维力估计以及嵌入式部署继续推进。</w:t>
      </w:r>
    </w:p>
    <w:p w14:paraId="541ED1A7">
      <w:pPr>
        <w:keepNext/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="480" w:firstLineChars="200"/>
        <w:jc w:val="left"/>
        <w:rPr>
          <w:rFonts w:ascii="宋体"/>
          <w:sz w:val="24"/>
        </w:rPr>
      </w:pPr>
      <w:r>
        <w:rPr>
          <w:rFonts w:hint="eastAsia" w:ascii="宋体"/>
          <w:sz w:val="24"/>
        </w:rPr>
        <w:t>6、参考文献</w:t>
      </w:r>
    </w:p>
    <w:p w14:paraId="0A0CB984">
      <w:pPr>
        <w:spacing w:before="0" w:after="0" w:line="300" w:lineRule="auto"/>
        <w:ind w:left="420" w:hanging="420"/>
        <w:jc w:val="left"/>
      </w:pPr>
      <w:r>
        <w:rPr>
          <w:rFonts w:ascii="Times New Roman" w:hAnsi="Times New Roman" w:eastAsia="宋体"/>
          <w:b w:val="0"/>
          <w:sz w:val="21"/>
        </w:rPr>
        <w:t>[1] Yuan W, Dong S, Adelson E H. GelSight: High-resolution robot tactile sensors for estimating geometry and force[J]. Sensors, 2017, 17(12): 2762.</w:t>
      </w:r>
    </w:p>
    <w:p w14:paraId="5BE6C66D">
      <w:pPr>
        <w:spacing w:before="0" w:after="0" w:line="300" w:lineRule="auto"/>
        <w:ind w:left="420" w:hanging="420"/>
        <w:jc w:val="left"/>
      </w:pPr>
      <w:r>
        <w:rPr>
          <w:rFonts w:ascii="Times New Roman" w:hAnsi="Times New Roman" w:eastAsia="宋体"/>
          <w:b w:val="0"/>
          <w:sz w:val="21"/>
        </w:rPr>
        <w:t>[2] Lin C, Zhang H, Xu J, et al. 9DTact: A compact vision-based tactile sensor for accurate 3D shape reconstruction and generalizable 6D force estimation[J]. IEEE Robotics and Automation Letters, 2024, 9(2): 923-930.</w:t>
      </w:r>
    </w:p>
    <w:p w14:paraId="5E9E3DFA">
      <w:pPr>
        <w:spacing w:before="0" w:after="0" w:line="300" w:lineRule="auto"/>
        <w:ind w:left="420" w:hanging="420"/>
        <w:jc w:val="left"/>
      </w:pPr>
      <w:r>
        <w:rPr>
          <w:rFonts w:ascii="Times New Roman" w:hAnsi="Times New Roman" w:eastAsia="宋体"/>
          <w:b w:val="0"/>
          <w:sz w:val="21"/>
        </w:rPr>
        <w:t>[3] Lin C, Lin Z, Wang S, et al. DTact: A vision-based tactile sensor that measures high-resolution 3D geometry directly from darkness[C]//IEEE International Conference on Robotics and Automation (ICRA). 2023.</w:t>
      </w:r>
    </w:p>
    <w:p w14:paraId="6A882715">
      <w:pPr>
        <w:spacing w:before="0" w:after="0" w:line="300" w:lineRule="auto"/>
        <w:ind w:left="420" w:hanging="420"/>
        <w:jc w:val="left"/>
      </w:pPr>
      <w:r>
        <w:rPr>
          <w:rFonts w:ascii="Times New Roman" w:hAnsi="Times New Roman" w:eastAsia="宋体"/>
          <w:b w:val="0"/>
          <w:sz w:val="21"/>
        </w:rPr>
        <w:t>[4] Wang S, She Y, Romero B, et al. GelSight Wedge: Measuring high-resolution 3D contact geometry with a compact robot finger[C]//IEEE International Conference on Robotics and Automation (ICRA). 2021.</w:t>
      </w:r>
    </w:p>
    <w:p w14:paraId="1E85FCBA">
      <w:pPr>
        <w:spacing w:before="0" w:after="0" w:line="300" w:lineRule="auto"/>
        <w:ind w:left="420" w:hanging="420"/>
        <w:jc w:val="left"/>
      </w:pPr>
      <w:r>
        <w:rPr>
          <w:rFonts w:ascii="Times New Roman" w:hAnsi="Times New Roman" w:eastAsia="宋体"/>
          <w:b w:val="0"/>
          <w:sz w:val="21"/>
        </w:rPr>
        <w:t>[5] Do W K, Kennedy M. DenseTact: Optical tactile sensor for dense shape reconstruction[C]//IEEE International Conference on Robotics and Automation (ICRA). 2022.</w:t>
      </w:r>
    </w:p>
    <w:p w14:paraId="142BCF6C">
      <w:pPr>
        <w:spacing w:before="0" w:after="0" w:line="300" w:lineRule="auto"/>
        <w:ind w:left="420" w:hanging="420"/>
        <w:jc w:val="left"/>
      </w:pPr>
      <w:r>
        <w:rPr>
          <w:rFonts w:ascii="Times New Roman" w:hAnsi="Times New Roman" w:eastAsia="宋体"/>
          <w:b w:val="0"/>
          <w:sz w:val="21"/>
        </w:rPr>
        <w:t>[6] Ronneberger O, Fischer P, Brox T. U-Net: Convolutional networks for biomedical image segmentation[C]//Medical Image Computing and Computer-Assisted Intervention (MICCAI). 2015: 234-241.</w:t>
      </w:r>
    </w:p>
    <w:p w14:paraId="75650196">
      <w:pPr>
        <w:spacing w:before="0" w:after="0" w:line="300" w:lineRule="auto"/>
        <w:ind w:left="420" w:hanging="420"/>
        <w:jc w:val="left"/>
      </w:pPr>
      <w:r>
        <w:rPr>
          <w:rFonts w:ascii="Times New Roman" w:hAnsi="Times New Roman" w:eastAsia="宋体"/>
          <w:b w:val="0"/>
          <w:sz w:val="21"/>
        </w:rPr>
        <w:t>[7] Oktay O, Schlemper J, Le Folgoc L, et al. Attention U-Net: Learning where to look for the pancreas[C]//Medical Imaging with Deep Learning (MIDL). 2018.</w:t>
      </w:r>
    </w:p>
    <w:p w14:paraId="53F7BD4D">
      <w:pPr>
        <w:spacing w:before="0" w:after="0" w:line="300" w:lineRule="auto"/>
        <w:ind w:left="420" w:hanging="420"/>
        <w:jc w:val="left"/>
      </w:pPr>
      <w:r>
        <w:rPr>
          <w:rFonts w:ascii="Times New Roman" w:hAnsi="Times New Roman" w:eastAsia="宋体"/>
          <w:b w:val="0"/>
          <w:sz w:val="21"/>
        </w:rPr>
        <w:t>[8] Zhang Z, Liu Q, Wang Y. Road extraction by deep residual U-Net[J]. IEEE Geoscience and Remote Sensing Letters, 2018, 15(5): 749-753.</w:t>
      </w:r>
    </w:p>
    <w:p w14:paraId="7A8366A2">
      <w:pPr>
        <w:spacing w:before="0" w:after="0" w:line="300" w:lineRule="auto"/>
        <w:ind w:left="420" w:hanging="420"/>
        <w:jc w:val="left"/>
      </w:pPr>
      <w:r>
        <w:rPr>
          <w:rFonts w:ascii="Times New Roman" w:hAnsi="Times New Roman" w:eastAsia="宋体"/>
          <w:b w:val="0"/>
          <w:sz w:val="21"/>
        </w:rPr>
        <w:t>[9] Hu J, Shen L, Sun G. Squeeze-and-excitation networks[C]//IEEE Conference on Computer Vision and Pattern Recognition (CVPR). 2018: 7132-7141.</w:t>
      </w:r>
    </w:p>
    <w:p w14:paraId="1C9C7A0C">
      <w:pPr>
        <w:spacing w:before="0" w:after="0" w:line="300" w:lineRule="auto"/>
        <w:ind w:left="420" w:hanging="420"/>
        <w:jc w:val="left"/>
      </w:pPr>
      <w:r>
        <w:rPr>
          <w:rFonts w:ascii="Times New Roman" w:hAnsi="Times New Roman" w:eastAsia="宋体"/>
          <w:b w:val="0"/>
          <w:sz w:val="21"/>
        </w:rPr>
        <w:t>[10] Wu Y, He K. Group normalization[C]//European Conference on Computer Vision (ECCV). 2018: 3-19.</w:t>
      </w:r>
    </w:p>
    <w:p w14:paraId="02DBF789">
      <w:pPr>
        <w:spacing w:before="0" w:after="0" w:line="300" w:lineRule="auto"/>
        <w:ind w:left="420" w:hanging="420"/>
        <w:jc w:val="left"/>
      </w:pPr>
      <w:r>
        <w:rPr>
          <w:rFonts w:ascii="Times New Roman" w:hAnsi="Times New Roman" w:eastAsia="宋体"/>
          <w:b w:val="0"/>
          <w:sz w:val="21"/>
        </w:rPr>
        <w:t>[11] Loshchilov I, Hutter F. Decoupled weight decay regularization[C]//International Conference on Learning Representations (ICLR). 2019.</w:t>
      </w:r>
    </w:p>
    <w:sectPr>
      <w:pgSz w:w="11906" w:h="16838"/>
      <w:pgMar w:top="1134" w:right="1134" w:bottom="1134" w:left="1134" w:header="851" w:footer="992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9C275A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2</w:t>
    </w:r>
    <w:r>
      <w:fldChar w:fldCharType="end"/>
    </w:r>
  </w:p>
  <w:p w14:paraId="2D9E6B82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782B02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end"/>
    </w:r>
  </w:p>
  <w:p w14:paraId="3F16AC77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172A27"/>
    <w:rsid w:val="000A6E52"/>
    <w:rsid w:val="00124070"/>
    <w:rsid w:val="00172A27"/>
    <w:rsid w:val="0034202D"/>
    <w:rsid w:val="00462E54"/>
    <w:rsid w:val="00496DD0"/>
    <w:rsid w:val="004B061B"/>
    <w:rsid w:val="005420BA"/>
    <w:rsid w:val="0054628E"/>
    <w:rsid w:val="00560037"/>
    <w:rsid w:val="005E3A23"/>
    <w:rsid w:val="006421B7"/>
    <w:rsid w:val="006C3380"/>
    <w:rsid w:val="007016C5"/>
    <w:rsid w:val="00843A9C"/>
    <w:rsid w:val="0085038D"/>
    <w:rsid w:val="00881344"/>
    <w:rsid w:val="009A0754"/>
    <w:rsid w:val="00AF0AFF"/>
    <w:rsid w:val="00B127A8"/>
    <w:rsid w:val="00C2261C"/>
    <w:rsid w:val="00CA7E08"/>
    <w:rsid w:val="00D6225B"/>
    <w:rsid w:val="00D906FE"/>
    <w:rsid w:val="00DA00B1"/>
    <w:rsid w:val="00DC6EE8"/>
    <w:rsid w:val="00DE0579"/>
    <w:rsid w:val="00E330A9"/>
    <w:rsid w:val="00EE6A54"/>
    <w:rsid w:val="5FA6F68A"/>
    <w:rsid w:val="5FFF1DEB"/>
    <w:rsid w:val="65DF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/>
    </w:pPr>
  </w:style>
  <w:style w:type="paragraph" w:styleId="3">
    <w:name w:val="Body Text Indent"/>
    <w:basedOn w:val="1"/>
    <w:uiPriority w:val="0"/>
    <w:pPr>
      <w:snapToGrid w:val="0"/>
      <w:spacing w:line="360" w:lineRule="auto"/>
      <w:ind w:right="70" w:firstLine="560" w:firstLineChars="200"/>
      <w:textAlignment w:val="bottom"/>
    </w:pPr>
    <w:rPr>
      <w:rFonts w:ascii="仿宋_GB2312" w:eastAsia="仿宋_GB2312"/>
      <w:sz w:val="28"/>
      <w:szCs w:val="28"/>
    </w:rPr>
  </w:style>
  <w:style w:type="paragraph" w:styleId="4">
    <w:name w:val="Balloon Text"/>
    <w:basedOn w:val="1"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10">
    <w:name w:val="page number"/>
    <w:basedOn w:val="9"/>
    <w:uiPriority w:val="0"/>
  </w:style>
  <w:style w:type="paragraph" w:customStyle="1" w:styleId="11">
    <w:name w:val="Char"/>
    <w:basedOn w:val="1"/>
    <w:uiPriority w:val="0"/>
    <w:pPr>
      <w:widowControl/>
      <w:spacing w:after="160" w:line="240" w:lineRule="exact"/>
      <w:jc w:val="left"/>
    </w:pPr>
    <w:rPr>
      <w:rFonts w:ascii="宋体" w:hAnsi="宋体"/>
      <w:kern w:val="0"/>
      <w:sz w:val="24"/>
      <w:szCs w:val="20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moe</Company>
  <Pages>12</Pages>
  <Words>137</Words>
  <Characters>785</Characters>
  <Lines>6</Lines>
  <Paragraphs>1</Paragraphs>
  <TotalTime>14</TotalTime>
  <ScaleCrop>false</ScaleCrop>
  <LinksUpToDate>false</LinksUpToDate>
  <CharactersWithSpaces>921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2017-09-01T08:43:00Z</dcterms:created>
  <dc:creator>赵希文</dc:creator>
  <cp:lastModifiedBy>刘一为</cp:lastModifiedBy>
  <cp:lastPrinted>2009-02-27T11:04:00Z</cp:lastPrinted>
  <dcterms:modified xsi:type="dcterms:W3CDTF">2026-10-29T00:10:03Z</dcterms:modified>
  <dc:title>结题报告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50F8C4A4CF6CE83FFD1CE26AA5FDF4E0_42</vt:lpwstr>
  </property>
</Properties>
</file>