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E660" w14:textId="37D10A25" w:rsidR="00F73366" w:rsidRPr="00DE5759" w:rsidRDefault="00F73366" w:rsidP="00F73366">
      <w:pPr>
        <w:jc w:val="center"/>
        <w:rPr>
          <w:b/>
          <w:bCs/>
          <w:sz w:val="50"/>
          <w:szCs w:val="50"/>
        </w:rPr>
      </w:pPr>
      <w:r w:rsidRPr="00DE5759">
        <w:rPr>
          <w:b/>
          <w:bCs/>
          <w:sz w:val="50"/>
          <w:szCs w:val="50"/>
        </w:rPr>
        <w:t xml:space="preserve">Case </w:t>
      </w:r>
      <w:r>
        <w:rPr>
          <w:b/>
          <w:bCs/>
          <w:sz w:val="50"/>
          <w:szCs w:val="50"/>
        </w:rPr>
        <w:t>3</w:t>
      </w:r>
      <w:r w:rsidRPr="00DE5759">
        <w:rPr>
          <w:b/>
          <w:bCs/>
          <w:sz w:val="50"/>
          <w:szCs w:val="50"/>
        </w:rPr>
        <w:t xml:space="preserve"> </w:t>
      </w:r>
      <w:r w:rsidR="00A92D6E">
        <w:rPr>
          <w:b/>
          <w:bCs/>
          <w:sz w:val="50"/>
          <w:szCs w:val="50"/>
        </w:rPr>
        <w:t xml:space="preserve">- </w:t>
      </w:r>
      <w:r w:rsidR="00A92D6E" w:rsidRPr="00A92D6E">
        <w:rPr>
          <w:b/>
          <w:bCs/>
          <w:sz w:val="50"/>
          <w:szCs w:val="50"/>
        </w:rPr>
        <w:t>Audio filter</w:t>
      </w:r>
    </w:p>
    <w:p w14:paraId="5EB3AE9D" w14:textId="77777777" w:rsidR="00F73366" w:rsidRPr="00DE5759" w:rsidRDefault="00F73366" w:rsidP="00F73366">
      <w:r w:rsidRPr="00DE5759">
        <w:tab/>
      </w:r>
      <w:r w:rsidRPr="00DE5759">
        <w:tab/>
      </w:r>
      <w:r w:rsidRPr="00DE5759">
        <w:tab/>
      </w:r>
      <w:r w:rsidRPr="00DE5759">
        <w:tab/>
      </w:r>
      <w:r w:rsidRPr="00DE5759">
        <w:tab/>
      </w:r>
    </w:p>
    <w:p w14:paraId="2E3EB0A7" w14:textId="77777777" w:rsidR="00F73366" w:rsidRPr="00DE5759" w:rsidRDefault="00F73366" w:rsidP="00F73366">
      <w:pPr>
        <w:ind w:left="2608" w:firstLine="1304"/>
        <w:rPr>
          <w:b/>
          <w:bCs/>
          <w:sz w:val="40"/>
          <w:szCs w:val="40"/>
        </w:rPr>
      </w:pPr>
      <w:r w:rsidRPr="00DE5759">
        <w:rPr>
          <w:b/>
          <w:bCs/>
          <w:sz w:val="40"/>
          <w:szCs w:val="40"/>
        </w:rPr>
        <w:t>Gruppe 2</w:t>
      </w:r>
    </w:p>
    <w:p w14:paraId="360BB48F" w14:textId="77777777" w:rsidR="00F73366" w:rsidRPr="00DE5759" w:rsidRDefault="00F73366" w:rsidP="00F73366">
      <w:pPr>
        <w:rPr>
          <w:b/>
          <w:bCs/>
        </w:rPr>
      </w:pPr>
    </w:p>
    <w:p w14:paraId="7A1AAD22" w14:textId="77777777" w:rsidR="00F73366" w:rsidRPr="0051493E" w:rsidRDefault="00F73366" w:rsidP="00F73366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2965"/>
        <w:gridCol w:w="3016"/>
      </w:tblGrid>
      <w:tr w:rsidR="00F73366" w:rsidRPr="0051493E" w14:paraId="50CAD920" w14:textId="77777777" w:rsidTr="0028087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F3B9" w14:textId="77777777" w:rsidR="00F73366" w:rsidRPr="0051493E" w:rsidRDefault="00F73366" w:rsidP="00280875">
            <w:pPr>
              <w:spacing w:after="160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Studienummer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0282" w14:textId="77777777" w:rsidR="00F73366" w:rsidRPr="0051493E" w:rsidRDefault="00F73366" w:rsidP="00280875">
            <w:pPr>
              <w:spacing w:after="160"/>
              <w:rPr>
                <w:b/>
                <w:bCs/>
                <w:lang w:val="sv-SE"/>
              </w:rPr>
            </w:pPr>
            <w:proofErr w:type="spellStart"/>
            <w:r w:rsidRPr="0051493E">
              <w:rPr>
                <w:b/>
                <w:bCs/>
                <w:lang w:val="sv-SE"/>
              </w:rPr>
              <w:t>Navn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0A45" w14:textId="77777777" w:rsidR="00F73366" w:rsidRPr="0051493E" w:rsidRDefault="00F73366" w:rsidP="00280875">
            <w:pPr>
              <w:spacing w:after="160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Studieretning</w:t>
            </w:r>
          </w:p>
        </w:tc>
      </w:tr>
      <w:tr w:rsidR="00F73366" w:rsidRPr="0051493E" w14:paraId="67EBA9BB" w14:textId="77777777" w:rsidTr="0028087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7539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t>202310755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C1F5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rPr>
                <w:lang w:val="sv-SE"/>
              </w:rPr>
              <w:t>Peter Thule Kirketerp Linstad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9AF7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F73366" w:rsidRPr="0051493E" w14:paraId="3053A98D" w14:textId="77777777" w:rsidTr="00280875">
        <w:trPr>
          <w:trHeight w:val="16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4705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202004347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6DB9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rPr>
                <w:lang w:val="sv-SE"/>
              </w:rPr>
              <w:t xml:space="preserve">Otto </w:t>
            </w:r>
            <w:proofErr w:type="spellStart"/>
            <w:r w:rsidRPr="0051493E">
              <w:rPr>
                <w:lang w:val="sv-SE"/>
              </w:rPr>
              <w:t>Sejrskild</w:t>
            </w:r>
            <w:proofErr w:type="spellEnd"/>
            <w:r w:rsidRPr="0051493E">
              <w:rPr>
                <w:lang w:val="sv-SE"/>
              </w:rPr>
              <w:t xml:space="preserve"> Santesson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230F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F73366" w:rsidRPr="0051493E" w14:paraId="08FC2F58" w14:textId="77777777" w:rsidTr="0028087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B6B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202001087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DF81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proofErr w:type="spellStart"/>
            <w:r w:rsidRPr="0051493E">
              <w:rPr>
                <w:lang w:val="sv-SE"/>
              </w:rPr>
              <w:t>Mudar</w:t>
            </w:r>
            <w:proofErr w:type="spellEnd"/>
            <w:r w:rsidRPr="0051493E">
              <w:rPr>
                <w:lang w:val="sv-SE"/>
              </w:rPr>
              <w:t xml:space="preserve"> </w:t>
            </w:r>
            <w:proofErr w:type="spellStart"/>
            <w:r w:rsidRPr="0051493E">
              <w:rPr>
                <w:lang w:val="sv-SE"/>
              </w:rPr>
              <w:t>Issam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2437" w14:textId="77777777" w:rsidR="00F73366" w:rsidRPr="0051493E" w:rsidRDefault="00F73366" w:rsidP="00280875">
            <w:pPr>
              <w:spacing w:after="160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</w:tbl>
    <w:p w14:paraId="4DB102E2" w14:textId="77777777" w:rsidR="00F73366" w:rsidRPr="0051493E" w:rsidRDefault="00F73366" w:rsidP="00F73366">
      <w:pPr>
        <w:rPr>
          <w:lang w:val="sv-SE"/>
        </w:rPr>
      </w:pPr>
    </w:p>
    <w:p w14:paraId="7A1D887A" w14:textId="4E2FA38A" w:rsidR="00A92D6E" w:rsidRDefault="00A92D6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en-GB"/>
        </w:rPr>
        <w:id w:val="-1929495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  <w14:ligatures w14:val="standardContextual"/>
        </w:rPr>
      </w:sdtEndPr>
      <w:sdtContent>
        <w:p w14:paraId="287CEE47" w14:textId="15BB1E1F" w:rsidR="006C7522" w:rsidRPr="006C7522" w:rsidRDefault="006C7522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5BCDF08F" w14:textId="448DF9F6" w:rsidR="006C7522" w:rsidRPr="006C7522" w:rsidRDefault="006C7522">
          <w:pPr>
            <w:rPr>
              <w:lang w:val="en-GB"/>
            </w:rPr>
          </w:pPr>
          <w:r>
            <w:fldChar w:fldCharType="begin"/>
          </w:r>
          <w:r w:rsidRPr="006C7522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lang w:val="en-GB"/>
            </w:rPr>
            <w:fldChar w:fldCharType="end"/>
          </w:r>
        </w:p>
      </w:sdtContent>
    </w:sdt>
    <w:p w14:paraId="14A1B742" w14:textId="7D029A83" w:rsidR="006C7522" w:rsidRDefault="006C7522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67EE8F98" w14:textId="7BD0DA2A" w:rsidR="0055042C" w:rsidRDefault="00BC172D" w:rsidP="00BC172D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Opgave</w:t>
      </w:r>
      <w:proofErr w:type="spellEnd"/>
      <w:r>
        <w:rPr>
          <w:lang w:val="en-GB"/>
        </w:rPr>
        <w:t xml:space="preserve"> 1 -</w:t>
      </w:r>
      <w:r w:rsidR="00055E07">
        <w:rPr>
          <w:lang w:val="en-GB"/>
        </w:rPr>
        <w:t xml:space="preserve">Analyse </w:t>
      </w:r>
      <w:proofErr w:type="spellStart"/>
      <w:r w:rsidR="00055E07">
        <w:rPr>
          <w:lang w:val="en-GB"/>
        </w:rPr>
        <w:t>af</w:t>
      </w:r>
      <w:proofErr w:type="spellEnd"/>
      <w:r w:rsidR="00055E07">
        <w:rPr>
          <w:lang w:val="en-GB"/>
        </w:rPr>
        <w:t xml:space="preserve"> </w:t>
      </w:r>
      <w:proofErr w:type="spellStart"/>
      <w:r w:rsidR="00055E07">
        <w:rPr>
          <w:lang w:val="en-GB"/>
        </w:rPr>
        <w:t>inputsignal</w:t>
      </w:r>
      <w:proofErr w:type="spellEnd"/>
    </w:p>
    <w:p w14:paraId="432B23AB" w14:textId="77777777" w:rsidR="00D34392" w:rsidRPr="00D34392" w:rsidRDefault="00D34392" w:rsidP="00D34392">
      <w:pPr>
        <w:pStyle w:val="Heading2"/>
      </w:pPr>
      <w:r w:rsidRPr="00D34392">
        <w:t>Formål</w:t>
      </w:r>
    </w:p>
    <w:p w14:paraId="690420B3" w14:textId="77777777" w:rsidR="00D34392" w:rsidRDefault="00D34392" w:rsidP="00D34392">
      <w:r w:rsidRPr="00D34392">
        <w:t>Formålet med opgaven er at analysere et optaget lydsignal, som indeholder både tale og en uønsket tone. Analysen skal vise signalets karakteristika i tids- og frekvensdomænet samt visualisere de tidsvarierende frekvenser via spektrogrammet. På baggrund af denne analyse identificeres den forstyrrende tones omtrentlige frekvens, som senere anvendes til filtrering i de efterfølgende opgaver.</w:t>
      </w:r>
    </w:p>
    <w:p w14:paraId="6E4EE246" w14:textId="77777777" w:rsidR="002A100D" w:rsidRPr="002A100D" w:rsidRDefault="002A100D" w:rsidP="002A100D">
      <w:pPr>
        <w:pStyle w:val="Heading2"/>
      </w:pPr>
      <w:r w:rsidRPr="002A100D">
        <w:t>Fremgangsmåde</w:t>
      </w:r>
    </w:p>
    <w:p w14:paraId="634B8C64" w14:textId="34CE8559" w:rsidR="002A100D" w:rsidRPr="002A100D" w:rsidRDefault="002A100D" w:rsidP="002A100D">
      <w:r w:rsidRPr="002A100D">
        <w:t xml:space="preserve">Der er i MATLAB indlæst lydfilen </w:t>
      </w:r>
      <w:r w:rsidR="005B119D">
        <w:t>”</w:t>
      </w:r>
      <w:r w:rsidRPr="002A100D">
        <w:t>tale_tone_48000.wav</w:t>
      </w:r>
      <w:r w:rsidR="005B119D">
        <w:t>”</w:t>
      </w:r>
      <w:r w:rsidRPr="002A100D">
        <w:t>.</w:t>
      </w:r>
      <w:r w:rsidRPr="002A100D">
        <w:br/>
        <w:t xml:space="preserve">Signalet blev analyseret i både tids- og frekvensdomænet ved hjælp af FFT og ved hjælp af funktionen </w:t>
      </w:r>
      <w:proofErr w:type="spellStart"/>
      <w:proofErr w:type="gramStart"/>
      <w:r w:rsidRPr="002A100D">
        <w:t>spectrogram</w:t>
      </w:r>
      <w:proofErr w:type="spellEnd"/>
      <w:r w:rsidRPr="002A100D">
        <w:t>(</w:t>
      </w:r>
      <w:proofErr w:type="gramEnd"/>
      <w:r w:rsidRPr="002A100D">
        <w:t>) til at fremstille et spektrogram.</w:t>
      </w:r>
    </w:p>
    <w:p w14:paraId="36AFFA47" w14:textId="46C3465B" w:rsidR="00B43701" w:rsidRDefault="002A100D" w:rsidP="00D34392">
      <w:r w:rsidRPr="002A100D">
        <w:t>Den anvendte kode er vist herunder: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16"/>
      </w:tblGrid>
      <w:tr w:rsidR="00B43701" w:rsidRPr="00936651" w14:paraId="1E47134A" w14:textId="77777777" w:rsidTr="002A100D">
        <w:tc>
          <w:tcPr>
            <w:tcW w:w="9016" w:type="dxa"/>
            <w:shd w:val="clear" w:color="auto" w:fill="DAE9F7" w:themeFill="text2" w:themeFillTint="1A"/>
          </w:tcPr>
          <w:p w14:paraId="7912C7F5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[x, fs] = </w:t>
            </w: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audioread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"tale_tone_48000.wav"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608DFB1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41E6693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Plot the time domain signal</w:t>
            </w:r>
          </w:p>
          <w:p w14:paraId="3F5F1DE0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 = (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0:length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(x)-1)/fs;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Time vector</w:t>
            </w:r>
          </w:p>
          <w:p w14:paraId="3F09EB5F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figure;</w:t>
            </w:r>
            <w:proofErr w:type="gramEnd"/>
          </w:p>
          <w:p w14:paraId="7A9782E9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t, x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218617F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title(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'Time Domain Signal'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305200D3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'Time (s)'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54F66AEE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'Amplitude'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0C7102DB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66874F97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Compute and plot the amplitude spectrum</w:t>
            </w:r>
          </w:p>
          <w:p w14:paraId="7005515C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n = length(x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70F19C8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f = (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0:n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-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1)*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(fs/n);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Frequency vector</w:t>
            </w:r>
          </w:p>
          <w:p w14:paraId="395CBBBD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xfft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 = abs(</w:t>
            </w: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fft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(x)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359B105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figure;</w:t>
            </w:r>
            <w:proofErr w:type="gramEnd"/>
          </w:p>
          <w:p w14:paraId="18CE8272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subplot(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2,1,1);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full scale amplitude spectrum</w:t>
            </w:r>
          </w:p>
          <w:p w14:paraId="456F02AA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f, </w:t>
            </w: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xfft</w:t>
            </w:r>
            <w:proofErr w:type="spellEnd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4EC616E3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xlim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[0 fs/2]);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Limit x-axis to Nyquist frequency</w:t>
            </w:r>
          </w:p>
          <w:p w14:paraId="2068E838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title(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'Amplitude Spectrum'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73A17971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'Frequency (Hz)'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4BCE0BC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'Magnitude'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2D06495D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6539500C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subplot(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2,1,2);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limited amplitude spectrum</w:t>
            </w:r>
          </w:p>
          <w:p w14:paraId="62C0BF5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f, </w:t>
            </w: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xfft</w:t>
            </w:r>
            <w:proofErr w:type="spellEnd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779446D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xlim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[0 3000]);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Limit x-axis to 3000Hz</w:t>
            </w:r>
          </w:p>
          <w:p w14:paraId="2242B894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title(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'Amplitude Spectrum'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74AFDB55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'Frequency (Hz)'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97E365B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'Magnitude'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9F7F8E2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5913B5F0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Plot the spectrogram</w:t>
            </w:r>
          </w:p>
          <w:p w14:paraId="6437AF19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figure;</w:t>
            </w:r>
            <w:proofErr w:type="gramEnd"/>
          </w:p>
          <w:p w14:paraId="47453609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subplot(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2,1,1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4536DCF2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spectrogram(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x, 256, 250, 256, fs, 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</w:t>
            </w:r>
            <w:proofErr w:type="spellStart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yaxis</w:t>
            </w:r>
            <w:proofErr w:type="spell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64C71C69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title(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'Spectrogram'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4599C295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'Time (s)'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36CAB12F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'Frequency (kHz)'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18FC36DC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colorbar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;</w:t>
            </w:r>
            <w:proofErr w:type="gramEnd"/>
          </w:p>
          <w:p w14:paraId="1ED16726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626ECC62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</w:p>
          <w:p w14:paraId="4FA3B28D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lastRenderedPageBreak/>
              <w:t>% Compute and plot the second spectrogram with the same window size but</w:t>
            </w:r>
          </w:p>
          <w:p w14:paraId="5605BB17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limited y-axis</w:t>
            </w:r>
          </w:p>
          <w:p w14:paraId="34E74277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subplot(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2,1,2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26ED924B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spectrogram(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x, 256, 250, 256, fs, </w:t>
            </w:r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</w:t>
            </w:r>
            <w:proofErr w:type="spellStart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yaxis</w:t>
            </w:r>
            <w:proofErr w:type="spell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03121088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title(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'Spectrogram with zoom on y-axis'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6710D73E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xlabel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'Time (s)'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0C1E5B51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ylabel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color w:val="A709F5"/>
                <w:kern w:val="0"/>
                <w:sz w:val="16"/>
                <w:szCs w:val="16"/>
                <w:lang w:val="en-GB" w:eastAsia="da-DK"/>
                <w14:ligatures w14:val="none"/>
              </w:rPr>
              <w:t>'Frequency (kHz)'</w:t>
            </w:r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);</w:t>
            </w:r>
            <w:proofErr w:type="gramEnd"/>
          </w:p>
          <w:p w14:paraId="03A1EB3A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</w:pPr>
            <w:proofErr w:type="spellStart"/>
            <w:proofErr w:type="gram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ylim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>(</w:t>
            </w:r>
            <w:proofErr w:type="gram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val="en-GB" w:eastAsia="da-DK"/>
                <w14:ligatures w14:val="none"/>
              </w:rPr>
              <w:t xml:space="preserve">[0 5]); </w:t>
            </w:r>
            <w:r w:rsidRPr="00936651">
              <w:rPr>
                <w:rFonts w:ascii="Menlo" w:eastAsia="Times New Roman" w:hAnsi="Menlo" w:cs="Menlo"/>
                <w:color w:val="008013"/>
                <w:kern w:val="0"/>
                <w:sz w:val="16"/>
                <w:szCs w:val="16"/>
                <w:lang w:val="en-GB" w:eastAsia="da-DK"/>
                <w14:ligatures w14:val="none"/>
              </w:rPr>
              <w:t>% Limit y-axis to 5 kHz</w:t>
            </w:r>
          </w:p>
          <w:p w14:paraId="75C9B768" w14:textId="77777777" w:rsidR="00936651" w:rsidRPr="00936651" w:rsidRDefault="00936651" w:rsidP="00936651">
            <w:pPr>
              <w:spacing w:line="240" w:lineRule="auto"/>
              <w:rPr>
                <w:rFonts w:ascii="Menlo" w:eastAsia="Times New Roman" w:hAnsi="Menlo" w:cs="Menlo"/>
                <w:kern w:val="0"/>
                <w:sz w:val="16"/>
                <w:szCs w:val="16"/>
                <w:lang w:eastAsia="da-DK"/>
                <w14:ligatures w14:val="none"/>
              </w:rPr>
            </w:pPr>
            <w:proofErr w:type="spellStart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eastAsia="da-DK"/>
                <w14:ligatures w14:val="none"/>
              </w:rPr>
              <w:t>colorbar</w:t>
            </w:r>
            <w:proofErr w:type="spellEnd"/>
            <w:r w:rsidRPr="00936651">
              <w:rPr>
                <w:rFonts w:ascii="Menlo" w:eastAsia="Times New Roman" w:hAnsi="Menlo" w:cs="Menlo"/>
                <w:kern w:val="0"/>
                <w:sz w:val="16"/>
                <w:szCs w:val="16"/>
                <w:lang w:eastAsia="da-DK"/>
                <w14:ligatures w14:val="none"/>
              </w:rPr>
              <w:t>;</w:t>
            </w:r>
          </w:p>
          <w:p w14:paraId="18FC3341" w14:textId="77777777" w:rsidR="00B43701" w:rsidRPr="00936651" w:rsidRDefault="00B43701" w:rsidP="00936651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50FBAB65" w14:textId="77777777" w:rsidR="00B43701" w:rsidRPr="00D34392" w:rsidRDefault="00B43701" w:rsidP="00D34392"/>
    <w:p w14:paraId="3DCDF242" w14:textId="77777777" w:rsidR="007B4A73" w:rsidRPr="007B4A73" w:rsidRDefault="007B4A73" w:rsidP="007B4A73">
      <w:pPr>
        <w:pStyle w:val="Heading2"/>
      </w:pPr>
      <w:r w:rsidRPr="007B4A73">
        <w:t>Resultater</w:t>
      </w:r>
    </w:p>
    <w:p w14:paraId="49B10C4E" w14:textId="77777777" w:rsidR="007B4A73" w:rsidRDefault="007B4A73" w:rsidP="007B4A73">
      <w:pPr>
        <w:rPr>
          <w:rStyle w:val="Heading3Char"/>
        </w:rPr>
      </w:pPr>
      <w:r w:rsidRPr="007B4A73">
        <w:rPr>
          <w:rStyle w:val="Heading3Char"/>
        </w:rPr>
        <w:t>Tidsdomæne: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34CBE" w14:paraId="5BDD1125" w14:textId="77777777" w:rsidTr="00234CBE">
        <w:tc>
          <w:tcPr>
            <w:tcW w:w="9016" w:type="dxa"/>
          </w:tcPr>
          <w:p w14:paraId="2E121FCD" w14:textId="77777777" w:rsidR="00234CBE" w:rsidRDefault="00234CBE" w:rsidP="00234CBE">
            <w:pPr>
              <w:keepNext/>
            </w:pPr>
            <w:r w:rsidRPr="00234CBE">
              <w:drawing>
                <wp:inline distT="0" distB="0" distL="0" distR="0" wp14:anchorId="4796D8F4" wp14:editId="34E1A4B8">
                  <wp:extent cx="4908550" cy="3295650"/>
                  <wp:effectExtent l="0" t="0" r="6350" b="0"/>
                  <wp:docPr id="386458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458894" name=""/>
                          <pic:cNvPicPr/>
                        </pic:nvPicPr>
                        <pic:blipFill rotWithShape="1">
                          <a:blip r:embed="rId8"/>
                          <a:srcRect l="5097" t="24079" r="9262" b="24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AF51AC" w14:textId="1E1C4BA4" w:rsidR="00234CBE" w:rsidRDefault="00234CBE" w:rsidP="00234CBE">
            <w:pPr>
              <w:pStyle w:val="Caption"/>
            </w:pPr>
            <w:bookmarkStart w:id="0" w:name="_Ref212807408"/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52A7C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 xml:space="preserve"> - Plot af signalet i tids-domænet</w:t>
            </w:r>
          </w:p>
        </w:tc>
      </w:tr>
    </w:tbl>
    <w:p w14:paraId="20D39D41" w14:textId="03AC4F01" w:rsidR="007B4A73" w:rsidRDefault="007B4A73" w:rsidP="007B4A73">
      <w:r w:rsidRPr="007B4A73">
        <w:br/>
        <w:t>Signalet viser tydelige variationer i amplitude, som svarer til tale</w:t>
      </w:r>
      <w:r w:rsidR="002B0CF3">
        <w:t xml:space="preserve"> på </w:t>
      </w:r>
      <w:r w:rsidR="002B0CF3">
        <w:fldChar w:fldCharType="begin"/>
      </w:r>
      <w:r w:rsidR="002B0CF3">
        <w:instrText xml:space="preserve"> REF _Ref212807408 \h </w:instrText>
      </w:r>
      <w:r w:rsidR="002B0CF3">
        <w:fldChar w:fldCharType="separate"/>
      </w:r>
      <w:r w:rsidR="002B0CF3">
        <w:t xml:space="preserve">Figur </w:t>
      </w:r>
      <w:r w:rsidR="002B0CF3">
        <w:rPr>
          <w:noProof/>
        </w:rPr>
        <w:t>1</w:t>
      </w:r>
      <w:r w:rsidR="002B0CF3">
        <w:fldChar w:fldCharType="end"/>
      </w:r>
      <w:r w:rsidRPr="007B4A73">
        <w:t>. Der ses også en mindre periodisk komponent, der tyder på tilstedeværelsen af en ren tone oven på talesignalet.</w:t>
      </w:r>
      <w:r w:rsidR="008B45ED">
        <w:t xml:space="preserve"> Dette ses som </w:t>
      </w:r>
      <w:r w:rsidR="00DC3714">
        <w:t>den ”tykke streg” omkring 0 på y-aksen</w:t>
      </w:r>
      <w:r w:rsidR="0049754E">
        <w:t>. Vi ser derudover at signalet ikke har noget DC-offset.</w:t>
      </w:r>
    </w:p>
    <w:p w14:paraId="1D93983A" w14:textId="77777777" w:rsidR="00987EF4" w:rsidRDefault="00987EF4" w:rsidP="007B4A73"/>
    <w:p w14:paraId="37FBCB78" w14:textId="77777777" w:rsidR="00987EF4" w:rsidRDefault="00987EF4" w:rsidP="007B4A73"/>
    <w:p w14:paraId="584C4ED0" w14:textId="77777777" w:rsidR="00987EF4" w:rsidRDefault="00987EF4" w:rsidP="007B4A73"/>
    <w:p w14:paraId="606B182A" w14:textId="77777777" w:rsidR="00987EF4" w:rsidRDefault="00987EF4" w:rsidP="007B4A73"/>
    <w:p w14:paraId="75FA8920" w14:textId="77777777" w:rsidR="00987EF4" w:rsidRPr="007B4A73" w:rsidRDefault="00987EF4" w:rsidP="007B4A73"/>
    <w:p w14:paraId="00DDFFED" w14:textId="77777777" w:rsidR="0049754E" w:rsidRDefault="007B4A73" w:rsidP="007B4A73">
      <w:pPr>
        <w:rPr>
          <w:rStyle w:val="Heading3Char"/>
        </w:rPr>
      </w:pPr>
      <w:r w:rsidRPr="007B4A73">
        <w:rPr>
          <w:rStyle w:val="Heading3Char"/>
        </w:rPr>
        <w:lastRenderedPageBreak/>
        <w:t>Amplitudespektrum: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87EF4" w14:paraId="6D301320" w14:textId="77777777" w:rsidTr="00987EF4">
        <w:tc>
          <w:tcPr>
            <w:tcW w:w="9016" w:type="dxa"/>
          </w:tcPr>
          <w:p w14:paraId="3ED0AF3E" w14:textId="77777777" w:rsidR="00987EF4" w:rsidRDefault="00987EF4" w:rsidP="00987EF4">
            <w:pPr>
              <w:keepNext/>
            </w:pPr>
            <w:r w:rsidRPr="00987EF4">
              <w:drawing>
                <wp:inline distT="0" distB="0" distL="0" distR="0" wp14:anchorId="4D486403" wp14:editId="46F0F3E6">
                  <wp:extent cx="5073650" cy="3359150"/>
                  <wp:effectExtent l="0" t="0" r="0" b="0"/>
                  <wp:docPr id="1393555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555355" name=""/>
                          <pic:cNvPicPr/>
                        </pic:nvPicPr>
                        <pic:blipFill rotWithShape="1">
                          <a:blip r:embed="rId9"/>
                          <a:srcRect l="4875" t="25071" r="66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0" cy="33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8A9982" w14:textId="360EFC33" w:rsidR="00987EF4" w:rsidRDefault="00987EF4" w:rsidP="00987EF4">
            <w:pPr>
              <w:pStyle w:val="Caption"/>
            </w:pPr>
            <w:bookmarkStart w:id="1" w:name="_Ref212807392"/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52A7C"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 xml:space="preserve"> - Subplot af amplitude spektrum. Øverst i fuld skala og nederst fra 0-3kHz.</w:t>
            </w:r>
          </w:p>
        </w:tc>
      </w:tr>
    </w:tbl>
    <w:p w14:paraId="714480D4" w14:textId="28A21D50" w:rsidR="00900E6F" w:rsidRDefault="007B4A73" w:rsidP="007B4A73">
      <w:r w:rsidRPr="007B4A73">
        <w:br/>
        <w:t>I frekvensdomænet</w:t>
      </w:r>
      <w:r w:rsidR="002B0CF3">
        <w:t xml:space="preserve"> på </w:t>
      </w:r>
      <w:r w:rsidR="002B0CF3">
        <w:fldChar w:fldCharType="begin"/>
      </w:r>
      <w:r w:rsidR="002B0CF3">
        <w:instrText xml:space="preserve"> REF _Ref212807392 \h </w:instrText>
      </w:r>
      <w:r w:rsidR="002B0CF3">
        <w:fldChar w:fldCharType="separate"/>
      </w:r>
      <w:r w:rsidR="002B0CF3">
        <w:t xml:space="preserve">Figur </w:t>
      </w:r>
      <w:r w:rsidR="002B0CF3">
        <w:rPr>
          <w:noProof/>
        </w:rPr>
        <w:t>2</w:t>
      </w:r>
      <w:r w:rsidR="002B0CF3">
        <w:fldChar w:fldCharType="end"/>
      </w:r>
      <w:r w:rsidRPr="007B4A73">
        <w:t xml:space="preserve"> fremtræder et markant peak, som indikerer en dominerende sinuskomponent. Denne peak-frekvens aflæses til ca. </w:t>
      </w:r>
      <w:r w:rsidR="009510D5" w:rsidRPr="009510D5">
        <w:t>785 Hz</w:t>
      </w:r>
      <w:r w:rsidRPr="007B4A73">
        <w:t>, hvilket</w:t>
      </w:r>
      <w:r w:rsidR="009510D5">
        <w:t xml:space="preserve"> umiddelbart</w:t>
      </w:r>
      <w:r w:rsidRPr="007B4A73">
        <w:t xml:space="preserve"> stemmer overens med den hørbare tone i signalet. Resten af spektret består af bredbåndet energi fra tale-komponenterne</w:t>
      </w:r>
      <w:r w:rsidR="007F1160">
        <w:t xml:space="preserve">. </w:t>
      </w:r>
    </w:p>
    <w:p w14:paraId="6E4B4453" w14:textId="77777777" w:rsidR="00900E6F" w:rsidRDefault="00900E6F">
      <w:pPr>
        <w:spacing w:line="259" w:lineRule="auto"/>
      </w:pPr>
      <w:r>
        <w:br w:type="page"/>
      </w:r>
    </w:p>
    <w:p w14:paraId="50034605" w14:textId="77777777" w:rsidR="007B4A73" w:rsidRPr="007B4A73" w:rsidRDefault="007B4A73" w:rsidP="007B4A73"/>
    <w:p w14:paraId="63120A1A" w14:textId="77777777" w:rsidR="002B0CF3" w:rsidRDefault="007B4A73" w:rsidP="007B4A73">
      <w:pPr>
        <w:rPr>
          <w:rStyle w:val="Heading3Char"/>
        </w:rPr>
      </w:pPr>
      <w:r w:rsidRPr="007B4A73">
        <w:rPr>
          <w:rStyle w:val="Heading3Char"/>
        </w:rPr>
        <w:t>Spektrogram: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B0CF3" w14:paraId="387ECE3E" w14:textId="77777777" w:rsidTr="00900E6F">
        <w:tc>
          <w:tcPr>
            <w:tcW w:w="9016" w:type="dxa"/>
          </w:tcPr>
          <w:p w14:paraId="5B388303" w14:textId="77777777" w:rsidR="00900E6F" w:rsidRDefault="00900E6F" w:rsidP="00900E6F">
            <w:pPr>
              <w:keepNext/>
            </w:pPr>
            <w:r w:rsidRPr="00900E6F">
              <w:drawing>
                <wp:inline distT="0" distB="0" distL="0" distR="0" wp14:anchorId="7AEA279D" wp14:editId="082ADC93">
                  <wp:extent cx="5010150" cy="3257550"/>
                  <wp:effectExtent l="0" t="0" r="0" b="0"/>
                  <wp:docPr id="2031626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26206" name=""/>
                          <pic:cNvPicPr/>
                        </pic:nvPicPr>
                        <pic:blipFill rotWithShape="1">
                          <a:blip r:embed="rId10"/>
                          <a:srcRect l="6204" t="25497" r="6381" b="1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4086C4" w14:textId="262600F3" w:rsidR="002B0CF3" w:rsidRDefault="00900E6F" w:rsidP="00900E6F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52A7C">
              <w:rPr>
                <w:noProof/>
              </w:rPr>
              <w:t>3</w:t>
            </w:r>
            <w:r>
              <w:fldChar w:fldCharType="end"/>
            </w:r>
            <w:r>
              <w:t xml:space="preserve"> - </w:t>
            </w:r>
            <w:proofErr w:type="spellStart"/>
            <w:r>
              <w:t>Spektogram</w:t>
            </w:r>
            <w:proofErr w:type="spellEnd"/>
            <w:r>
              <w:t xml:space="preserve"> af signalet, med frekvenser op ad y-aksen og tid i sekunder ud ad x-aksen. Øverst ses </w:t>
            </w:r>
            <w:proofErr w:type="spellStart"/>
            <w:r>
              <w:t>spektogrammet</w:t>
            </w:r>
            <w:proofErr w:type="spellEnd"/>
            <w:r>
              <w:t xml:space="preserve"> i fuld skala (0-fs/2) og nederst er den begrænset til </w:t>
            </w:r>
            <w:proofErr w:type="spellStart"/>
            <w:r>
              <w:t>kune</w:t>
            </w:r>
            <w:proofErr w:type="spellEnd"/>
            <w:r>
              <w:t xml:space="preserve"> at vise fra 0-5 kHz.</w:t>
            </w:r>
          </w:p>
        </w:tc>
      </w:tr>
    </w:tbl>
    <w:p w14:paraId="6C0F4A63" w14:textId="540AF5A3" w:rsidR="007B4A73" w:rsidRPr="007B4A73" w:rsidRDefault="007B4A73" w:rsidP="007B4A73">
      <w:r w:rsidRPr="007B4A73">
        <w:br/>
        <w:t>Spektrogrammet viser, at den dominerende tone ligger konstant over hele optagelsen</w:t>
      </w:r>
      <w:r w:rsidR="00900E6F">
        <w:t>,</w:t>
      </w:r>
      <w:r w:rsidRPr="007B4A73">
        <w:t xml:space="preserve"> </w:t>
      </w:r>
      <w:r w:rsidR="00900E6F">
        <w:t xml:space="preserve">som </w:t>
      </w:r>
      <w:r w:rsidRPr="007B4A73">
        <w:t>vandret</w:t>
      </w:r>
      <w:r w:rsidR="00900E6F">
        <w:t xml:space="preserve"> gul/orange</w:t>
      </w:r>
      <w:r w:rsidRPr="007B4A73">
        <w:t xml:space="preserve"> linje omkring </w:t>
      </w:r>
      <w:r w:rsidR="00900E6F">
        <w:t>750</w:t>
      </w:r>
      <w:r w:rsidRPr="007B4A73">
        <w:t xml:space="preserve"> Hz, mens taleelementerne fremstår som kortvarige energiudladninger i forskellige frekvensbånd. Dette bekræfter, at den uønskede tone er stationær i tid, og dermed kan fjernes med et smalt </w:t>
      </w:r>
      <w:proofErr w:type="spellStart"/>
      <w:r w:rsidRPr="007B4A73">
        <w:t>notch</w:t>
      </w:r>
      <w:proofErr w:type="spellEnd"/>
      <w:r w:rsidRPr="007B4A73">
        <w:t>-filter i næste opgave.</w:t>
      </w:r>
    </w:p>
    <w:p w14:paraId="5219D79F" w14:textId="1E0DCBA5" w:rsidR="00511C3E" w:rsidRPr="00511C3E" w:rsidRDefault="00511C3E" w:rsidP="00511C3E">
      <w:pPr>
        <w:pStyle w:val="Heading2"/>
      </w:pPr>
      <w:r>
        <w:t>K</w:t>
      </w:r>
      <w:r w:rsidRPr="00511C3E">
        <w:t>onklusion</w:t>
      </w:r>
    </w:p>
    <w:p w14:paraId="4471CC33" w14:textId="77777777" w:rsidR="00511C3E" w:rsidRPr="00511C3E" w:rsidRDefault="00511C3E" w:rsidP="00511C3E">
      <w:r w:rsidRPr="00511C3E">
        <w:t>Ud fra analysen ses, at:</w:t>
      </w:r>
    </w:p>
    <w:p w14:paraId="5CB38768" w14:textId="0B9D3F29" w:rsidR="00511C3E" w:rsidRPr="00511C3E" w:rsidRDefault="00511C3E" w:rsidP="00511C3E">
      <w:pPr>
        <w:numPr>
          <w:ilvl w:val="0"/>
          <w:numId w:val="1"/>
        </w:numPr>
      </w:pPr>
      <w:r w:rsidRPr="00511C3E">
        <w:t xml:space="preserve">Den uønskede tone har en frekvens på </w:t>
      </w:r>
      <w:r>
        <w:t>ca. 785 Hz</w:t>
      </w:r>
      <w:r w:rsidRPr="00511C3E">
        <w:t>.</w:t>
      </w:r>
    </w:p>
    <w:p w14:paraId="6E5E9A8A" w14:textId="6A262304" w:rsidR="00511C3E" w:rsidRPr="00511C3E" w:rsidRDefault="00511C3E" w:rsidP="00511C3E">
      <w:pPr>
        <w:numPr>
          <w:ilvl w:val="0"/>
          <w:numId w:val="1"/>
        </w:numPr>
      </w:pPr>
      <w:r w:rsidRPr="00511C3E">
        <w:t>Tonen er stationær</w:t>
      </w:r>
      <w:r>
        <w:t>/</w:t>
      </w:r>
      <w:r w:rsidRPr="00511C3E">
        <w:t>konstant i tid, mens taleindholdet er ikke-stationært.</w:t>
      </w:r>
    </w:p>
    <w:p w14:paraId="7E01A2A1" w14:textId="6B375CA7" w:rsidR="00511C3E" w:rsidRDefault="00511C3E" w:rsidP="004C1191">
      <w:pPr>
        <w:numPr>
          <w:ilvl w:val="0"/>
          <w:numId w:val="1"/>
        </w:numPr>
      </w:pPr>
      <w:r w:rsidRPr="00511C3E">
        <w:t xml:space="preserve">Der kan derfor med fordel anvendes et </w:t>
      </w:r>
      <w:proofErr w:type="spellStart"/>
      <w:r w:rsidRPr="00511C3E">
        <w:t>notch</w:t>
      </w:r>
      <w:proofErr w:type="spellEnd"/>
      <w:r w:rsidRPr="00511C3E">
        <w:t xml:space="preserve">-filter centreret </w:t>
      </w:r>
      <w:proofErr w:type="gramStart"/>
      <w:r w:rsidRPr="00511C3E">
        <w:t xml:space="preserve">omkring </w:t>
      </w:r>
      <w:r>
        <w:t xml:space="preserve"> 785</w:t>
      </w:r>
      <w:proofErr w:type="gramEnd"/>
      <w:r>
        <w:t xml:space="preserve"> </w:t>
      </w:r>
      <w:r w:rsidRPr="00511C3E">
        <w:t>Hz i opgave 2 for at fjerne tonen uden at påvirke talen væsentligt.</w:t>
      </w:r>
    </w:p>
    <w:p w14:paraId="49468BC6" w14:textId="326CFBB4" w:rsidR="004C1191" w:rsidRDefault="004C1191">
      <w:pPr>
        <w:spacing w:line="259" w:lineRule="auto"/>
      </w:pPr>
      <w:r>
        <w:br w:type="page"/>
      </w:r>
    </w:p>
    <w:p w14:paraId="1A00FAE4" w14:textId="09460A1E" w:rsidR="004C1191" w:rsidRDefault="004C1191" w:rsidP="004C1191">
      <w:pPr>
        <w:pStyle w:val="Heading1"/>
      </w:pPr>
      <w:r>
        <w:lastRenderedPageBreak/>
        <w:t xml:space="preserve">Opgave 2 </w:t>
      </w:r>
      <w:r w:rsidR="00C764BF">
        <w:t>–</w:t>
      </w:r>
      <w:r>
        <w:t xml:space="preserve"> </w:t>
      </w:r>
      <w:r w:rsidR="00C764BF">
        <w:t xml:space="preserve">IIR </w:t>
      </w:r>
      <w:proofErr w:type="spellStart"/>
      <w:r w:rsidR="00C764BF">
        <w:t>notch</w:t>
      </w:r>
      <w:proofErr w:type="spellEnd"/>
      <w:r w:rsidR="00C764BF">
        <w:t xml:space="preserve"> filter design</w:t>
      </w:r>
    </w:p>
    <w:p w14:paraId="15136DFC" w14:textId="77777777" w:rsidR="00EF04C2" w:rsidRPr="00EF04C2" w:rsidRDefault="00EF04C2" w:rsidP="00EF04C2">
      <w:pPr>
        <w:pStyle w:val="Heading2"/>
      </w:pPr>
      <w:r w:rsidRPr="00EF04C2">
        <w:t>Formål</w:t>
      </w:r>
    </w:p>
    <w:p w14:paraId="744DF434" w14:textId="4EF50D68" w:rsidR="00C764BF" w:rsidRDefault="00EF04C2" w:rsidP="00C764BF">
      <w:r w:rsidRPr="00EF04C2">
        <w:t xml:space="preserve">I opgave 1 blev der identificeret en dominerende, uønsket tone i lydsignalet </w:t>
      </w:r>
      <w:r w:rsidR="002475E6">
        <w:t xml:space="preserve">- </w:t>
      </w:r>
      <w:r w:rsidRPr="00EF04C2">
        <w:t xml:space="preserve">en konstant hyletone omkring </w:t>
      </w:r>
      <w:r w:rsidR="002475E6">
        <w:t xml:space="preserve">785 </w:t>
      </w:r>
      <w:r w:rsidRPr="00EF04C2">
        <w:t xml:space="preserve">Hz. Formålet med denne opgave er at designe et digitalt </w:t>
      </w:r>
      <w:proofErr w:type="spellStart"/>
      <w:r w:rsidRPr="00EF04C2">
        <w:t>notch</w:t>
      </w:r>
      <w:proofErr w:type="spellEnd"/>
      <w:r w:rsidRPr="00EF04C2">
        <w:t>-filter, der dæmper netop denne frekvens uden at fjerne den resterende tale.</w:t>
      </w:r>
    </w:p>
    <w:p w14:paraId="6AFE9E0C" w14:textId="77777777" w:rsidR="00E3240C" w:rsidRPr="00E3240C" w:rsidRDefault="00E3240C" w:rsidP="00E3240C">
      <w:pPr>
        <w:pStyle w:val="Heading2"/>
      </w:pPr>
      <w:r w:rsidRPr="00E3240C">
        <w:t>Teori</w:t>
      </w:r>
    </w:p>
    <w:p w14:paraId="450231AA" w14:textId="77777777" w:rsidR="00E3240C" w:rsidRPr="00E3240C" w:rsidRDefault="00E3240C" w:rsidP="00E3240C">
      <w:pPr>
        <w:pStyle w:val="Heading3"/>
      </w:pPr>
      <w:r w:rsidRPr="00E3240C">
        <w:t>IIR-filter, poler og nulpunkter</w:t>
      </w:r>
    </w:p>
    <w:p w14:paraId="00381D28" w14:textId="77777777" w:rsidR="00E3240C" w:rsidRPr="00E3240C" w:rsidRDefault="00E3240C" w:rsidP="00E3240C">
      <w:r w:rsidRPr="00E3240C">
        <w:t>Et lineært tidsinvariant digitalt IIR-filter kan beskrives ved sin overføringsfunktion i z-domænet:</w:t>
      </w:r>
    </w:p>
    <w:p w14:paraId="21993705" w14:textId="77777777" w:rsidR="000E1B1E" w:rsidRPr="000E1B1E" w:rsidRDefault="00E3240C" w:rsidP="00E324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H(z)=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X(z)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1402AD28" w14:textId="08314C13" w:rsidR="00E77451" w:rsidRDefault="000E1B1E" w:rsidP="00E13819">
      <w:r w:rsidRPr="000E1B1E">
        <w:t xml:space="preserve">hvor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1B1E">
        <w:t xml:space="preserve">er tællerkoefficienter og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1B1E">
        <w:t xml:space="preserve">er nævnerkoefficienter. For et 2.-ordens system svarer de komplekse konjugerede nulpunkter til rødderne i tælleren, og polerne til rødderne i nævneren. Et </w:t>
      </w:r>
      <w:proofErr w:type="spellStart"/>
      <w:r w:rsidRPr="000E1B1E">
        <w:t>notch</w:t>
      </w:r>
      <w:proofErr w:type="spellEnd"/>
      <w:r w:rsidRPr="000E1B1E">
        <w:t>-filter konstrueres ved at</w:t>
      </w:r>
      <w:r w:rsidR="00E13819">
        <w:t xml:space="preserve"> </w:t>
      </w:r>
      <w:r w:rsidRPr="000E1B1E">
        <w:t>placere et par nulpunkter præcis på enhedscirklen ved den frekvens, der skal fjernes</w:t>
      </w:r>
      <w:r w:rsidR="00E13819">
        <w:t xml:space="preserve"> </w:t>
      </w:r>
      <w:r w:rsidRPr="000E1B1E">
        <w:t>og placere tilsvarende poler meget tæt på (men indenfor) enhedscirklen ved samme vinkel</w:t>
      </w:r>
      <w:r w:rsidR="00C86A2F">
        <w:t xml:space="preserve"> [1]</w:t>
      </w:r>
      <w:r w:rsidRPr="000E1B1E">
        <w:t xml:space="preserve">. </w:t>
      </w:r>
      <w:r w:rsidR="00066FE9">
        <w:t xml:space="preserve">Ved at gøre det på denne måde sikrer vi at vi dæmper </w:t>
      </w:r>
      <w:r w:rsidR="00996DC7">
        <w:t xml:space="preserve">den specifikke frekvens, fordi nulpunktet ligger netop </w:t>
      </w:r>
      <w:r w:rsidR="006604E6">
        <w:t>på enhedscirklen og</w:t>
      </w:r>
      <w:r w:rsidR="007A753F">
        <w:t xml:space="preserve"> nabofrekvenserne kun </w:t>
      </w:r>
      <w:r w:rsidR="008C424C">
        <w:t xml:space="preserve">påvirkes/dæmpes en smule, fordi polerne ligger tæt på </w:t>
      </w:r>
      <w:r w:rsidR="004867E8">
        <w:t xml:space="preserve">nulpunkterne. På denne måde dræber vi dermed ikke et </w:t>
      </w:r>
      <w:r w:rsidR="007B2486">
        <w:t>for bredt frekvensbånd. Vi kan dog ikke helt undgå at påvirke nabofrekvenserne en smule.</w:t>
      </w:r>
    </w:p>
    <w:p w14:paraId="4825CE38" w14:textId="633B3A85" w:rsidR="007B2486" w:rsidRDefault="00A41A77" w:rsidP="00A41A77">
      <w:pPr>
        <w:pStyle w:val="Heading3"/>
      </w:pPr>
      <w:r>
        <w:t>Vinkelfrekvens</w:t>
      </w:r>
    </w:p>
    <w:p w14:paraId="4BB478AB" w14:textId="18B76AA1" w:rsidR="00CB0457" w:rsidRPr="00CB0457" w:rsidRDefault="00A41A77" w:rsidP="00CB0457">
      <w:r>
        <w:t xml:space="preserve">Den diskrete vinkelfrekvens </w:t>
      </w:r>
      <w:r w:rsidR="00CB0457">
        <w:t>for tonen er givet ved</w:t>
      </w:r>
    </w:p>
    <w:p w14:paraId="65860C7D" w14:textId="0E9FA954" w:rsidR="00CB0457" w:rsidRPr="00CB0457" w:rsidRDefault="00CB0457" w:rsidP="00CB04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m:t>tone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br/>
          </m:r>
        </m:oMath>
      </m:oMathPara>
    </w:p>
    <w:p w14:paraId="429A7B69" w14:textId="59D4447E" w:rsidR="00974CB0" w:rsidRDefault="00AF7F69" w:rsidP="00AF7F69">
      <w:r w:rsidRPr="00AF7F69">
        <w:t>H</w:t>
      </w:r>
      <w:r w:rsidRPr="00AF7F69">
        <w:t>vor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m:t>tone</m:t>
            </m:r>
          </m:sub>
        </m:sSub>
      </m:oMath>
      <w:r w:rsidRPr="00AF7F69">
        <w:t>er den uønskede tonefrekvens i Hz (785 Hz i vores beregninger)</w:t>
      </w:r>
      <w:r>
        <w:t xml:space="preserve"> og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AF7F69">
        <w:t xml:space="preserve">er samplingsfrekvensen (her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=48000</m:t>
        </m:r>
      </m:oMath>
      <w:r w:rsidRPr="00AF7F69">
        <w:t>Hz).</w:t>
      </w:r>
      <w:r w:rsidR="00021F1B">
        <w:t xml:space="preserve"> </w:t>
      </w:r>
      <w:r w:rsidR="00021F1B" w:rsidRPr="00021F1B">
        <w:t xml:space="preserve">Denne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1F1B" w:rsidRPr="00021F1B">
        <w:t>bestemmer, hvor i z-planen vi placerer poler og nulpunkter.</w:t>
      </w:r>
    </w:p>
    <w:p w14:paraId="3F54898A" w14:textId="77777777" w:rsidR="00974CB0" w:rsidRDefault="00974CB0">
      <w:pPr>
        <w:spacing w:line="259" w:lineRule="auto"/>
      </w:pPr>
      <w:r>
        <w:br w:type="page"/>
      </w:r>
    </w:p>
    <w:p w14:paraId="7A1384A2" w14:textId="77777777" w:rsidR="00AF7F69" w:rsidRDefault="00AF7F69" w:rsidP="00AF7F69"/>
    <w:p w14:paraId="72FD2701" w14:textId="21260B5B" w:rsidR="000961B4" w:rsidRDefault="00C044EA" w:rsidP="00C044EA">
      <w:pPr>
        <w:pStyle w:val="Heading3"/>
      </w:pPr>
      <w:r>
        <w:t>Overføringsfunktion</w:t>
      </w:r>
    </w:p>
    <w:p w14:paraId="3228CFC4" w14:textId="7BD2B3AE" w:rsidR="00C044EA" w:rsidRDefault="004D7E78" w:rsidP="00C044EA">
      <w:r>
        <w:t xml:space="preserve">Vi </w:t>
      </w:r>
      <w:r w:rsidR="009B089B">
        <w:t>ved fra [1] at vi kan opstille vores overføringsfunktion for et 2. ordens IIR-filter som:</w:t>
      </w:r>
    </w:p>
    <w:p w14:paraId="1A2BD572" w14:textId="4A2494F5" w:rsidR="009B089B" w:rsidRPr="00C044EA" w:rsidRDefault="009B089B" w:rsidP="00C044EA">
      <w:r>
        <w:rPr>
          <w:noProof/>
        </w:rPr>
        <w:drawing>
          <wp:inline distT="0" distB="0" distL="0" distR="0" wp14:anchorId="787349D3" wp14:editId="36C1E4D2">
            <wp:extent cx="5731510" cy="662940"/>
            <wp:effectExtent l="0" t="0" r="2540" b="3810"/>
            <wp:docPr id="239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059" w14:textId="47EFE1A2" w:rsidR="00856067" w:rsidRPr="00856067" w:rsidRDefault="00856067" w:rsidP="00856067">
      <w:r w:rsidRPr="00856067">
        <w:t xml:space="preserve">Vi ønsker </w:t>
      </w:r>
      <w:r w:rsidR="00D815C1">
        <w:t>at dæmpe frekvensen</w:t>
      </w:r>
      <w:r w:rsidRPr="00856067">
        <w:t xml:space="preserve"> ved</w:t>
      </w:r>
      <w:r w:rsidR="00D815C1">
        <w:t xml:space="preserve"> netop</w:t>
      </w:r>
      <w:r w:rsidRPr="008560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56067">
        <w:t>. Det opnås ved at lægge to konjugerede nulpunkter på enhedscirklen:</w:t>
      </w:r>
    </w:p>
    <w:p w14:paraId="22647950" w14:textId="60B535AB" w:rsidR="00856067" w:rsidRPr="00856067" w:rsidRDefault="00856067" w:rsidP="00856067"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br/>
          </m:r>
        </m:oMath>
      </m:oMathPara>
    </w:p>
    <w:p w14:paraId="038EC9E2" w14:textId="4105052F" w:rsidR="00856067" w:rsidRPr="00856067" w:rsidRDefault="00856067" w:rsidP="00856067">
      <w:r w:rsidRPr="00856067">
        <w:t xml:space="preserve">Tælleren i </w:t>
      </w:r>
      <m:oMath>
        <m:r>
          <w:rPr>
            <w:rFonts w:ascii="Cambria Math" w:hAnsi="Cambria Math"/>
          </w:rPr>
          <m:t>H(z)</m:t>
        </m:r>
      </m:oMath>
      <w:r w:rsidRPr="00856067">
        <w:t>bliver dermed</w:t>
      </w:r>
      <w:r w:rsidR="0012155F">
        <w:t>:</w:t>
      </w:r>
    </w:p>
    <w:p w14:paraId="17E39216" w14:textId="00D2B9DF" w:rsidR="00856067" w:rsidRPr="00856067" w:rsidRDefault="00856067" w:rsidP="00856067">
      <m:oMathPara>
        <m:oMath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)=1-2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br/>
          </m:r>
        </m:oMath>
      </m:oMathPara>
    </w:p>
    <w:p w14:paraId="10680533" w14:textId="77777777" w:rsidR="00856067" w:rsidRPr="00856067" w:rsidRDefault="00856067" w:rsidP="00856067">
      <w:r w:rsidRPr="00856067">
        <w:t>Vi genkender koefficienterne:</w:t>
      </w:r>
    </w:p>
    <w:p w14:paraId="61D82432" w14:textId="77777777" w:rsidR="0012155F" w:rsidRPr="0012155F" w:rsidRDefault="00856067" w:rsidP="0085606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3E18C9D" w14:textId="323F25F3" w:rsidR="00266DBE" w:rsidRPr="00266DBE" w:rsidRDefault="00266DBE" w:rsidP="00266DBE">
      <w:pPr>
        <w:rPr>
          <w:b/>
          <w:bCs/>
        </w:rPr>
      </w:pPr>
    </w:p>
    <w:p w14:paraId="4EDC23EC" w14:textId="56C84EBD" w:rsidR="00266DBE" w:rsidRPr="00266DBE" w:rsidRDefault="00266DBE" w:rsidP="00266DBE">
      <w:r w:rsidRPr="00266DBE">
        <w:t xml:space="preserve">For at </w:t>
      </w:r>
      <w:proofErr w:type="spellStart"/>
      <w:r w:rsidRPr="00266DBE">
        <w:t>notch’en</w:t>
      </w:r>
      <w:proofErr w:type="spellEnd"/>
      <w:r w:rsidRPr="00266DBE">
        <w:t xml:space="preserve"> bliver smal (altså kun dæmper lige omkring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6DBE">
        <w:t xml:space="preserve">), placerer vi et par tilsvarende poler ikke på enhedscirklen, men med radius </w:t>
      </w:r>
      <m:oMath>
        <m:r>
          <w:rPr>
            <w:rFonts w:ascii="Cambria Math" w:hAnsi="Cambria Math"/>
          </w:rPr>
          <m:t>r&lt;1</m:t>
        </m:r>
      </m:oMath>
      <w:r w:rsidRPr="00266DBE">
        <w:t>:</w:t>
      </w:r>
    </w:p>
    <w:p w14:paraId="6E5AFA1C" w14:textId="72B317A3" w:rsidR="00266DBE" w:rsidRPr="00266DBE" w:rsidRDefault="00266DBE" w:rsidP="00266DBE">
      <m:oMathPara>
        <m:oMath>
          <m:r>
            <w:rPr>
              <w:rFonts w:ascii="Cambria Math" w:hAnsi="Cambria Math"/>
            </w:rPr>
            <m:t>z=r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br/>
          </m:r>
        </m:oMath>
      </m:oMathPara>
    </w:p>
    <w:p w14:paraId="3339FB29" w14:textId="2C855925" w:rsidR="00266DBE" w:rsidRDefault="00266DBE" w:rsidP="00266DBE">
      <w:r w:rsidRPr="00266DBE">
        <w:t xml:space="preserve">Dvs. samme vinkel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6DBE">
        <w:t>, men lidt inde i cirklen</w:t>
      </w:r>
      <w:r w:rsidR="00B377CC">
        <w:t xml:space="preserve">. </w:t>
      </w:r>
      <w:r w:rsidRPr="00266DBE">
        <w:t xml:space="preserve">Jo tættere </w:t>
      </w:r>
      <m:oMath>
        <m:r>
          <w:rPr>
            <w:rFonts w:ascii="Cambria Math" w:hAnsi="Cambria Math"/>
          </w:rPr>
          <m:t>r</m:t>
        </m:r>
      </m:oMath>
      <w:r w:rsidR="00B377CC">
        <w:rPr>
          <w:rFonts w:eastAsiaTheme="minorEastAsia"/>
        </w:rPr>
        <w:t xml:space="preserve"> </w:t>
      </w:r>
      <w:r w:rsidRPr="00266DBE">
        <w:t xml:space="preserve">er på 1, jo smallere og dybere </w:t>
      </w:r>
      <w:proofErr w:type="spellStart"/>
      <w:r w:rsidRPr="00266DBE">
        <w:t>notch</w:t>
      </w:r>
      <w:proofErr w:type="spellEnd"/>
      <w:r w:rsidRPr="00266DBE">
        <w:t>, men også jo “</w:t>
      </w:r>
      <w:proofErr w:type="spellStart"/>
      <w:r w:rsidRPr="00266DBE">
        <w:t>ringigere</w:t>
      </w:r>
      <w:proofErr w:type="spellEnd"/>
      <w:r w:rsidRPr="00266DBE">
        <w:t>” bliver systemet, fordi polerne ligger tæt på enhedscirklen og dermed har lang efterklang</w:t>
      </w:r>
      <w:r w:rsidR="002864A0">
        <w:t>.</w:t>
      </w:r>
    </w:p>
    <w:p w14:paraId="57C17A23" w14:textId="77777777" w:rsidR="00A73092" w:rsidRPr="00A73092" w:rsidRDefault="00A73092" w:rsidP="00A73092">
      <w:r w:rsidRPr="00A73092">
        <w:t>Nævneren bliver da:</w:t>
      </w:r>
    </w:p>
    <w:p w14:paraId="347762EA" w14:textId="775991D7" w:rsidR="00A73092" w:rsidRPr="00A73092" w:rsidRDefault="00A73092" w:rsidP="00A73092">
      <m:oMathPara>
        <m:oMath>
          <m:r>
            <w:rPr>
              <w:rFonts w:ascii="Cambria Math" w:hAnsi="Cambria Math"/>
            </w:rPr>
            <m:t>(1-r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)(1-r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)=1-2r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br/>
          </m:r>
        </m:oMath>
      </m:oMathPara>
    </w:p>
    <w:p w14:paraId="631A6872" w14:textId="77777777" w:rsidR="00A73092" w:rsidRPr="00A73092" w:rsidRDefault="00A73092" w:rsidP="00A73092">
      <w:r w:rsidRPr="00A73092">
        <w:t>Her kan vi aflæse</w:t>
      </w:r>
    </w:p>
    <w:p w14:paraId="0725DB86" w14:textId="4C01BC81" w:rsidR="00A73092" w:rsidRDefault="00A73092" w:rsidP="00A730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</m:oMathPara>
    </w:p>
    <w:p w14:paraId="79A96D10" w14:textId="77777777" w:rsidR="00A73092" w:rsidRDefault="00A73092">
      <w:pPr>
        <w:spacing w:line="259" w:lineRule="auto"/>
      </w:pPr>
      <w:r>
        <w:br w:type="page"/>
      </w:r>
    </w:p>
    <w:p w14:paraId="6D54099D" w14:textId="77777777" w:rsidR="00A73092" w:rsidRPr="00A73092" w:rsidRDefault="00A73092" w:rsidP="00A73092"/>
    <w:p w14:paraId="52634BB1" w14:textId="77777777" w:rsidR="00A73092" w:rsidRPr="00A73092" w:rsidRDefault="00A73092" w:rsidP="00A73092">
      <w:pPr>
        <w:pStyle w:val="Heading3"/>
      </w:pPr>
      <w:r w:rsidRPr="00A73092">
        <w:t>Samlet overføringsfunktion</w:t>
      </w:r>
    </w:p>
    <w:p w14:paraId="465B9EFD" w14:textId="02C7149D" w:rsidR="00A73092" w:rsidRPr="00A73092" w:rsidRDefault="00A73092" w:rsidP="00A73092">
      <w:r w:rsidRPr="00A73092">
        <w:t>Sætter vi tæller og nævner sammen, får</w:t>
      </w:r>
      <w:r>
        <w:t xml:space="preserve"> vi følgende overføringsfunktion:</w:t>
      </w:r>
    </w:p>
    <w:p w14:paraId="6DFA61C3" w14:textId="3DBBB28F" w:rsidR="00A73092" w:rsidRPr="00266DBE" w:rsidRDefault="00A73092" w:rsidP="00A73092">
      <m:oMathPara>
        <m:oMath>
          <m:r>
            <w:rPr>
              <w:rFonts w:ascii="Cambria Math" w:hAnsi="Cambria Math"/>
            </w:rPr>
            <m:t>H(z)=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X(z)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br/>
          </m:r>
        </m:oMath>
      </m:oMathPara>
    </w:p>
    <w:p w14:paraId="386B3F5E" w14:textId="0BEDD3B3" w:rsidR="00856067" w:rsidRDefault="00324A5D" w:rsidP="00856067">
      <w:r>
        <w:t>Hvor:</w:t>
      </w:r>
    </w:p>
    <w:p w14:paraId="355A659D" w14:textId="67F9134C" w:rsidR="00324A5D" w:rsidRPr="00324A5D" w:rsidRDefault="00324A5D" w:rsidP="008560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FEFD1AC" w14:textId="6DE8F8C0" w:rsidR="00324A5D" w:rsidRDefault="00324A5D" w:rsidP="008560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39C952" w14:textId="77777777" w:rsidR="00021F1B" w:rsidRPr="00AF7F69" w:rsidRDefault="00021F1B" w:rsidP="00AF7F69"/>
    <w:p w14:paraId="3EF52293" w14:textId="10228306" w:rsidR="00A41A77" w:rsidRDefault="00453F78" w:rsidP="00453F78">
      <w:pPr>
        <w:pStyle w:val="Heading3"/>
      </w:pPr>
      <w:r>
        <w:t>Differensligning</w:t>
      </w:r>
    </w:p>
    <w:p w14:paraId="57882419" w14:textId="77777777" w:rsidR="00453F78" w:rsidRPr="00453F78" w:rsidRDefault="00453F78" w:rsidP="00453F78"/>
    <w:p w14:paraId="77ECBB59" w14:textId="77777777" w:rsidR="00E0468D" w:rsidRDefault="00E0468D" w:rsidP="00E13819"/>
    <w:p w14:paraId="31E9C1E1" w14:textId="77777777" w:rsidR="00952A7C" w:rsidRDefault="00952A7C" w:rsidP="00E13819"/>
    <w:p w14:paraId="26F83CAE" w14:textId="77777777" w:rsidR="00952A7C" w:rsidRDefault="00952A7C" w:rsidP="00E138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2A7C" w14:paraId="5E39B0D2" w14:textId="77777777" w:rsidTr="00952A7C">
        <w:tc>
          <w:tcPr>
            <w:tcW w:w="9016" w:type="dxa"/>
          </w:tcPr>
          <w:p w14:paraId="14D59951" w14:textId="77777777" w:rsidR="00952A7C" w:rsidRDefault="00952A7C" w:rsidP="00952A7C">
            <w:pPr>
              <w:keepNext/>
            </w:pPr>
            <w:r w:rsidRPr="00952A7C">
              <w:drawing>
                <wp:inline distT="0" distB="0" distL="0" distR="0" wp14:anchorId="6E7AAF90" wp14:editId="594B8B12">
                  <wp:extent cx="4813300" cy="3257550"/>
                  <wp:effectExtent l="0" t="0" r="6350" b="0"/>
                  <wp:docPr id="2114584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84031" name=""/>
                          <pic:cNvPicPr/>
                        </pic:nvPicPr>
                        <pic:blipFill rotWithShape="1">
                          <a:blip r:embed="rId12"/>
                          <a:srcRect l="6869" t="24504" r="9152" b="28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391079" w14:textId="0CAB7401" w:rsidR="00952A7C" w:rsidRDefault="00952A7C" w:rsidP="00952A7C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- Plot af pol-nulpunkts diagram</w:t>
            </w:r>
            <w:r>
              <w:rPr>
                <w:noProof/>
              </w:rPr>
              <w:t xml:space="preserve"> for notch-filter til dæmpning af 785 Hz tone</w:t>
            </w:r>
          </w:p>
        </w:tc>
      </w:tr>
    </w:tbl>
    <w:p w14:paraId="609F78E0" w14:textId="77777777" w:rsidR="00952A7C" w:rsidRDefault="00952A7C" w:rsidP="00E13819"/>
    <w:p w14:paraId="13E1C1C3" w14:textId="77777777" w:rsidR="00E77451" w:rsidRDefault="00E77451">
      <w:pPr>
        <w:spacing w:line="259" w:lineRule="auto"/>
      </w:pPr>
      <w:r>
        <w:br w:type="page"/>
      </w:r>
    </w:p>
    <w:p w14:paraId="56D306C4" w14:textId="77777777" w:rsidR="00E77451" w:rsidRDefault="00E77451" w:rsidP="00E77451">
      <w:pPr>
        <w:pStyle w:val="Heading1"/>
      </w:pPr>
      <w:bookmarkStart w:id="2" w:name="_Ref211884034"/>
      <w:bookmarkStart w:id="3" w:name="_Ref211884042"/>
      <w:bookmarkStart w:id="4" w:name="_Ref211884047"/>
      <w:bookmarkStart w:id="5" w:name="_Toc211884275"/>
      <w:r>
        <w:lastRenderedPageBreak/>
        <w:t>Referencer</w:t>
      </w:r>
      <w:bookmarkEnd w:id="2"/>
      <w:bookmarkEnd w:id="3"/>
      <w:bookmarkEnd w:id="4"/>
      <w:bookmarkEnd w:id="5"/>
    </w:p>
    <w:p w14:paraId="78B77E7E" w14:textId="4D1E90EB" w:rsidR="00E77451" w:rsidRDefault="00E77451" w:rsidP="00E77451">
      <w:r>
        <w:t xml:space="preserve">[1] </w:t>
      </w:r>
      <w:r>
        <w:t>Poler og nulpunkter</w:t>
      </w:r>
      <w:r>
        <w:t xml:space="preserve"> </w:t>
      </w:r>
      <w:proofErr w:type="gramStart"/>
      <w:r>
        <w:t>slide</w:t>
      </w:r>
      <w:proofErr w:type="gramEnd"/>
      <w:r>
        <w:t xml:space="preserve"> fra </w:t>
      </w:r>
      <w:proofErr w:type="spellStart"/>
      <w:r>
        <w:t>brightspace</w:t>
      </w:r>
      <w:proofErr w:type="spellEnd"/>
    </w:p>
    <w:p w14:paraId="150033B5" w14:textId="41273D7F" w:rsidR="000E1B1E" w:rsidRDefault="00493D98" w:rsidP="00E13819">
      <w:hyperlink r:id="rId13" w:history="1">
        <w:r w:rsidRPr="00087E23">
          <w:rPr>
            <w:rStyle w:val="Hyperlink"/>
          </w:rPr>
          <w:t>https://brightspace.au.dk/content/enforced/183504-LR50157/csfiles/home_dir/PolerNulpunkter/PolerNulpunkter_Slides.pdf?ou=183504</w:t>
        </w:r>
      </w:hyperlink>
    </w:p>
    <w:p w14:paraId="2976800C" w14:textId="77777777" w:rsidR="00493D98" w:rsidRPr="000E1B1E" w:rsidRDefault="00493D98" w:rsidP="00E13819"/>
    <w:p w14:paraId="4C0C89BD" w14:textId="096C7A37" w:rsidR="002475E6" w:rsidRPr="00C764BF" w:rsidRDefault="00E3240C" w:rsidP="00E3240C">
      <w:r w:rsidRPr="00E3240C">
        <w:br/>
      </w:r>
    </w:p>
    <w:p w14:paraId="339767F5" w14:textId="77777777" w:rsidR="00AA0C6B" w:rsidRPr="00D34392" w:rsidRDefault="00AA0C6B" w:rsidP="00055E07"/>
    <w:sectPr w:rsidR="00AA0C6B" w:rsidRPr="00D34392" w:rsidSect="00DE06D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2B4A6" w14:textId="77777777" w:rsidR="001E245D" w:rsidRDefault="001E245D" w:rsidP="001E245D">
      <w:pPr>
        <w:spacing w:after="0" w:line="240" w:lineRule="auto"/>
      </w:pPr>
      <w:r>
        <w:separator/>
      </w:r>
    </w:p>
  </w:endnote>
  <w:endnote w:type="continuationSeparator" w:id="0">
    <w:p w14:paraId="4D6D2CB8" w14:textId="77777777" w:rsidR="001E245D" w:rsidRDefault="001E245D" w:rsidP="001E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9374710"/>
      <w:docPartObj>
        <w:docPartGallery w:val="Page Numbers (Bottom of Page)"/>
        <w:docPartUnique/>
      </w:docPartObj>
    </w:sdtPr>
    <w:sdtContent>
      <w:p w14:paraId="3B5CB3F9" w14:textId="05609A99" w:rsidR="00A92D6E" w:rsidRDefault="00A92D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9FF01" w14:textId="77777777" w:rsidR="00A92D6E" w:rsidRDefault="00A92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A743" w14:textId="77777777" w:rsidR="001E245D" w:rsidRDefault="001E245D" w:rsidP="001E245D">
      <w:pPr>
        <w:spacing w:after="0" w:line="240" w:lineRule="auto"/>
      </w:pPr>
      <w:r>
        <w:separator/>
      </w:r>
    </w:p>
  </w:footnote>
  <w:footnote w:type="continuationSeparator" w:id="0">
    <w:p w14:paraId="76745AF9" w14:textId="77777777" w:rsidR="001E245D" w:rsidRDefault="001E245D" w:rsidP="001E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B28F" w14:textId="24F9CD4C" w:rsidR="001E245D" w:rsidRPr="00B31B47" w:rsidRDefault="001E245D" w:rsidP="001E245D">
    <w:pPr>
      <w:pStyle w:val="Header"/>
      <w:rPr>
        <w:lang w:val="en-US"/>
      </w:rPr>
    </w:pPr>
    <w:r>
      <w:rPr>
        <w:lang w:val="en-US"/>
      </w:rPr>
      <w:t xml:space="preserve">DSA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Case </w:t>
    </w:r>
    <w:r>
      <w:rPr>
        <w:lang w:val="en-US"/>
      </w:rPr>
      <w:t>3</w:t>
    </w:r>
  </w:p>
  <w:p w14:paraId="32F2F2A7" w14:textId="77777777" w:rsidR="001E245D" w:rsidRDefault="001E245D" w:rsidP="001E245D">
    <w:pPr>
      <w:pStyle w:val="Header"/>
    </w:pPr>
  </w:p>
  <w:p w14:paraId="561EAE8A" w14:textId="77777777" w:rsidR="001E245D" w:rsidRDefault="001E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10B1C"/>
    <w:multiLevelType w:val="multilevel"/>
    <w:tmpl w:val="D40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150D9"/>
    <w:multiLevelType w:val="multilevel"/>
    <w:tmpl w:val="A0E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0242"/>
    <w:multiLevelType w:val="multilevel"/>
    <w:tmpl w:val="8BD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A2C31"/>
    <w:multiLevelType w:val="multilevel"/>
    <w:tmpl w:val="3420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9764">
    <w:abstractNumId w:val="2"/>
  </w:num>
  <w:num w:numId="2" w16cid:durableId="1565600410">
    <w:abstractNumId w:val="3"/>
  </w:num>
  <w:num w:numId="3" w16cid:durableId="780026755">
    <w:abstractNumId w:val="0"/>
  </w:num>
  <w:num w:numId="4" w16cid:durableId="130819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2"/>
    <w:rsid w:val="00006BE9"/>
    <w:rsid w:val="00021F1B"/>
    <w:rsid w:val="0003327D"/>
    <w:rsid w:val="00055E07"/>
    <w:rsid w:val="00066FE9"/>
    <w:rsid w:val="000961B4"/>
    <w:rsid w:val="000D0086"/>
    <w:rsid w:val="000E1B1E"/>
    <w:rsid w:val="0012155F"/>
    <w:rsid w:val="001E245D"/>
    <w:rsid w:val="00234CBE"/>
    <w:rsid w:val="002475E6"/>
    <w:rsid w:val="00266DBE"/>
    <w:rsid w:val="002864A0"/>
    <w:rsid w:val="002A100D"/>
    <w:rsid w:val="002B0CF3"/>
    <w:rsid w:val="00324A5D"/>
    <w:rsid w:val="00453F78"/>
    <w:rsid w:val="004867E8"/>
    <w:rsid w:val="00493D98"/>
    <w:rsid w:val="0049754E"/>
    <w:rsid w:val="004C1191"/>
    <w:rsid w:val="004D7E78"/>
    <w:rsid w:val="00511C3E"/>
    <w:rsid w:val="0055042C"/>
    <w:rsid w:val="005B119D"/>
    <w:rsid w:val="006604E6"/>
    <w:rsid w:val="006C7522"/>
    <w:rsid w:val="006F68E3"/>
    <w:rsid w:val="007A753F"/>
    <w:rsid w:val="007B2486"/>
    <w:rsid w:val="007B4A73"/>
    <w:rsid w:val="007F1160"/>
    <w:rsid w:val="0084194F"/>
    <w:rsid w:val="00856067"/>
    <w:rsid w:val="008B45ED"/>
    <w:rsid w:val="008C424C"/>
    <w:rsid w:val="008E2510"/>
    <w:rsid w:val="00900E6F"/>
    <w:rsid w:val="00936651"/>
    <w:rsid w:val="009510D5"/>
    <w:rsid w:val="00952A7C"/>
    <w:rsid w:val="00974CB0"/>
    <w:rsid w:val="00987EF4"/>
    <w:rsid w:val="00996DC7"/>
    <w:rsid w:val="009B089B"/>
    <w:rsid w:val="00A41A77"/>
    <w:rsid w:val="00A73092"/>
    <w:rsid w:val="00A92D6E"/>
    <w:rsid w:val="00AA0C6B"/>
    <w:rsid w:val="00AE2979"/>
    <w:rsid w:val="00AF7F69"/>
    <w:rsid w:val="00B377CC"/>
    <w:rsid w:val="00B43701"/>
    <w:rsid w:val="00BC172D"/>
    <w:rsid w:val="00C044EA"/>
    <w:rsid w:val="00C26FB6"/>
    <w:rsid w:val="00C764BF"/>
    <w:rsid w:val="00C86A2F"/>
    <w:rsid w:val="00CB0457"/>
    <w:rsid w:val="00CC30F2"/>
    <w:rsid w:val="00D34392"/>
    <w:rsid w:val="00D815C1"/>
    <w:rsid w:val="00DC3714"/>
    <w:rsid w:val="00DE06D9"/>
    <w:rsid w:val="00E0468D"/>
    <w:rsid w:val="00E13819"/>
    <w:rsid w:val="00E3240C"/>
    <w:rsid w:val="00E77451"/>
    <w:rsid w:val="00EB5897"/>
    <w:rsid w:val="00EF04C2"/>
    <w:rsid w:val="00F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1CB07"/>
  <w15:chartTrackingRefBased/>
  <w15:docId w15:val="{39690938-D57F-4AAF-85CF-09C0300D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66"/>
    <w:pPr>
      <w:spacing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5D"/>
  </w:style>
  <w:style w:type="paragraph" w:styleId="Footer">
    <w:name w:val="footer"/>
    <w:basedOn w:val="Normal"/>
    <w:link w:val="FooterChar"/>
    <w:uiPriority w:val="99"/>
    <w:unhideWhenUsed/>
    <w:rsid w:val="001E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5D"/>
  </w:style>
  <w:style w:type="table" w:styleId="TableGrid">
    <w:name w:val="Table Grid"/>
    <w:basedOn w:val="TableNormal"/>
    <w:uiPriority w:val="39"/>
    <w:rsid w:val="00F73366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7522"/>
    <w:pPr>
      <w:spacing w:before="240" w:after="0"/>
      <w:outlineLvl w:val="9"/>
    </w:pPr>
    <w:rPr>
      <w:sz w:val="32"/>
      <w:szCs w:val="32"/>
      <w:lang w:eastAsia="da-DK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34C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D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4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ightspace.au.dk/content/enforced/183504-LR50157/csfiles/home_dir/PolerNulpunkter/PolerNulpunkter_Slides.pdf?ou=1835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19405-8CCB-4316-8FE0-4591572BB7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894</Words>
  <Characters>5604</Characters>
  <Application>Microsoft Office Word</Application>
  <DocSecurity>0</DocSecurity>
  <Lines>206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Thule Kirketerp Linstad</dc:creator>
  <cp:keywords/>
  <dc:description/>
  <cp:lastModifiedBy>Peter Thule Kirketerp Linstad</cp:lastModifiedBy>
  <cp:revision>71</cp:revision>
  <dcterms:created xsi:type="dcterms:W3CDTF">2025-10-31T10:53:00Z</dcterms:created>
  <dcterms:modified xsi:type="dcterms:W3CDTF">2025-10-31T13:05:00Z</dcterms:modified>
</cp:coreProperties>
</file>