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64748B"/>
          <w:sz w:val="24"/>
          <w:szCs w:val="24"/>
        </w:rPr>
        <w:t xml:space="preserve">PROCEDIMIENTO TÉCNICO</w:t>
      </w:r>
    </w:p>
    <w:p>
      <w:pPr>
        <w:spacing w:after="240"/>
        <w:jc w:val="center"/>
      </w:pPr>
      <w:r>
        <w:rPr>
          <w:rFonts w:ascii="Arial" w:cs="Arial" w:eastAsia="Arial" w:hAnsi="Arial"/>
          <w:b/>
          <w:bCs/>
          <w:color w:val="1E3A8A"/>
          <w:sz w:val="44"/>
          <w:szCs w:val="44"/>
        </w:rPr>
        <w:t xml:space="preserve">Creación de Activo en Watermelon System</w:t>
      </w:r>
    </w:p>
    <w:p>
      <w:pPr>
        <w:spacing w:after="120"/>
        <w:jc w:val="center"/>
      </w:pPr>
      <w:r>
        <w:rPr>
          <w:rFonts w:ascii="Arial" w:cs="Arial" w:eastAsia="Arial" w:hAnsi="Arial"/>
          <w:i/>
          <w:iCs/>
          <w:color w:val="475569"/>
          <w:sz w:val="24"/>
          <w:szCs w:val="24"/>
        </w:rPr>
        <w:t xml:space="preserve">Caso de uso: TES1 — Turbogenerador GE LM6000 + Brush BDAX 7-290ER</w:t>
      </w:r>
    </w:p>
    <w:p>
      <w:pPr>
        <w:spacing w:after="800"/>
        <w:jc w:val="center"/>
      </w:pPr>
      <w:r>
        <w:rPr>
          <w:rFonts w:ascii="Arial" w:cs="Arial" w:eastAsia="Arial" w:hAnsi="Arial"/>
          <w:color w:val="64748B"/>
          <w:sz w:val="22"/>
          <w:szCs w:val="22"/>
        </w:rPr>
        <w:t xml:space="preserve">Cliente: Ecopetrol — Magnex  ·  Sitio: Termosuria Villavicencio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Atributo</w:t>
            </w:r>
          </w:p>
        </w:tc>
        <w:tc>
          <w:tcPr>
            <w:tcW w:type="dxa" w:w="63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r>
      <w:tr>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Versión del documento</w:t>
            </w:r>
          </w:p>
        </w:tc>
        <w:tc>
          <w:tcPr>
            <w:tcW w:type="dxa" w:w="63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1.0</w:t>
            </w:r>
          </w:p>
        </w:tc>
      </w:tr>
      <w:tr>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Sistema objetivo</w:t>
            </w:r>
          </w:p>
        </w:tc>
        <w:tc>
          <w:tcPr>
            <w:tcW w:type="dxa" w:w="63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Watermelon System v3.31.4+</w:t>
            </w:r>
          </w:p>
        </w:tc>
      </w:tr>
      <w:tr>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URL Producción</w:t>
            </w:r>
          </w:p>
        </w:tc>
        <w:tc>
          <w:tcPr>
            <w:tcW w:type="dxa" w:w="63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https://wm-home-final-2026.streamlit.app</w:t>
            </w:r>
          </w:p>
        </w:tc>
      </w:tr>
      <w:tr>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Audiencia</w:t>
            </w:r>
          </w:p>
        </w:tc>
        <w:tc>
          <w:tcPr>
            <w:tcW w:type="dxa" w:w="63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Especialistas (rol Specialist o Admin)</w:t>
            </w:r>
          </w:p>
        </w:tc>
      </w:tr>
      <w:tr>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Tiempo estimado</w:t>
            </w:r>
          </w:p>
        </w:tc>
        <w:tc>
          <w:tcPr>
            <w:tcW w:type="dxa" w:w="63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15-20 minutos por activo</w:t>
            </w:r>
          </w:p>
        </w:tc>
      </w:tr>
      <w:tr>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Pre-requisitos</w:t>
            </w:r>
          </w:p>
        </w:tc>
        <w:tc>
          <w:tcPr>
            <w:tcW w:type="dxa" w:w="63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Información técnica del activo (modelos, S/N, RPM)</w:t>
            </w:r>
          </w:p>
        </w:tc>
      </w:tr>
      <w:tr>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Norma de referencia</w:t>
            </w:r>
          </w:p>
        </w:tc>
        <w:tc>
          <w:tcPr>
            <w:tcW w:type="dxa" w:w="63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ISO 14224 / OREDA  ·  ISO 20816-3  ·  API 670</w:t>
            </w:r>
          </w:p>
        </w:tc>
      </w:tr>
    </w:tbl>
    <w:p>
      <w:r>
        <w:br w:type="page"/>
      </w:r>
    </w:p>
    <w:p>
      <w:pPr>
        <w:pStyle w:val="Heading1"/>
        <w:spacing w:after="120" w:before="0"/>
      </w:pPr>
      <w:r>
        <w:rPr>
          <w:rFonts w:ascii="Arial" w:cs="Arial" w:eastAsia="Arial" w:hAnsi="Arial"/>
          <w:b w:val="false"/>
          <w:bCs w:val="false"/>
          <w:color w:val="000000"/>
          <w:sz w:val="22"/>
          <w:szCs w:val="22"/>
        </w:rPr>
        <w:t xml:space="preserve">1. Objetivo y Alcance</w:t>
      </w:r>
    </w:p>
    <w:p>
      <w:pPr>
        <w:spacing w:after="120" w:before="0"/>
      </w:pPr>
      <w:r>
        <w:rPr>
          <w:rFonts w:ascii="Arial" w:cs="Arial" w:eastAsia="Arial" w:hAnsi="Arial"/>
          <w:b w:val="false"/>
          <w:bCs w:val="false"/>
          <w:color w:val="000000"/>
          <w:sz w:val="22"/>
          <w:szCs w:val="22"/>
        </w:rPr>
        <w:t xml:space="preserve">Este procedimiento describe el proceso completo para crear un nuevo activo (turbogenerador, compresor, motor, etc.) en Watermelon System utilizando el asistente guiado (wizard). La creación correcta del activo desde el inicio garantiza que toda la cadena de monitoreo — sensor map, esquemático, thresholds, Live Monitoring, Reports — funcione coherentemente.</w:t>
      </w:r>
    </w:p>
    <w:p>
      <w:pPr>
        <w:spacing w:after="120" w:before="0"/>
      </w:pPr>
      <w:r>
        <w:rPr>
          <w:rFonts w:ascii="Arial" w:cs="Arial" w:eastAsia="Arial" w:hAnsi="Arial"/>
          <w:b w:val="false"/>
          <w:bCs w:val="false"/>
          <w:color w:val="000000"/>
          <w:sz w:val="22"/>
          <w:szCs w:val="22"/>
        </w:rPr>
        <w:t xml:space="preserve">Como caso de uso de referencia se documenta la creación del activo TES1: turbogenerador GE LM6000 + generador Brush BDAX 7-290ER de 54 MW, instalado en la planta Termosuria (Villavicencio) del cliente Ecopetrol — Magnex. Los valores listados son los reales del activo y deben adaptarse para otros equipos.</w:t>
      </w:r>
    </w:p>
    <w:p>
      <w:pPr>
        <w:pStyle w:val="Heading1"/>
        <w:spacing w:after="120" w:before="0"/>
      </w:pPr>
      <w:r>
        <w:rPr>
          <w:rFonts w:ascii="Arial" w:cs="Arial" w:eastAsia="Arial" w:hAnsi="Arial"/>
          <w:b w:val="false"/>
          <w:bCs w:val="false"/>
          <w:color w:val="000000"/>
          <w:sz w:val="22"/>
          <w:szCs w:val="22"/>
        </w:rPr>
        <w:t xml:space="preserve">2. Convención de Tags (ISO 14224 / OREDA)</w:t>
      </w:r>
    </w:p>
    <w:p>
      <w:pPr>
        <w:spacing w:after="120" w:before="0"/>
      </w:pPr>
      <w:r>
        <w:rPr>
          <w:rFonts w:ascii="Arial" w:cs="Arial" w:eastAsia="Arial" w:hAnsi="Arial"/>
          <w:b w:val="false"/>
          <w:bCs w:val="false"/>
          <w:color w:val="000000"/>
          <w:sz w:val="22"/>
          <w:szCs w:val="22"/>
        </w:rPr>
        <w:t xml:space="preserve">Todo activo debe tener un Tag único de campo según la norma internacional ISO 14224 (Petroleum, petrochemical and natural gas industries — Collection and exchange of reliability and maintenance data). El Tag identifica el equipo en la jerarquía taxonómica plant → area → system → equipment.</w:t>
      </w:r>
    </w:p>
    <w:p>
      <w:pPr>
        <w:spacing w:after="120" w:before="0"/>
      </w:pPr>
      <w:r>
        <w:rPr>
          <w:rFonts w:ascii="Arial" w:cs="Arial" w:eastAsia="Arial" w:hAnsi="Arial"/>
          <w:b w:val="false"/>
          <w:bCs w:val="false"/>
          <w:color w:val="000000"/>
          <w:sz w:val="22"/>
          <w:szCs w:val="22"/>
        </w:rPr>
        <w:t xml:space="preserve">En Watermelon System el campo se llama “Tag” en el Paso 1 del wizard. Para el activo TES1, el Tag operativo es exactamente “TES1” — igual al que figura en el plano de planta y en el sistema OREDA del cliente.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Concepto</w:t>
            </w:r>
          </w:p>
        </w:tc>
        <w:tc>
          <w:tcPr>
            <w:tcW w:type="dxa" w:w="30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Watermelon System</w:t>
            </w:r>
          </w:p>
        </w:tc>
        <w:tc>
          <w:tcPr>
            <w:tcW w:type="dxa" w:w="39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Ejemplo TES1</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ID interno (slug)</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instance_id</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tes1</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Tag operativo (ISO 14224)</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tag</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TES1</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Cliente</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client</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Ecopetrol — Magnex</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Sitio</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site</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Termosuria — Villavicencio</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Clase de equipo (OREDA)</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asset_class</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TURBOGENERADOR</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S/N OEM</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serial_number</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(del nameplate)</w:t>
            </w:r>
          </w:p>
        </w:tc>
      </w:tr>
    </w:tbl>
    <w:p>
      <w:pPr>
        <w:spacing w:after="120"/>
      </w:pPr>
      <w:r>
        <w:t xml:space="preserve"/>
      </w:r>
    </w:p>
    <w:tbl>
      <w:tblPr>
        <w:tblW w:type="dxa" w:w="9360"/>
        <w:tblBorders>
          <w:top w:val="single" w:color="991B1B" w:sz="12"/>
          <w:left w:val="single" w:color="991B1B" w:sz="4"/>
          <w:bottom w:val="single" w:color="991B1B" w:sz="4"/>
          <w:right w:val="single" w:color="991B1B" w:sz="4"/>
          <w:insideH w:val="single" w:color="auto" w:sz="4"/>
          <w:insideV w:val="single" w:color="auto" w:sz="4"/>
        </w:tblBorders>
      </w:tblPr>
      <w:tblGrid>
        <w:gridCol w:w="9360"/>
      </w:tblGrid>
      <w:tr>
        <w:tc>
          <w:tcPr>
            <w:tcW w:type="dxa" w:w="9360"/>
            <w:shd w:fill="FEE2E2" w:val="clear"/>
            <w:tcMar>
              <w:top w:type="dxa" w:w="200"/>
              <w:left w:type="dxa" w:w="240"/>
              <w:bottom w:type="dxa" w:w="200"/>
              <w:right w:type="dxa" w:w="240"/>
            </w:tcMar>
          </w:tcPr>
          <w:p>
            <w:r>
              <w:rPr>
                <w:rFonts w:ascii="Arial" w:cs="Arial" w:eastAsia="Arial" w:hAnsi="Arial"/>
                <w:b/>
                <w:bCs/>
                <w:color w:val="991B1B"/>
                <w:sz w:val="22"/>
                <w:szCs w:val="22"/>
              </w:rPr>
              <w:t xml:space="preserve">IMPORTANTE: el campo instance_id (slug) es la clave primaria interna y NO PUEDE CAMBIAR una vez creado el activo. Para TES1 use exactamente "tes1" en minúsculas, sin espacios. Si lo cambia, perderá el vínculo con los datos en vivo del collector.</w:t>
            </w:r>
          </w:p>
        </w:tc>
      </w:tr>
    </w:tbl>
    <w:p>
      <w:r>
        <w:br w:type="page"/>
      </w:r>
    </w:p>
    <w:p>
      <w:pPr>
        <w:pStyle w:val="Heading1"/>
        <w:spacing w:after="120" w:before="0"/>
      </w:pPr>
      <w:r>
        <w:rPr>
          <w:rFonts w:ascii="Arial" w:cs="Arial" w:eastAsia="Arial" w:hAnsi="Arial"/>
          <w:b w:val="false"/>
          <w:bCs w:val="false"/>
          <w:color w:val="000000"/>
          <w:sz w:val="22"/>
          <w:szCs w:val="22"/>
        </w:rPr>
        <w:t xml:space="preserve">3. Pre-requisitos</w:t>
      </w:r>
    </w:p>
    <w:p>
      <w:pPr>
        <w:pStyle w:val="Heading2"/>
        <w:spacing w:after="120" w:before="0"/>
      </w:pPr>
      <w:r>
        <w:rPr>
          <w:rFonts w:ascii="Arial" w:cs="Arial" w:eastAsia="Arial" w:hAnsi="Arial"/>
          <w:b w:val="false"/>
          <w:bCs w:val="false"/>
          <w:color w:val="000000"/>
          <w:sz w:val="22"/>
          <w:szCs w:val="22"/>
        </w:rPr>
        <w:t xml:space="preserve">3.1 Acceso al sistema</w:t>
      </w:r>
    </w:p>
    <w:p>
      <w:pPr>
        <w:spacing w:after="120"/>
      </w:pPr>
      <w:r>
        <w:rPr>
          <w:rFonts w:ascii="Arial" w:cs="Arial" w:eastAsia="Arial" w:hAnsi="Arial"/>
          <w:b/>
          <w:bCs/>
          <w:i w:val="false"/>
          <w:iCs w:val="false"/>
          <w:color w:val="000000"/>
          <w:sz w:val="22"/>
          <w:szCs w:val="22"/>
        </w:rPr>
        <w:t xml:space="preserve">URL: </w:t>
      </w:r>
      <w:r>
        <w:rPr>
          <w:rFonts w:ascii="Courier New" w:cs="Courier New" w:eastAsia="Courier New" w:hAnsi="Courier New"/>
          <w:b w:val="false"/>
          <w:bCs w:val="false"/>
          <w:i w:val="false"/>
          <w:iCs w:val="false"/>
          <w:color w:val="000000"/>
          <w:sz w:val="22"/>
          <w:szCs w:val="22"/>
          <w:shd w:fill="F1F5F9" w:val="clear"/>
        </w:rPr>
        <w:t xml:space="preserve">https://wm-home-final-2026.streamlit.app</w:t>
      </w:r>
    </w:p>
    <w:p>
      <w:pPr>
        <w:spacing w:after="120"/>
      </w:pPr>
      <w:r>
        <w:rPr>
          <w:rFonts w:ascii="Arial" w:cs="Arial" w:eastAsia="Arial" w:hAnsi="Arial"/>
          <w:b/>
          <w:bCs/>
          <w:i w:val="false"/>
          <w:iCs w:val="false"/>
          <w:color w:val="000000"/>
          <w:sz w:val="22"/>
          <w:szCs w:val="22"/>
        </w:rPr>
        <w:t xml:space="preserve">Rol requerido: </w:t>
      </w:r>
      <w:r>
        <w:rPr>
          <w:rFonts w:ascii="Arial" w:cs="Arial" w:eastAsia="Arial" w:hAnsi="Arial"/>
          <w:b w:val="false"/>
          <w:bCs w:val="false"/>
          <w:i w:val="false"/>
          <w:iCs w:val="false"/>
          <w:color w:val="000000"/>
          <w:sz w:val="22"/>
          <w:szCs w:val="22"/>
        </w:rPr>
        <w:t xml:space="preserve">Admin o Specialist (los Clientes no pueden crear activos)</w:t>
      </w:r>
    </w:p>
    <w:p>
      <w:pPr>
        <w:pStyle w:val="Heading2"/>
        <w:spacing w:after="120" w:before="0"/>
      </w:pPr>
      <w:r>
        <w:rPr>
          <w:rFonts w:ascii="Arial" w:cs="Arial" w:eastAsia="Arial" w:hAnsi="Arial"/>
          <w:b w:val="false"/>
          <w:bCs w:val="false"/>
          <w:color w:val="000000"/>
          <w:sz w:val="22"/>
          <w:szCs w:val="22"/>
        </w:rPr>
        <w:t xml:space="preserve">3.2 Información técnica del activo</w:t>
      </w:r>
    </w:p>
    <w:p>
      <w:pPr>
        <w:spacing w:after="120" w:before="0"/>
      </w:pPr>
      <w:r>
        <w:rPr>
          <w:rFonts w:ascii="Arial" w:cs="Arial" w:eastAsia="Arial" w:hAnsi="Arial"/>
          <w:b w:val="false"/>
          <w:bCs w:val="false"/>
          <w:color w:val="000000"/>
          <w:sz w:val="22"/>
          <w:szCs w:val="22"/>
        </w:rPr>
        <w:t xml:space="preserve">Antes de iniciar el wizard tenga a mano:</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Tag operativo (ISO 14224) y serial number OEM</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Modelo del driver (motor / turbina) y modelo del driven (generador / compresor / bomba)</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Potencia nominal (kW o MW)</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RPM nominal, mínima operativa, máxima operativa, trip de sobrevelocidad</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Tipo de soporte (rolling element, fluid film, magnetic) y cantidad de cojinetes</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Esquemático del tren acoplado (PNG o JPG, idealmente con fondo neutro)</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Lista de sensores instalados con su ubicación y unidad nativa de medida</w:t>
      </w:r>
    </w:p>
    <w:p>
      <w:r>
        <w:br w:type="page"/>
      </w:r>
    </w:p>
    <w:p>
      <w:pPr>
        <w:pStyle w:val="Heading1"/>
        <w:spacing w:after="120" w:before="0"/>
      </w:pPr>
      <w:r>
        <w:rPr>
          <w:rFonts w:ascii="Arial" w:cs="Arial" w:eastAsia="Arial" w:hAnsi="Arial"/>
          <w:b w:val="false"/>
          <w:bCs w:val="false"/>
          <w:color w:val="000000"/>
          <w:sz w:val="22"/>
          <w:szCs w:val="22"/>
        </w:rPr>
        <w:t xml:space="preserve">4. Datos técnicos del activo TES1</w:t>
      </w:r>
    </w:p>
    <w:p>
      <w:pPr>
        <w:spacing w:after="120" w:before="0"/>
      </w:pPr>
      <w:r>
        <w:rPr>
          <w:rFonts w:ascii="Arial" w:cs="Arial" w:eastAsia="Arial" w:hAnsi="Arial"/>
          <w:b w:val="false"/>
          <w:bCs w:val="false"/>
          <w:color w:val="000000"/>
          <w:sz w:val="22"/>
          <w:szCs w:val="22"/>
        </w:rPr>
        <w:t xml:space="preserve">Use estos valores exactos al crear el activo TES1. Para otros activos, adapte los valores al equipo real.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58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exacto a ingresar</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instance_id (slug)</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tes1</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tag (ISO 14224)</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TES1</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Cliente</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Ecopetrol — Magnex</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Sitio / Planta</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Termosuria — Villavicencio</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Asset class (OREDA)</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TURBOGENERADOR</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Profile</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Aero gas turbine + Brush generator (o el equivalente LM6000)</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Driver fabricante</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Aviation</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Driver modelo</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LM6000 PD (o PG según el activo real)</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Driven fabricante</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Driven modelo</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BDAX 7-290ER</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Potencia nominal</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54 MW</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Acople</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Flexible (verificar con OEM si no se conoce)</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RPM nominal</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3600</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RPM mín operativo</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0</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RPM máx operativo</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3700</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RPM trip overspeed</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3960</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ISO group</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rigid</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Driver support type</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rolling_element  (LM6000 squeeze film + rolling)</w:t>
            </w:r>
          </w:p>
        </w:tc>
      </w:tr>
      <w:tr>
        <w:tc>
          <w:tcPr>
            <w:tcW w:type="dxa" w:w="3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Driven support type</w:t>
            </w:r>
          </w:p>
        </w:tc>
        <w:tc>
          <w:tcPr>
            <w:tcW w:type="dxa" w:w="58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fluid_film  (Brush hidrodinámicos)</w:t>
            </w:r>
          </w:p>
        </w:tc>
      </w:tr>
      <w:tr>
        <w:tc>
          <w:tcPr>
            <w:tcW w:type="dxa" w:w="3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Cantidad de soportes</w:t>
            </w:r>
          </w:p>
        </w:tc>
        <w:tc>
          <w:tcPr>
            <w:tcW w:type="dxa" w:w="58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  (2 driver + 2 driven)</w:t>
            </w:r>
          </w:p>
        </w:tc>
      </w:tr>
    </w:tbl>
    <w:p>
      <w:r>
        <w:br w:type="page"/>
      </w:r>
    </w:p>
    <w:p>
      <w:pPr>
        <w:pStyle w:val="Heading1"/>
        <w:spacing w:after="120" w:before="0"/>
      </w:pPr>
      <w:r>
        <w:rPr>
          <w:rFonts w:ascii="Arial" w:cs="Arial" w:eastAsia="Arial" w:hAnsi="Arial"/>
          <w:b w:val="false"/>
          <w:bCs w:val="false"/>
          <w:color w:val="000000"/>
          <w:sz w:val="22"/>
          <w:szCs w:val="22"/>
        </w:rPr>
        <w:t xml:space="preserve">5. Procedimiento paso a paso</w:t>
      </w:r>
    </w:p>
    <w:p>
      <w:pPr>
        <w:pStyle w:val="Heading2"/>
        <w:spacing w:after="120" w:before="0"/>
      </w:pPr>
      <w:r>
        <w:rPr>
          <w:rFonts w:ascii="Arial" w:cs="Arial" w:eastAsia="Arial" w:hAnsi="Arial"/>
          <w:b w:val="false"/>
          <w:bCs w:val="false"/>
          <w:color w:val="000000"/>
          <w:sz w:val="22"/>
          <w:szCs w:val="22"/>
        </w:rPr>
        <w:t xml:space="preserve">5.1 Iniciar sesión</w:t>
      </w:r>
    </w:p>
    <w:p>
      <w:pPr>
        <w:spacing w:after="120"/>
      </w:pPr>
      <w:r>
        <w:rPr>
          <w:rFonts w:ascii="Arial" w:cs="Arial" w:eastAsia="Arial" w:hAnsi="Arial"/>
          <w:b w:val="false"/>
          <w:bCs w:val="false"/>
          <w:i w:val="false"/>
          <w:iCs w:val="false"/>
          <w:color w:val="000000"/>
          <w:sz w:val="22"/>
          <w:szCs w:val="22"/>
        </w:rPr>
        <w:t xml:space="preserve">Abrir </w:t>
      </w:r>
      <w:r>
        <w:rPr>
          <w:rFonts w:ascii="Courier New" w:cs="Courier New" w:eastAsia="Courier New" w:hAnsi="Courier New"/>
          <w:b w:val="false"/>
          <w:bCs w:val="false"/>
          <w:i w:val="false"/>
          <w:iCs w:val="false"/>
          <w:color w:val="000000"/>
          <w:sz w:val="22"/>
          <w:szCs w:val="22"/>
          <w:shd w:fill="F1F5F9" w:val="clear"/>
        </w:rPr>
        <w:t xml:space="preserve">https://wm-home-final-2026.streamlit.app</w:t>
      </w:r>
      <w:r>
        <w:rPr>
          <w:rFonts w:ascii="Arial" w:cs="Arial" w:eastAsia="Arial" w:hAnsi="Arial"/>
          <w:b w:val="false"/>
          <w:bCs w:val="false"/>
          <w:i w:val="false"/>
          <w:iCs w:val="false"/>
          <w:color w:val="000000"/>
          <w:sz w:val="22"/>
          <w:szCs w:val="22"/>
        </w:rPr>
        <w:t xml:space="preserve"> en navegador moderno (Chrome, Edge, Safari).</w:t>
      </w:r>
    </w:p>
    <w:p>
      <w:pPr>
        <w:spacing w:after="120" w:before="0"/>
      </w:pPr>
      <w:r>
        <w:rPr>
          <w:rFonts w:ascii="Arial" w:cs="Arial" w:eastAsia="Arial" w:hAnsi="Arial"/>
          <w:b w:val="false"/>
          <w:bCs w:val="false"/>
          <w:color w:val="000000"/>
          <w:sz w:val="22"/>
          <w:szCs w:val="22"/>
        </w:rPr>
        <w:t xml:space="preserve">Iniciar sesión con sus credenciales de Specialist o Admin.</w:t>
      </w:r>
    </w:p>
    <w:p>
      <w:pPr>
        <w:pStyle w:val="Heading2"/>
        <w:spacing w:after="120" w:before="0"/>
      </w:pPr>
      <w:r>
        <w:rPr>
          <w:rFonts w:ascii="Arial" w:cs="Arial" w:eastAsia="Arial" w:hAnsi="Arial"/>
          <w:b w:val="false"/>
          <w:bCs w:val="false"/>
          <w:color w:val="000000"/>
          <w:sz w:val="22"/>
          <w:szCs w:val="22"/>
        </w:rPr>
        <w:t xml:space="preserve">5.2 Abrir Machinery Library</w:t>
      </w:r>
    </w:p>
    <w:p>
      <w:pPr>
        <w:spacing w:after="120" w:before="0"/>
      </w:pPr>
      <w:r>
        <w:rPr>
          <w:rFonts w:ascii="Arial" w:cs="Arial" w:eastAsia="Arial" w:hAnsi="Arial"/>
          <w:b w:val="false"/>
          <w:bCs w:val="false"/>
          <w:color w:val="000000"/>
          <w:sz w:val="22"/>
          <w:szCs w:val="22"/>
        </w:rPr>
        <w:t xml:space="preserve">En el menú lateral izquierdo, click en “Machinery Library”.</w:t>
      </w:r>
    </w:p>
    <w:p>
      <w:pPr>
        <w:spacing w:after="120" w:before="0"/>
      </w:pPr>
      <w:r>
        <w:rPr>
          <w:rFonts w:ascii="Arial" w:cs="Arial" w:eastAsia="Arial" w:hAnsi="Arial"/>
          <w:b w:val="false"/>
          <w:bCs w:val="false"/>
          <w:color w:val="000000"/>
          <w:sz w:val="22"/>
          <w:szCs w:val="22"/>
        </w:rPr>
        <w:t xml:space="preserve">Si es la primera vez (sistema recién limpiado), verá el mensaje “No hay máquina activa”. Eso es normal.</w:t>
      </w:r>
    </w:p>
    <w:p>
      <w:pPr>
        <w:pStyle w:val="Heading2"/>
        <w:spacing w:after="120" w:before="0"/>
      </w:pPr>
      <w:r>
        <w:rPr>
          <w:rFonts w:ascii="Arial" w:cs="Arial" w:eastAsia="Arial" w:hAnsi="Arial"/>
          <w:b w:val="false"/>
          <w:bCs w:val="false"/>
          <w:color w:val="000000"/>
          <w:sz w:val="22"/>
          <w:szCs w:val="22"/>
        </w:rPr>
        <w:t xml:space="preserve">5.3 Iniciar el asistente de creación</w:t>
      </w:r>
    </w:p>
    <w:p>
      <w:pPr>
        <w:spacing w:after="120" w:before="0"/>
      </w:pPr>
      <w:r>
        <w:rPr>
          <w:rFonts w:ascii="Arial" w:cs="Arial" w:eastAsia="Arial" w:hAnsi="Arial"/>
          <w:b w:val="false"/>
          <w:bCs w:val="false"/>
          <w:color w:val="000000"/>
          <w:sz w:val="22"/>
          <w:szCs w:val="22"/>
        </w:rPr>
        <w:t xml:space="preserve">En la parte superior de Machinery Library aparece una card grande con el icono 🧙 que dice “Crear nueva máquina con asistente”.</w:t>
      </w:r>
    </w:p>
    <w:p>
      <w:pPr>
        <w:spacing w:after="120"/>
      </w:pPr>
      <w:r>
        <w:rPr>
          <w:rFonts w:ascii="Arial" w:cs="Arial" w:eastAsia="Arial" w:hAnsi="Arial"/>
          <w:b w:val="false"/>
          <w:bCs w:val="false"/>
          <w:i w:val="false"/>
          <w:iCs w:val="false"/>
          <w:color w:val="000000"/>
          <w:sz w:val="22"/>
          <w:szCs w:val="22"/>
        </w:rPr>
        <w:t xml:space="preserve">Click en el botón rojo </w:t>
      </w:r>
      <w:r>
        <w:rPr>
          <w:rFonts w:ascii="Arial" w:cs="Arial" w:eastAsia="Arial" w:hAnsi="Arial"/>
          <w:b/>
          <w:bCs/>
          <w:i w:val="false"/>
          <w:iCs w:val="false"/>
          <w:color w:val="000000"/>
          <w:sz w:val="22"/>
          <w:szCs w:val="22"/>
        </w:rPr>
        <w:t xml:space="preserve">🧙 Abrir asistente de creación</w:t>
      </w:r>
      <w:r>
        <w:rPr>
          <w:rFonts w:ascii="Arial" w:cs="Arial" w:eastAsia="Arial" w:hAnsi="Arial"/>
          <w:b w:val="false"/>
          <w:bCs w:val="false"/>
          <w:i w:val="false"/>
          <w:iCs w:val="false"/>
          <w:color w:val="000000"/>
          <w:sz w:val="22"/>
          <w:szCs w:val="22"/>
        </w:rPr>
        <w:t xml:space="preserve">. Esto abre la página del wizard.</w:t>
      </w:r>
    </w:p>
    <w:p>
      <w:r>
        <w:br w:type="page"/>
      </w:r>
    </w:p>
    <w:p>
      <w:pPr>
        <w:pStyle w:val="Heading2"/>
        <w:spacing w:after="120" w:before="0"/>
      </w:pPr>
      <w:r>
        <w:rPr>
          <w:rFonts w:ascii="Arial" w:cs="Arial" w:eastAsia="Arial" w:hAnsi="Arial"/>
          <w:b w:val="false"/>
          <w:bCs w:val="false"/>
          <w:color w:val="000000"/>
          <w:sz w:val="22"/>
          <w:szCs w:val="22"/>
        </w:rPr>
        <w:t xml:space="preserve">5.4 Wizard Paso 1 — Identificación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 del wizard</w:t>
            </w:r>
          </w:p>
        </w:tc>
        <w:tc>
          <w:tcPr>
            <w:tcW w:type="dxa" w:w="2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exacto</w:t>
            </w:r>
          </w:p>
        </w:tc>
        <w:tc>
          <w:tcPr>
            <w:tcW w:type="dxa" w:w="47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Comentario</w:t>
            </w:r>
          </w:p>
        </w:tc>
      </w:tr>
      <w:tr>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ID instance (slug)</w:t>
            </w:r>
          </w:p>
        </w:tc>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991B1B"/>
                <w:sz w:val="20"/>
                <w:szCs w:val="20"/>
              </w:rPr>
              <w:t xml:space="preserve">tes1</w:t>
            </w:r>
          </w:p>
        </w:tc>
        <w:tc>
          <w:tcPr>
            <w:tcW w:type="dxa" w:w="4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Crítico. Debe coincidir con el id en data/modbus_maps/tes1.json</w:t>
            </w:r>
          </w:p>
        </w:tc>
      </w:tr>
      <w:tr>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Tag interno</w:t>
            </w:r>
          </w:p>
        </w:tc>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991B1B"/>
                <w:sz w:val="20"/>
                <w:szCs w:val="20"/>
              </w:rPr>
              <w:t xml:space="preserve">TES1</w:t>
            </w:r>
          </w:p>
        </w:tc>
        <w:tc>
          <w:tcPr>
            <w:tcW w:type="dxa" w:w="4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Es el ISO 14224 tag operativo</w:t>
            </w:r>
          </w:p>
        </w:tc>
      </w:tr>
      <w:tr>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Cliente</w:t>
            </w:r>
          </w:p>
        </w:tc>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Ecopetrol — Magnex</w:t>
            </w:r>
          </w:p>
        </w:tc>
        <w:tc>
          <w:tcPr>
            <w:tcW w:type="dxa" w:w="4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Debe coincidir con clients.json</w:t>
            </w:r>
          </w:p>
        </w:tc>
      </w:tr>
      <w:tr>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Sitio</w:t>
            </w:r>
          </w:p>
        </w:tc>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Termosuria — Villavicencio</w:t>
            </w:r>
          </w:p>
        </w:tc>
        <w:tc>
          <w:tcPr>
            <w:tcW w:type="dxa" w:w="4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
            </w:r>
          </w:p>
        </w:tc>
      </w:tr>
      <w:tr>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Clase de activo</w:t>
            </w:r>
          </w:p>
        </w:tc>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TURBOGENERADOR</w:t>
            </w:r>
          </w:p>
        </w:tc>
        <w:tc>
          <w:tcPr>
            <w:tcW w:type="dxa" w:w="4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Mapea a OREDA equipment class</w:t>
            </w:r>
          </w:p>
        </w:tc>
      </w:tr>
      <w:tr>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S/N OEM</w:t>
            </w:r>
          </w:p>
        </w:tc>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(según nameplate)</w:t>
            </w:r>
          </w:p>
        </w:tc>
        <w:tc>
          <w:tcPr>
            <w:tcW w:type="dxa" w:w="4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Opcional pero recomendado</w:t>
            </w:r>
          </w:p>
        </w:tc>
      </w:tr>
      <w:tr>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Notas libres</w:t>
            </w:r>
          </w:p>
        </w:tc>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(libre)</w:t>
            </w:r>
          </w:p>
        </w:tc>
        <w:tc>
          <w:tcPr>
            <w:tcW w:type="dxa" w:w="4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Información adicional</w:t>
            </w:r>
          </w:p>
        </w:tc>
      </w:tr>
    </w:tbl>
    <w:p>
      <w:pPr>
        <w:spacing w:after="120"/>
      </w:pPr>
      <w:r>
        <w:t xml:space="preserve"/>
      </w:r>
    </w:p>
    <w:tbl>
      <w:tblPr>
        <w:tblW w:type="dxa" w:w="9360"/>
        <w:tblBorders>
          <w:top w:val="single" w:color="92400E" w:sz="12"/>
          <w:left w:val="single" w:color="92400E" w:sz="4"/>
          <w:bottom w:val="single" w:color="92400E" w:sz="4"/>
          <w:right w:val="single" w:color="92400E" w:sz="4"/>
          <w:insideH w:val="single" w:color="auto" w:sz="4"/>
          <w:insideV w:val="single" w:color="auto" w:sz="4"/>
        </w:tblBorders>
      </w:tblPr>
      <w:tblGrid>
        <w:gridCol w:w="9360"/>
      </w:tblGrid>
      <w:tr>
        <w:tc>
          <w:tcPr>
            <w:tcW w:type="dxa" w:w="9360"/>
            <w:shd w:fill="FEF3C7" w:val="clear"/>
            <w:tcMar>
              <w:top w:type="dxa" w:w="200"/>
              <w:left w:type="dxa" w:w="240"/>
              <w:bottom w:type="dxa" w:w="200"/>
              <w:right w:type="dxa" w:w="240"/>
            </w:tcMar>
          </w:tcPr>
          <w:p>
            <w:r>
              <w:rPr>
                <w:rFonts w:ascii="Arial" w:cs="Arial" w:eastAsia="Arial" w:hAnsi="Arial"/>
                <w:b/>
                <w:bCs/>
                <w:color w:val="92400E"/>
                <w:sz w:val="22"/>
                <w:szCs w:val="22"/>
              </w:rPr>
              <w:t xml:space="preserve">Si escribe el slug "TES1" con mayúsculas o agrega espacios el sistema rechazará la creación. Use exclusivamente "tes1" en minúsculas para mantener compatibilidad con el collector industrial.</w:t>
            </w:r>
          </w:p>
        </w:tc>
      </w:tr>
    </w:tbl>
    <w:p>
      <w:pPr>
        <w:pStyle w:val="Heading2"/>
        <w:spacing w:after="120" w:before="0"/>
      </w:pPr>
      <w:r>
        <w:rPr>
          <w:rFonts w:ascii="Arial" w:cs="Arial" w:eastAsia="Arial" w:hAnsi="Arial"/>
          <w:b w:val="false"/>
          <w:bCs w:val="false"/>
          <w:color w:val="000000"/>
          <w:sz w:val="22"/>
          <w:szCs w:val="22"/>
        </w:rPr>
        <w:t xml:space="preserve">5.5 Wizard Paso 2 — Tren acoplado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Sección</w:t>
            </w:r>
          </w:p>
        </w:tc>
        <w:tc>
          <w:tcPr>
            <w:tcW w:type="dxa" w:w="30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45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Fabricante</w:t>
            </w:r>
          </w:p>
        </w:tc>
        <w:tc>
          <w:tcPr>
            <w:tcW w:type="dxa" w:w="4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Aviation</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Modelo</w:t>
            </w:r>
          </w:p>
        </w:tc>
        <w:tc>
          <w:tcPr>
            <w:tcW w:type="dxa" w:w="4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LM6000 PD</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S/N driver</w:t>
            </w:r>
          </w:p>
        </w:tc>
        <w:tc>
          <w:tcPr>
            <w:tcW w:type="dxa" w:w="4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(del nameplate del activo real)</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Fabricante</w:t>
            </w:r>
          </w:p>
        </w:tc>
        <w:tc>
          <w:tcPr>
            <w:tcW w:type="dxa" w:w="4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Modelo</w:t>
            </w:r>
          </w:p>
        </w:tc>
        <w:tc>
          <w:tcPr>
            <w:tcW w:type="dxa" w:w="4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BDAX 7-290ER</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S/N driven</w:t>
            </w:r>
          </w:p>
        </w:tc>
        <w:tc>
          <w:tcPr>
            <w:tcW w:type="dxa" w:w="4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(del nameplate del activo real)</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Tren</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Potencia nominal (MW)</w:t>
            </w:r>
          </w:p>
        </w:tc>
        <w:tc>
          <w:tcPr>
            <w:tcW w:type="dxa" w:w="4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54.0</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Tren</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Clase de acople</w:t>
            </w:r>
          </w:p>
        </w:tc>
        <w:tc>
          <w:tcPr>
            <w:tcW w:type="dxa" w:w="4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flexible</w:t>
            </w:r>
          </w:p>
        </w:tc>
      </w:tr>
    </w:tbl>
    <w:p>
      <w:pPr>
        <w:pStyle w:val="Heading2"/>
        <w:spacing w:after="120" w:before="0"/>
      </w:pPr>
      <w:r>
        <w:rPr>
          <w:rFonts w:ascii="Arial" w:cs="Arial" w:eastAsia="Arial" w:hAnsi="Arial"/>
          <w:b w:val="false"/>
          <w:bCs w:val="false"/>
          <w:color w:val="000000"/>
          <w:sz w:val="22"/>
          <w:szCs w:val="22"/>
        </w:rPr>
        <w:t xml:space="preserve">5.6 Wizard Paso 3 — Operación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c>
          <w:tcPr>
            <w:tcW w:type="dxa" w:w="51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Justificación</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RPM nominal</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3600</w:t>
            </w:r>
          </w:p>
        </w:tc>
        <w:tc>
          <w:tcPr>
            <w:tcW w:type="dxa" w:w="51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60 Hz × 60 / pares de polos del generador</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Min RPM</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0</w:t>
            </w:r>
          </w:p>
        </w:tc>
        <w:tc>
          <w:tcPr>
            <w:tcW w:type="dxa" w:w="51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Standstill</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Max RPM</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3700</w:t>
            </w:r>
          </w:p>
        </w:tc>
        <w:tc>
          <w:tcPr>
            <w:tcW w:type="dxa" w:w="51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 por encima del nominal</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Trip RPM</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991B1B"/>
                <w:sz w:val="20"/>
                <w:szCs w:val="20"/>
              </w:rPr>
              <w:t xml:space="preserve">3960</w:t>
            </w:r>
          </w:p>
        </w:tc>
        <w:tc>
          <w:tcPr>
            <w:tcW w:type="dxa" w:w="51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110% del nominal — overspeed protection API 670</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ISO group</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rigid</w:t>
            </w:r>
          </w:p>
        </w:tc>
        <w:tc>
          <w:tcPr>
            <w:tcW w:type="dxa" w:w="51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Foundation type</w:t>
            </w:r>
          </w:p>
        </w:tc>
      </w:tr>
    </w:tbl>
    <w:p>
      <w:r>
        <w:br w:type="page"/>
      </w:r>
    </w:p>
    <w:p>
      <w:pPr>
        <w:pStyle w:val="Heading2"/>
        <w:spacing w:after="120" w:before="0"/>
      </w:pPr>
      <w:r>
        <w:rPr>
          <w:rFonts w:ascii="Arial" w:cs="Arial" w:eastAsia="Arial" w:hAnsi="Arial"/>
          <w:b w:val="false"/>
          <w:bCs w:val="false"/>
          <w:color w:val="000000"/>
          <w:sz w:val="22"/>
          <w:szCs w:val="22"/>
        </w:rPr>
        <w:t xml:space="preserve">5.7 Wizard Paso 4 — Soportes y sensores</w:t>
      </w:r>
    </w:p>
    <w:p>
      <w:pPr>
        <w:spacing w:after="120" w:before="0"/>
      </w:pPr>
      <w:r>
        <w:rPr>
          <w:rFonts w:ascii="Arial" w:cs="Arial" w:eastAsia="Arial" w:hAnsi="Arial"/>
          <w:b w:val="false"/>
          <w:bCs w:val="false"/>
          <w:color w:val="000000"/>
          <w:sz w:val="22"/>
          <w:szCs w:val="22"/>
        </w:rPr>
        <w:t xml:space="preserve">Configuración de los cojinetes (driver y driven) y selección del modo de instrumentación que define qué sensores se generarán automáticamente.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00"/>
        <w:gridCol w:w="3260"/>
      </w:tblGrid>
      <w:tr>
        <w:tc>
          <w:tcPr>
            <w:tcW w:type="dxa" w:w="1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Sección</w:t>
            </w:r>
          </w:p>
        </w:tc>
        <w:tc>
          <w:tcPr>
            <w:tcW w:type="dxa" w:w="20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27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w:t>
            </w:r>
          </w:p>
        </w:tc>
        <w:tc>
          <w:tcPr>
            <w:tcW w:type="dxa" w:w="32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2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Support type</w:t>
            </w:r>
          </w:p>
        </w:tc>
        <w:tc>
          <w:tcPr>
            <w:tcW w:type="dxa" w:w="27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rolling_element</w:t>
            </w:r>
          </w:p>
        </w:tc>
        <w:tc>
          <w:tcPr>
            <w:tcW w:type="dxa" w:w="3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Squeeze film + rolling</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2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Cantidad</w:t>
            </w:r>
          </w:p>
        </w:tc>
        <w:tc>
          <w:tcPr>
            <w:tcW w:type="dxa" w:w="27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w:t>
            </w:r>
          </w:p>
        </w:tc>
        <w:tc>
          <w:tcPr>
            <w:tcW w:type="dxa" w:w="3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 + NDE</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2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Modo instrumentación</w:t>
            </w:r>
          </w:p>
        </w:tc>
        <w:tc>
          <w:tcPr>
            <w:tcW w:type="dxa" w:w="27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accel_plus_velocity</w:t>
            </w:r>
          </w:p>
        </w:tc>
        <w:tc>
          <w:tcPr>
            <w:tcW w:type="dxa" w:w="3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Genera 1 accel + 1 vel por plano</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Driver</w:t>
            </w:r>
          </w:p>
        </w:tc>
        <w:tc>
          <w:tcPr>
            <w:tcW w:type="dxa" w:w="2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Prefix accel</w:t>
            </w:r>
          </w:p>
        </w:tc>
        <w:tc>
          <w:tcPr>
            <w:tcW w:type="dxa" w:w="27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TRF / CRF</w:t>
            </w:r>
          </w:p>
        </w:tc>
        <w:tc>
          <w:tcPr>
            <w:tcW w:type="dxa" w:w="3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Match al naming de Bently</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2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Support type</w:t>
            </w:r>
          </w:p>
        </w:tc>
        <w:tc>
          <w:tcPr>
            <w:tcW w:type="dxa" w:w="27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fluid_film</w:t>
            </w:r>
          </w:p>
        </w:tc>
        <w:tc>
          <w:tcPr>
            <w:tcW w:type="dxa" w:w="3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Hidrodinámicos</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2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Cantidad</w:t>
            </w:r>
          </w:p>
        </w:tc>
        <w:tc>
          <w:tcPr>
            <w:tcW w:type="dxa" w:w="27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w:t>
            </w:r>
          </w:p>
        </w:tc>
        <w:tc>
          <w:tcPr>
            <w:tcW w:type="dxa" w:w="3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 + NDE</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2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Modo instrumentación</w:t>
            </w:r>
          </w:p>
        </w:tc>
        <w:tc>
          <w:tcPr>
            <w:tcW w:type="dxa" w:w="27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proximity_xy</w:t>
            </w:r>
          </w:p>
        </w:tc>
        <w:tc>
          <w:tcPr>
            <w:tcW w:type="dxa" w:w="3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Par X-Y proximity por plano</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Driven</w:t>
            </w:r>
          </w:p>
        </w:tc>
        <w:tc>
          <w:tcPr>
            <w:tcW w:type="dxa" w:w="2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Prefix</w:t>
            </w:r>
          </w:p>
        </w:tc>
        <w:tc>
          <w:tcPr>
            <w:tcW w:type="dxa" w:w="27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GEN_DE / GEN_NDE</w:t>
            </w:r>
          </w:p>
        </w:tc>
        <w:tc>
          <w:tcPr>
            <w:tcW w:type="dxa" w:w="3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
            </w:r>
          </w:p>
        </w:tc>
      </w:tr>
    </w:tbl>
    <w:p>
      <w:pPr>
        <w:spacing w:after="120"/>
      </w:pPr>
      <w:r>
        <w:t xml:space="preserve"/>
      </w:r>
    </w:p>
    <w:p>
      <w:pPr>
        <w:spacing w:after="120" w:before="0"/>
      </w:pPr>
      <w:r>
        <w:rPr>
          <w:rFonts w:ascii="Arial" w:cs="Arial" w:eastAsia="Arial" w:hAnsi="Arial"/>
          <w:b w:val="false"/>
          <w:bCs w:val="false"/>
          <w:color w:val="000000"/>
          <w:sz w:val="22"/>
          <w:szCs w:val="22"/>
        </w:rPr>
        <w:t xml:space="preserve">Sensores generados automáticamente (8 totales):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1800"/>
        <w:gridCol w:w="1300"/>
        <w:gridCol w:w="2260"/>
      </w:tblGrid>
      <w:tr>
        <w:tc>
          <w:tcPr>
            <w:tcW w:type="dxa" w:w="6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2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w:t>
            </w:r>
          </w:p>
        </w:tc>
        <w:tc>
          <w:tcPr>
            <w:tcW w:type="dxa" w:w="22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Plano</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13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Dirección</w:t>
            </w:r>
          </w:p>
        </w:tc>
        <w:tc>
          <w:tcPr>
            <w:tcW w:type="dxa" w:w="22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Unidad nativa</w:t>
            </w:r>
          </w:p>
        </w:tc>
      </w:tr>
      <w:tr>
        <w:tc>
          <w:tcPr>
            <w:tcW w:type="dxa" w:w="6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1Y_V</w:t>
            </w:r>
          </w:p>
        </w:tc>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 (CRF / driver DE)</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Velocity</w:t>
            </w:r>
          </w:p>
        </w:tc>
        <w:tc>
          <w:tcPr>
            <w:tcW w:type="dxa" w:w="13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in/s pk</w:t>
            </w:r>
          </w:p>
        </w:tc>
      </w:tr>
      <w:tr>
        <w:tc>
          <w:tcPr>
            <w:tcW w:type="dxa" w:w="6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1Y_A</w:t>
            </w:r>
          </w:p>
        </w:tc>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 (CRF / driver DE)</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Accelerometer</w:t>
            </w:r>
          </w:p>
        </w:tc>
        <w:tc>
          <w:tcPr>
            <w:tcW w:type="dxa" w:w="13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 pk</w:t>
            </w:r>
          </w:p>
        </w:tc>
      </w:tr>
      <w:tr>
        <w:tc>
          <w:tcPr>
            <w:tcW w:type="dxa" w:w="6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2Y_V</w:t>
            </w:r>
          </w:p>
        </w:tc>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 (TRF / driver NDE)</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Velocity</w:t>
            </w:r>
          </w:p>
        </w:tc>
        <w:tc>
          <w:tcPr>
            <w:tcW w:type="dxa" w:w="13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in/s pk</w:t>
            </w:r>
          </w:p>
        </w:tc>
      </w:tr>
      <w:tr>
        <w:tc>
          <w:tcPr>
            <w:tcW w:type="dxa" w:w="6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2Y_A</w:t>
            </w:r>
          </w:p>
        </w:tc>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 (TRF / driver NDE)</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Accelerometer</w:t>
            </w:r>
          </w:p>
        </w:tc>
        <w:tc>
          <w:tcPr>
            <w:tcW w:type="dxa" w:w="13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 pk</w:t>
            </w:r>
          </w:p>
        </w:tc>
      </w:tr>
      <w:tr>
        <w:tc>
          <w:tcPr>
            <w:tcW w:type="dxa" w:w="6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5</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3X_D</w:t>
            </w:r>
          </w:p>
        </w:tc>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 (GEN DE / driven DE)</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Proximity</w:t>
            </w:r>
          </w:p>
        </w:tc>
        <w:tc>
          <w:tcPr>
            <w:tcW w:type="dxa" w:w="13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X</w:t>
            </w:r>
          </w:p>
        </w:tc>
        <w:tc>
          <w:tcPr>
            <w:tcW w:type="dxa" w:w="2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r>
      <w:tr>
        <w:tc>
          <w:tcPr>
            <w:tcW w:type="dxa" w:w="6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3Y_D</w:t>
            </w:r>
          </w:p>
        </w:tc>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 (GEN DE / driven DE)</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Proximity</w:t>
            </w:r>
          </w:p>
        </w:tc>
        <w:tc>
          <w:tcPr>
            <w:tcW w:type="dxa" w:w="13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r>
      <w:tr>
        <w:tc>
          <w:tcPr>
            <w:tcW w:type="dxa" w:w="6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7</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4X_D</w:t>
            </w:r>
          </w:p>
        </w:tc>
        <w:tc>
          <w:tcPr>
            <w:tcW w:type="dxa" w:w="2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 (GEN NDE / driven NDE)</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Proximity</w:t>
            </w:r>
          </w:p>
        </w:tc>
        <w:tc>
          <w:tcPr>
            <w:tcW w:type="dxa" w:w="13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X</w:t>
            </w:r>
          </w:p>
        </w:tc>
        <w:tc>
          <w:tcPr>
            <w:tcW w:type="dxa" w:w="2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r>
      <w:tr>
        <w:tc>
          <w:tcPr>
            <w:tcW w:type="dxa" w:w="6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8</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4Y_D</w:t>
            </w:r>
          </w:p>
        </w:tc>
        <w:tc>
          <w:tcPr>
            <w:tcW w:type="dxa" w:w="2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 (GEN NDE / driven NDE)</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Proximity</w:t>
            </w:r>
          </w:p>
        </w:tc>
        <w:tc>
          <w:tcPr>
            <w:tcW w:type="dxa" w:w="13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Y</w:t>
            </w:r>
          </w:p>
        </w:tc>
        <w:tc>
          <w:tcPr>
            <w:tcW w:type="dxa" w:w="2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r>
    </w:tbl>
    <w:p>
      <w:r>
        <w:br w:type="page"/>
      </w:r>
    </w:p>
    <w:p>
      <w:pPr>
        <w:pStyle w:val="Heading2"/>
        <w:spacing w:after="120" w:before="0"/>
      </w:pPr>
      <w:r>
        <w:rPr>
          <w:rFonts w:ascii="Arial" w:cs="Arial" w:eastAsia="Arial" w:hAnsi="Arial"/>
          <w:b w:val="false"/>
          <w:bCs w:val="false"/>
          <w:color w:val="000000"/>
          <w:sz w:val="22"/>
          <w:szCs w:val="22"/>
        </w:rPr>
        <w:t xml:space="preserve">5.8 Wizard Paso 5 — Posicionar sensores sobre el esquemático</w:t>
      </w:r>
    </w:p>
    <w:p>
      <w:pPr>
        <w:spacing w:after="120" w:before="0"/>
      </w:pPr>
      <w:r>
        <w:rPr>
          <w:rFonts w:ascii="Arial" w:cs="Arial" w:eastAsia="Arial" w:hAnsi="Arial"/>
          <w:b w:val="false"/>
          <w:bCs w:val="false"/>
          <w:color w:val="000000"/>
          <w:sz w:val="22"/>
          <w:szCs w:val="22"/>
        </w:rPr>
        <w:t xml:space="preserve">El editor visual del Sensor Map muestra el esquemático del activo. Sobre él hay que ubicar cada sensor haciendo click en su posición física real. Cada click registra coordenadas x_pct e y_pct (porcentaje del ancho/alto del esquemático).</w:t>
      </w:r>
    </w:p>
    <w:p>
      <w:pPr>
        <w:spacing w:after="120"/>
      </w:pPr>
      <w:r>
        <w:t xml:space="preserve"/>
      </w:r>
    </w:p>
    <w:p>
      <w:pPr>
        <w:spacing w:after="120" w:before="0"/>
      </w:pPr>
      <w:r>
        <w:rPr>
          <w:rFonts w:ascii="Arial" w:cs="Arial" w:eastAsia="Arial" w:hAnsi="Arial"/>
          <w:b/>
          <w:bCs/>
          <w:color w:val="000000"/>
          <w:sz w:val="22"/>
          <w:szCs w:val="22"/>
        </w:rPr>
        <w:t xml:space="preserve">Posiciones recomendadas para TES1 (LM6000 + Brush en horizontal):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x_pct (aprox)</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y_pct (aprox)</w:t>
            </w:r>
          </w:p>
        </w:tc>
        <w:tc>
          <w:tcPr>
            <w:tcW w:type="dxa" w:w="42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Ubicación física</w:t>
            </w:r>
          </w:p>
        </w:tc>
      </w:tr>
      <w:tr>
        <w:tc>
          <w:tcPr>
            <w:tcW w:type="dxa" w:w="1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1Y_V</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22%</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35%</w:t>
            </w:r>
          </w:p>
        </w:tc>
        <w:tc>
          <w:tcPr>
            <w:tcW w:type="dxa" w:w="4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Casing CRF lado izquierdo arriba</w:t>
            </w:r>
          </w:p>
        </w:tc>
      </w:tr>
      <w:tr>
        <w:tc>
          <w:tcPr>
            <w:tcW w:type="dxa" w:w="1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1Y_A</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24%</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35%</w:t>
            </w:r>
          </w:p>
        </w:tc>
        <w:tc>
          <w:tcPr>
            <w:tcW w:type="dxa" w:w="4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Casing CRF lado izquierdo arriba (junto al velocímetro)</w:t>
            </w:r>
          </w:p>
        </w:tc>
      </w:tr>
      <w:tr>
        <w:tc>
          <w:tcPr>
            <w:tcW w:type="dxa" w:w="1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2Y_V</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36%</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35%</w:t>
            </w:r>
          </w:p>
        </w:tc>
        <w:tc>
          <w:tcPr>
            <w:tcW w:type="dxa" w:w="4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Casing TRF parte central-izquierda arriba</w:t>
            </w:r>
          </w:p>
        </w:tc>
      </w:tr>
      <w:tr>
        <w:tc>
          <w:tcPr>
            <w:tcW w:type="dxa" w:w="1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2Y_A</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38%</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35%</w:t>
            </w:r>
          </w:p>
        </w:tc>
        <w:tc>
          <w:tcPr>
            <w:tcW w:type="dxa" w:w="4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Casing TRF parte central-izquierda arriba</w:t>
            </w:r>
          </w:p>
        </w:tc>
      </w:tr>
      <w:tr>
        <w:tc>
          <w:tcPr>
            <w:tcW w:type="dxa" w:w="1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3X_D</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62%</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38%</w:t>
            </w:r>
          </w:p>
        </w:tc>
        <w:tc>
          <w:tcPr>
            <w:tcW w:type="dxa" w:w="4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 DE arriba (hemisferio superior)</w:t>
            </w:r>
          </w:p>
        </w:tc>
      </w:tr>
      <w:tr>
        <w:tc>
          <w:tcPr>
            <w:tcW w:type="dxa" w:w="1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3Y_D</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62%</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62%</w:t>
            </w:r>
          </w:p>
        </w:tc>
        <w:tc>
          <w:tcPr>
            <w:tcW w:type="dxa" w:w="4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 DE abajo (hemisferio inferior)</w:t>
            </w:r>
          </w:p>
        </w:tc>
      </w:tr>
      <w:tr>
        <w:tc>
          <w:tcPr>
            <w:tcW w:type="dxa" w:w="15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4X_D</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82%</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38%</w:t>
            </w:r>
          </w:p>
        </w:tc>
        <w:tc>
          <w:tcPr>
            <w:tcW w:type="dxa" w:w="42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 NDE arriba</w:t>
            </w:r>
          </w:p>
        </w:tc>
      </w:tr>
      <w:tr>
        <w:tc>
          <w:tcPr>
            <w:tcW w:type="dxa" w:w="15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4Y_D</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82%</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62%</w:t>
            </w:r>
          </w:p>
        </w:tc>
        <w:tc>
          <w:tcPr>
            <w:tcW w:type="dxa" w:w="42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Brush NDE abajo</w:t>
            </w:r>
          </w:p>
        </w:tc>
      </w:tr>
    </w:tbl>
    <w:p>
      <w:pPr>
        <w:spacing w:after="120"/>
      </w:pPr>
      <w:r>
        <w:t xml:space="preserve"/>
      </w:r>
    </w:p>
    <w:tbl>
      <w:tblPr>
        <w:tblW w:type="dxa" w:w="9360"/>
        <w:tblBorders>
          <w:top w:val="single" w:color="1E40AF" w:sz="12"/>
          <w:left w:val="single" w:color="1E40AF" w:sz="4"/>
          <w:bottom w:val="single" w:color="1E40AF" w:sz="4"/>
          <w:right w:val="single" w:color="1E40AF" w:sz="4"/>
          <w:insideH w:val="single" w:color="auto" w:sz="4"/>
          <w:insideV w:val="single" w:color="auto" w:sz="4"/>
        </w:tblBorders>
      </w:tblPr>
      <w:tblGrid>
        <w:gridCol w:w="9360"/>
      </w:tblGrid>
      <w:tr>
        <w:tc>
          <w:tcPr>
            <w:tcW w:type="dxa" w:w="9360"/>
            <w:shd w:fill="DBEAFE" w:val="clear"/>
            <w:tcMar>
              <w:top w:type="dxa" w:w="200"/>
              <w:left w:type="dxa" w:w="240"/>
              <w:bottom w:type="dxa" w:w="200"/>
              <w:right w:type="dxa" w:w="240"/>
            </w:tcMar>
          </w:tcPr>
          <w:p>
            <w:r>
              <w:rPr>
                <w:rFonts w:ascii="Arial" w:cs="Arial" w:eastAsia="Arial" w:hAnsi="Arial"/>
                <w:b/>
                <w:bCs/>
                <w:color w:val="1E40AF"/>
                <w:sz w:val="22"/>
                <w:szCs w:val="22"/>
              </w:rPr>
              <w:t xml:space="preserve">Estas posiciones son aproximadas. Ajustarlas con la imagen real del esquemático asegura que los sensor dots vivos del Live Monitoring queden visualmente sobre el cojinete real correspondiente.</w:t>
            </w:r>
          </w:p>
        </w:tc>
      </w:tr>
    </w:tbl>
    <w:p>
      <w:r>
        <w:br w:type="page"/>
      </w:r>
    </w:p>
    <w:p>
      <w:pPr>
        <w:pStyle w:val="Heading2"/>
        <w:spacing w:after="120" w:before="0"/>
      </w:pPr>
      <w:r>
        <w:rPr>
          <w:rFonts w:ascii="Arial" w:cs="Arial" w:eastAsia="Arial" w:hAnsi="Arial"/>
          <w:b w:val="false"/>
          <w:bCs w:val="false"/>
          <w:color w:val="000000"/>
          <w:sz w:val="22"/>
          <w:szCs w:val="22"/>
        </w:rPr>
        <w:t xml:space="preserve">5.9 Wizard Paso 6 — Setpoints (alarm / danger)</w:t>
      </w:r>
    </w:p>
    <w:p>
      <w:pPr>
        <w:spacing w:after="120" w:before="0"/>
      </w:pPr>
      <w:r>
        <w:rPr>
          <w:rFonts w:ascii="Arial" w:cs="Arial" w:eastAsia="Arial" w:hAnsi="Arial"/>
          <w:b w:val="false"/>
          <w:bCs w:val="false"/>
          <w:color w:val="000000"/>
          <w:sz w:val="22"/>
          <w:szCs w:val="22"/>
        </w:rPr>
        <w:t xml:space="preserve">Los setpoints determinan cuándo un valor pasa de Normal a Alarma a Danger. Para TES1 (LM6000 + Brush BDAX) se aplican los thresholds OEM publicados por GE Aviation en el service manual del LM6000 y la práctica API 670 para el generador.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800"/>
        <w:gridCol w:w="2760"/>
      </w:tblGrid>
      <w:tr>
        <w:tc>
          <w:tcPr>
            <w:tcW w:type="dxa" w:w="2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w:t>
            </w:r>
          </w:p>
        </w:tc>
        <w:tc>
          <w:tcPr>
            <w:tcW w:type="dxa" w:w="12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Alarm</w:t>
            </w:r>
          </w:p>
        </w:tc>
        <w:tc>
          <w:tcPr>
            <w:tcW w:type="dxa" w:w="12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Danger</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Unidad</w:t>
            </w:r>
          </w:p>
        </w:tc>
        <w:tc>
          <w:tcPr>
            <w:tcW w:type="dxa" w:w="27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Fuente</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1Y_V (Velocity CRF)</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1.0</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1.5</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in/s pk</w:t>
            </w:r>
          </w:p>
        </w:tc>
        <w:tc>
          <w:tcPr>
            <w:tcW w:type="dxa" w:w="2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LM6000 SM</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1Y_A (Accel CRF)</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5.0</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8.0</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 pk</w:t>
            </w:r>
          </w:p>
        </w:tc>
        <w:tc>
          <w:tcPr>
            <w:tcW w:type="dxa" w:w="2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LM6000 SM</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2Y_V (Velocity TRF)</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1.0</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1.5</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in/s pk</w:t>
            </w:r>
          </w:p>
        </w:tc>
        <w:tc>
          <w:tcPr>
            <w:tcW w:type="dxa" w:w="2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LM6000 SM</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2Y_A (Accel TRF)</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5.0</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8.0</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 pk</w:t>
            </w:r>
          </w:p>
        </w:tc>
        <w:tc>
          <w:tcPr>
            <w:tcW w:type="dxa" w:w="2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 LM6000 SM</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3X_D (Prox GEN DE X)</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4.0</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6.0</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c>
          <w:tcPr>
            <w:tcW w:type="dxa" w:w="2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API 670 + Brush spec</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3Y_D (Prox GEN DE Y)</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4.0</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6.0</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c>
          <w:tcPr>
            <w:tcW w:type="dxa" w:w="2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API 670 + Brush spec</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4X_D (Prox GEN NDE X)</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4.0</w:t>
            </w:r>
          </w:p>
        </w:tc>
        <w:tc>
          <w:tcPr>
            <w:tcW w:type="dxa" w:w="12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6.0</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c>
          <w:tcPr>
            <w:tcW w:type="dxa" w:w="2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API 670 + Brush spec</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4Y_D (Prox GEN NDE Y)</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4.0</w:t>
            </w:r>
          </w:p>
        </w:tc>
        <w:tc>
          <w:tcPr>
            <w:tcW w:type="dxa" w:w="12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6.0</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mil pp</w:t>
            </w:r>
          </w:p>
        </w:tc>
        <w:tc>
          <w:tcPr>
            <w:tcW w:type="dxa" w:w="2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API 670 + Brush spec</w:t>
            </w:r>
          </w:p>
        </w:tc>
      </w:tr>
    </w:tbl>
    <w:p>
      <w:pPr>
        <w:spacing w:after="120"/>
      </w:pPr>
      <w:r>
        <w:t xml:space="preserve"/>
      </w:r>
    </w:p>
    <w:p>
      <w:pPr>
        <w:spacing w:after="120" w:before="0"/>
      </w:pPr>
      <w:r>
        <w:rPr>
          <w:rFonts w:ascii="Arial" w:cs="Arial" w:eastAsia="Arial" w:hAnsi="Arial"/>
          <w:b w:val="false"/>
          <w:bCs w:val="false"/>
          <w:color w:val="000000"/>
          <w:sz w:val="22"/>
          <w:szCs w:val="22"/>
        </w:rPr>
        <w:t xml:space="preserve">Si el wizard no permite editar setpoints por sensor en este paso, los setpoints se pueden configurar después desde Machinery Library → Edit asset → tab Sondas/Setpoints.</w:t>
      </w:r>
    </w:p>
    <w:p>
      <w:pPr>
        <w:pStyle w:val="Heading2"/>
        <w:spacing w:after="120" w:before="0"/>
      </w:pPr>
      <w:r>
        <w:rPr>
          <w:rFonts w:ascii="Arial" w:cs="Arial" w:eastAsia="Arial" w:hAnsi="Arial"/>
          <w:b w:val="false"/>
          <w:bCs w:val="false"/>
          <w:color w:val="000000"/>
          <w:sz w:val="22"/>
          <w:szCs w:val="22"/>
        </w:rPr>
        <w:t xml:space="preserve">5.10 Confirmar y crear</w:t>
      </w:r>
    </w:p>
    <w:p>
      <w:pPr>
        <w:spacing w:after="120" w:before="0"/>
      </w:pPr>
      <w:r>
        <w:rPr>
          <w:rFonts w:ascii="Arial" w:cs="Arial" w:eastAsia="Arial" w:hAnsi="Arial"/>
          <w:b w:val="false"/>
          <w:bCs w:val="false"/>
          <w:color w:val="000000"/>
          <w:sz w:val="22"/>
          <w:szCs w:val="22"/>
        </w:rPr>
        <w:t xml:space="preserve">Click en “Crear activo” al final del wizard. El sistema:</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Genera la carpeta data/instances/tes1/</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Persiste el sensor map con los 8 sensores y sus posiciones</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Aplica los setpoints OEM</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Te redirige a Machinery Library con TES1 ya seleccionado como activo activo</w:t>
      </w:r>
    </w:p>
    <w:p>
      <w:r>
        <w:br w:type="page"/>
      </w:r>
    </w:p>
    <w:p>
      <w:pPr>
        <w:pStyle w:val="Heading1"/>
        <w:spacing w:after="120" w:before="0"/>
      </w:pPr>
      <w:r>
        <w:rPr>
          <w:rFonts w:ascii="Arial" w:cs="Arial" w:eastAsia="Arial" w:hAnsi="Arial"/>
          <w:b w:val="false"/>
          <w:bCs w:val="false"/>
          <w:color w:val="000000"/>
          <w:sz w:val="22"/>
          <w:szCs w:val="22"/>
        </w:rPr>
        <w:t xml:space="preserve">6. Verificación post-creación</w:t>
      </w:r>
    </w:p>
    <w:p>
      <w:pPr>
        <w:pStyle w:val="Heading2"/>
        <w:spacing w:after="120" w:before="0"/>
      </w:pPr>
      <w:r>
        <w:rPr>
          <w:rFonts w:ascii="Arial" w:cs="Arial" w:eastAsia="Arial" w:hAnsi="Arial"/>
          <w:b w:val="false"/>
          <w:bCs w:val="false"/>
          <w:color w:val="000000"/>
          <w:sz w:val="22"/>
          <w:szCs w:val="22"/>
        </w:rPr>
        <w:t xml:space="preserve">6.1 Tabular List</w:t>
      </w:r>
    </w:p>
    <w:p>
      <w:pPr>
        <w:spacing w:after="120" w:before="0"/>
      </w:pPr>
      <w:r>
        <w:rPr>
          <w:rFonts w:ascii="Arial" w:cs="Arial" w:eastAsia="Arial" w:hAnsi="Arial"/>
          <w:b w:val="false"/>
          <w:bCs w:val="false"/>
          <w:color w:val="000000"/>
          <w:sz w:val="22"/>
          <w:szCs w:val="22"/>
        </w:rPr>
        <w:t xml:space="preserve">Sidebar → Tabular List. Seleccionar activo TES1. Verificar:</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Aparecen los 8 canales con sus thresholds</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Las unidades son las correctas (in/s pk, g pk, mil pp)</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El badge de severidad coincide con el último valor leído</w:t>
      </w:r>
    </w:p>
    <w:p>
      <w:pPr>
        <w:pStyle w:val="Heading2"/>
        <w:spacing w:after="120" w:before="0"/>
      </w:pPr>
      <w:r>
        <w:rPr>
          <w:rFonts w:ascii="Arial" w:cs="Arial" w:eastAsia="Arial" w:hAnsi="Arial"/>
          <w:b w:val="false"/>
          <w:bCs w:val="false"/>
          <w:color w:val="000000"/>
          <w:sz w:val="22"/>
          <w:szCs w:val="22"/>
        </w:rPr>
        <w:t xml:space="preserve">6.2 Live Monitoring</w:t>
      </w:r>
    </w:p>
    <w:p>
      <w:pPr>
        <w:spacing w:after="120" w:before="0"/>
      </w:pPr>
      <w:r>
        <w:rPr>
          <w:rFonts w:ascii="Arial" w:cs="Arial" w:eastAsia="Arial" w:hAnsi="Arial"/>
          <w:b w:val="false"/>
          <w:bCs w:val="false"/>
          <w:color w:val="000000"/>
          <w:sz w:val="22"/>
          <w:szCs w:val="22"/>
        </w:rPr>
        <w:t xml:space="preserve">Sidebar → 🔴 Live Monitoring. Seleccionar activo “tes1”. Verificar:</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Chip 🛡️ "Aero turbine (OEM)" en el header (azul)</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9 sensores reportando (8 sensores + speed)</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"Última lectura" muestra menos de 30 segundos</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El esquemático muestra los 8 dots con value badges visibles</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Los valores normales (~0.7 in/s pk) aparecen como Normal, no Danger</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Tab "Tendencia": el chart muestra hora local correcta y bandas de severidad</w:t>
      </w:r>
    </w:p>
    <w:p>
      <w:pPr>
        <w:pStyle w:val="ListParagraph"/>
        <w:numPr>
          <w:ilvl w:val="0"/>
          <w:numId w:val="3"/>
        </w:numPr>
        <w:spacing w:after="120"/>
      </w:pPr>
      <w:r>
        <w:rPr>
          <w:rFonts w:ascii="Arial" w:cs="Arial" w:eastAsia="Arial" w:hAnsi="Arial"/>
          <w:b w:val="false"/>
          <w:bCs w:val="false"/>
          <w:i w:val="false"/>
          <w:iCs w:val="false"/>
          <w:color w:val="000000"/>
          <w:sz w:val="22"/>
          <w:szCs w:val="22"/>
        </w:rPr>
        <w:t xml:space="preserve">Tab "Vectores 1X/2X": phasor diagrams visibles para los 4 proximity probes</w:t>
      </w:r>
    </w:p>
    <w:p>
      <w:pPr>
        <w:pStyle w:val="Heading2"/>
        <w:spacing w:after="120" w:before="0"/>
      </w:pPr>
      <w:r>
        <w:rPr>
          <w:rFonts w:ascii="Arial" w:cs="Arial" w:eastAsia="Arial" w:hAnsi="Arial"/>
          <w:b w:val="false"/>
          <w:bCs w:val="false"/>
          <w:color w:val="000000"/>
          <w:sz w:val="22"/>
          <w:szCs w:val="22"/>
        </w:rPr>
        <w:t xml:space="preserve">6.3 Continuidad de datos en vivo</w:t>
      </w:r>
    </w:p>
    <w:p>
      <w:pPr>
        <w:spacing w:after="120" w:before="0"/>
      </w:pPr>
      <w:r>
        <w:rPr>
          <w:rFonts w:ascii="Arial" w:cs="Arial" w:eastAsia="Arial" w:hAnsi="Arial"/>
          <w:b w:val="false"/>
          <w:bCs w:val="false"/>
          <w:color w:val="000000"/>
          <w:sz w:val="22"/>
          <w:szCs w:val="22"/>
        </w:rPr>
        <w:t xml:space="preserve">Si el wm-collector está corriendo en el PC de planta TES1, la página debe mostrar inmediatamente datos en vivo (la historia de Supabase se preserva). Si el contador "Última lectura" no se actualiza:</w:t>
      </w:r>
    </w:p>
    <w:p>
      <w:pPr>
        <w:pStyle w:val="ListParagraph"/>
        <w:numPr>
          <w:ilvl w:val="0"/>
          <w:numId w:val="2"/>
        </w:numPr>
        <w:spacing w:after="120"/>
      </w:pPr>
      <w:r>
        <w:rPr>
          <w:rFonts w:ascii="Arial" w:cs="Arial" w:eastAsia="Arial" w:hAnsi="Arial"/>
          <w:b w:val="false"/>
          <w:bCs w:val="false"/>
          <w:i w:val="false"/>
          <w:iCs w:val="false"/>
          <w:color w:val="000000"/>
          <w:sz w:val="22"/>
          <w:szCs w:val="22"/>
        </w:rPr>
        <w:t xml:space="preserve">Conectar por RDP al server TES1 (192.168.192.108 vía ZeroTier)</w:t>
      </w:r>
    </w:p>
    <w:p>
      <w:pPr>
        <w:pStyle w:val="ListParagraph"/>
        <w:numPr>
          <w:ilvl w:val="0"/>
          <w:numId w:val="2"/>
        </w:numPr>
        <w:spacing w:after="120"/>
      </w:pPr>
      <w:r>
        <w:rPr>
          <w:rFonts w:ascii="Courier New" w:cs="Courier New" w:eastAsia="Courier New" w:hAnsi="Courier New"/>
          <w:b w:val="false"/>
          <w:bCs w:val="false"/>
          <w:i w:val="false"/>
          <w:iCs w:val="false"/>
          <w:color w:val="000000"/>
          <w:sz w:val="22"/>
          <w:szCs w:val="22"/>
        </w:rPr>
        <w:t xml:space="preserve">Abrir PowerShell y ejecutar: Get-Service WatermelonCollector</w:t>
      </w:r>
    </w:p>
    <w:p>
      <w:pPr>
        <w:pStyle w:val="ListParagraph"/>
        <w:numPr>
          <w:ilvl w:val="0"/>
          <w:numId w:val="2"/>
        </w:numPr>
        <w:spacing w:after="120"/>
      </w:pPr>
      <w:r>
        <w:rPr>
          <w:rFonts w:ascii="Courier New" w:cs="Courier New" w:eastAsia="Courier New" w:hAnsi="Courier New"/>
          <w:b w:val="false"/>
          <w:bCs w:val="false"/>
          <w:i w:val="false"/>
          <w:iCs w:val="false"/>
          <w:color w:val="000000"/>
          <w:sz w:val="22"/>
          <w:szCs w:val="22"/>
        </w:rPr>
        <w:t xml:space="preserve">Si dice "Stopped", arrancar con: nssm start WatermelonCollector</w:t>
      </w:r>
    </w:p>
    <w:p>
      <w:r>
        <w:br w:type="page"/>
      </w:r>
    </w:p>
    <w:p>
      <w:pPr>
        <w:pStyle w:val="Heading1"/>
        <w:spacing w:after="120" w:before="0"/>
      </w:pPr>
      <w:r>
        <w:rPr>
          <w:rFonts w:ascii="Arial" w:cs="Arial" w:eastAsia="Arial" w:hAnsi="Arial"/>
          <w:b w:val="false"/>
          <w:bCs w:val="false"/>
          <w:color w:val="000000"/>
          <w:sz w:val="22"/>
          <w:szCs w:val="22"/>
        </w:rPr>
        <w:t xml:space="preserve">7. Troubleshooting</w:t>
      </w:r>
    </w:p>
    <w:p>
      <w:pPr>
        <w:spacing w:after="120" w:before="0"/>
      </w:pPr>
      <w:r>
        <w:rPr>
          <w:rFonts w:ascii="Arial" w:cs="Arial" w:eastAsia="Arial" w:hAnsi="Arial"/>
          <w:b w:val="false"/>
          <w:bCs w:val="false"/>
          <w:color w:val="000000"/>
          <w:sz w:val="22"/>
          <w:szCs w:val="22"/>
        </w:rPr>
        <w:t xml:space="preserve">Problemas comunes y su resolución: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Síntoma</w:t>
            </w:r>
          </w:p>
        </w:tc>
        <w:tc>
          <w:tcPr>
            <w:tcW w:type="dxa" w:w="30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Causa probable</w:t>
            </w:r>
          </w:p>
        </w:tc>
        <w:tc>
          <w:tcPr>
            <w:tcW w:type="dxa" w:w="39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Solución</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Live Monitoring dice "Sin datos"</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Mismatch entre instance_id del activo y el del Modbus map</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Verificar que el slug en wizard sea exactamente "tes1"</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Sensores fantasma en el esquemático</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El wizard generó labels distintos a los del Modbus map (ej. 1_RAD_V vs 1Y_V)</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Reset y recrear con el modo accel_plus_velocity</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Falsos DANGER en valores normales</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Asset class no detectada como aero turbine</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Verificar que driver_model contenga "LM6000". El chip debe decir "Aero turbine (OEM)"</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Trend chart muestra hora futura</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Bug timezone (resuelto en v3.31.3)</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Verificar que la versión sea v3.31.3 o superior</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Schematic no aparece</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El activo no tiene schematic_png cargado</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Machinery Library → Edit → tab Esquemático → cargar PNG</w:t>
            </w:r>
          </w:p>
        </w:tc>
      </w:tr>
      <w:tr>
        <w:tc>
          <w:tcPr>
            <w:tcW w:type="dxa" w:w="2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Collector no postea datos</w:t>
            </w:r>
          </w:p>
        </w:tc>
        <w:tc>
          <w:tcPr>
            <w:tcW w:type="dxa" w:w="30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Servicio Windows detenido o sin red</w:t>
            </w:r>
          </w:p>
        </w:tc>
        <w:tc>
          <w:tcPr>
            <w:tcW w:type="dxa" w:w="39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RDP al server, Get-Service WatermelonCollector, nssm start si Stopped</w:t>
            </w:r>
          </w:p>
        </w:tc>
      </w:tr>
      <w:tr>
        <w:tc>
          <w:tcPr>
            <w:tcW w:type="dxa" w:w="2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bCs/>
                <w:color w:val="0F172A"/>
                <w:sz w:val="20"/>
                <w:szCs w:val="20"/>
              </w:rPr>
              <w:t xml:space="preserve">Reportes anteriores no aparecen</w:t>
            </w:r>
          </w:p>
        </w:tc>
        <w:tc>
          <w:tcPr>
            <w:tcW w:type="dxa" w:w="30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Reports archive fue limpiado al recrear el activo</w:t>
            </w:r>
          </w:p>
        </w:tc>
        <w:tc>
          <w:tcPr>
            <w:tcW w:type="dxa" w:w="39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Generar nuevos reportes; los archivados quedan disponibles si no se borraron</w:t>
            </w:r>
          </w:p>
        </w:tc>
      </w:tr>
    </w:tbl>
    <w:p>
      <w:r>
        <w:br w:type="page"/>
      </w:r>
    </w:p>
    <w:p>
      <w:pPr>
        <w:pStyle w:val="Heading1"/>
        <w:spacing w:after="120" w:before="0"/>
      </w:pPr>
      <w:r>
        <w:rPr>
          <w:rFonts w:ascii="Arial" w:cs="Arial" w:eastAsia="Arial" w:hAnsi="Arial"/>
          <w:b w:val="false"/>
          <w:bCs w:val="false"/>
          <w:color w:val="000000"/>
          <w:sz w:val="22"/>
          <w:szCs w:val="22"/>
        </w:rPr>
        <w:t xml:space="preserve">8. Anexos</w:t>
      </w:r>
    </w:p>
    <w:p>
      <w:pPr>
        <w:pStyle w:val="Heading2"/>
        <w:spacing w:after="120" w:before="0"/>
      </w:pPr>
      <w:r>
        <w:rPr>
          <w:rFonts w:ascii="Arial" w:cs="Arial" w:eastAsia="Arial" w:hAnsi="Arial"/>
          <w:b w:val="false"/>
          <w:bCs w:val="false"/>
          <w:color w:val="000000"/>
          <w:sz w:val="22"/>
          <w:szCs w:val="22"/>
        </w:rPr>
        <w:t xml:space="preserve">8.1 Convención de nombres de sensores (Bently 3500 estándar industrial)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18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Valores válidos</w:t>
            </w:r>
          </w:p>
        </w:tc>
        <w:tc>
          <w:tcPr>
            <w:tcW w:type="dxa" w:w="57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Significado</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Plano</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1, 2</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Driver (DE, NDE)</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Plano</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val="false"/>
                <w:bCs w:val="false"/>
                <w:color w:val="0F172A"/>
                <w:sz w:val="20"/>
                <w:szCs w:val="20"/>
              </w:rPr>
              <w:t xml:space="preserve">3, 4</w:t>
            </w:r>
          </w:p>
        </w:tc>
        <w:tc>
          <w:tcPr>
            <w:tcW w:type="dxa" w:w="5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Driven (DE, NDE)</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Dirección</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X</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Horizontal radial (típicamente +45° R)</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Dirección</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Y</w:t>
            </w:r>
          </w:p>
        </w:tc>
        <w:tc>
          <w:tcPr>
            <w:tcW w:type="dxa" w:w="5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Vertical radial (típicamente +45° L)</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Dirección</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AX</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Axial (thrust)</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Dirección</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RAD</w:t>
            </w:r>
          </w:p>
        </w:tc>
        <w:tc>
          <w:tcPr>
            <w:tcW w:type="dxa" w:w="5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Radial top (carcasa, sin distinción X/Y)</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Tipo</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V</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Velocity (mm/s o in/s)</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Tipo</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A</w:t>
            </w:r>
          </w:p>
        </w:tc>
        <w:tc>
          <w:tcPr>
            <w:tcW w:type="dxa" w:w="5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Accelerometer (g)</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Tipo</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D</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Displacement / proximity (mil pp o µm pp)</w:t>
            </w:r>
          </w:p>
        </w:tc>
      </w:tr>
      <w:tr>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Tipo</w:t>
            </w:r>
          </w:p>
        </w:tc>
        <w:tc>
          <w:tcPr>
            <w:tcW w:type="dxa" w:w="18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K</w:t>
            </w:r>
          </w:p>
        </w:tc>
        <w:tc>
          <w:tcPr>
            <w:tcW w:type="dxa" w:w="57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Keyphasor (referencia 1X)</w:t>
            </w:r>
          </w:p>
        </w:tc>
      </w:tr>
      <w:tr>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Ejemplo</w:t>
            </w:r>
          </w:p>
        </w:tc>
        <w:tc>
          <w:tcPr>
            <w:tcW w:type="dxa" w:w="18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Courier New" w:cs="Courier New" w:eastAsia="Courier New" w:hAnsi="Courier New"/>
                <w:b/>
                <w:bCs/>
                <w:color w:val="0F172A"/>
                <w:sz w:val="20"/>
                <w:szCs w:val="20"/>
              </w:rPr>
              <w:t xml:space="preserve">3Y_D</w:t>
            </w:r>
          </w:p>
        </w:tc>
        <w:tc>
          <w:tcPr>
            <w:tcW w:type="dxa" w:w="57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Plano 3, dirección Y, displacement (proximity probe)</w:t>
            </w:r>
          </w:p>
        </w:tc>
      </w:tr>
    </w:tbl>
    <w:p>
      <w:pPr>
        <w:pStyle w:val="Heading2"/>
        <w:spacing w:after="120" w:before="0"/>
      </w:pPr>
      <w:r>
        <w:rPr>
          <w:rFonts w:ascii="Arial" w:cs="Arial" w:eastAsia="Arial" w:hAnsi="Arial"/>
          <w:b w:val="false"/>
          <w:bCs w:val="false"/>
          <w:color w:val="000000"/>
          <w:sz w:val="22"/>
          <w:szCs w:val="22"/>
        </w:rPr>
        <w:t xml:space="preserve">8.2 Convención de plane_label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Plano</w:t>
            </w:r>
          </w:p>
        </w:tc>
        <w:tc>
          <w:tcPr>
            <w:tcW w:type="dxa" w:w="440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 estándar (LM6000+Brush)</w:t>
            </w:r>
          </w:p>
        </w:tc>
        <w:tc>
          <w:tcPr>
            <w:tcW w:type="dxa" w:w="3560"/>
            <w:tcBorders>
              <w:top w:val="single" w:color="BFD8FF" w:sz="6"/>
              <w:left w:val="single" w:color="BFD8FF" w:sz="6"/>
              <w:bottom w:val="single" w:color="BFD8FF" w:sz="6"/>
              <w:right w:val="single" w:color="BFD8FF" w:sz="6"/>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Equivalente genérico</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1</w:t>
            </w:r>
          </w:p>
        </w:tc>
        <w:tc>
          <w:tcPr>
            <w:tcW w:type="dxa" w:w="4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CRF (Compressor Rear Frame)</w:t>
            </w:r>
          </w:p>
        </w:tc>
        <w:tc>
          <w:tcPr>
            <w:tcW w:type="dxa" w:w="3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 driver</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2</w:t>
            </w:r>
          </w:p>
        </w:tc>
        <w:tc>
          <w:tcPr>
            <w:tcW w:type="dxa" w:w="4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TRF (Turbine Rear Frame)</w:t>
            </w:r>
          </w:p>
        </w:tc>
        <w:tc>
          <w:tcPr>
            <w:tcW w:type="dxa" w:w="3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NDE driver</w:t>
            </w:r>
          </w:p>
        </w:tc>
      </w:tr>
      <w:tr>
        <w:tc>
          <w:tcPr>
            <w:tcW w:type="dxa" w:w="1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3</w:t>
            </w:r>
          </w:p>
        </w:tc>
        <w:tc>
          <w:tcPr>
            <w:tcW w:type="dxa" w:w="440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GEN DE</w:t>
            </w:r>
          </w:p>
        </w:tc>
        <w:tc>
          <w:tcPr>
            <w:tcW w:type="dxa" w:w="3560"/>
            <w:tcBorders>
              <w:top w:val="single" w:color="BFD8FF" w:sz="6"/>
              <w:left w:val="single" w:color="BFD8FF" w:sz="6"/>
              <w:bottom w:val="single" w:color="BFD8FF" w:sz="6"/>
              <w:right w:val="single" w:color="BFD8FF" w:sz="6"/>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DE driven</w:t>
            </w:r>
          </w:p>
        </w:tc>
      </w:tr>
      <w:tr>
        <w:tc>
          <w:tcPr>
            <w:tcW w:type="dxa" w:w="1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4</w:t>
            </w:r>
          </w:p>
        </w:tc>
        <w:tc>
          <w:tcPr>
            <w:tcW w:type="dxa" w:w="440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GEN NDE</w:t>
            </w:r>
          </w:p>
        </w:tc>
        <w:tc>
          <w:tcPr>
            <w:tcW w:type="dxa" w:w="3560"/>
            <w:tcBorders>
              <w:top w:val="single" w:color="BFD8FF" w:sz="6"/>
              <w:left w:val="single" w:color="BFD8FF" w:sz="6"/>
              <w:bottom w:val="single" w:color="BFD8FF" w:sz="6"/>
              <w:right w:val="single" w:color="BFD8FF" w:sz="6"/>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F172A"/>
                <w:sz w:val="20"/>
                <w:szCs w:val="20"/>
              </w:rPr>
              <w:t xml:space="preserve">NDE driven</w:t>
            </w:r>
          </w:p>
        </w:tc>
      </w:tr>
    </w:tbl>
    <w:p>
      <w:pPr>
        <w:pStyle w:val="Heading2"/>
        <w:spacing w:after="120" w:before="0"/>
      </w:pPr>
      <w:r>
        <w:rPr>
          <w:rFonts w:ascii="Arial" w:cs="Arial" w:eastAsia="Arial" w:hAnsi="Arial"/>
          <w:b w:val="false"/>
          <w:bCs w:val="false"/>
          <w:color w:val="000000"/>
          <w:sz w:val="22"/>
          <w:szCs w:val="22"/>
        </w:rPr>
        <w:t xml:space="preserve">8.3 Referencias normativas</w:t>
      </w:r>
    </w:p>
    <w:p>
      <w:pPr>
        <w:spacing w:after="120"/>
      </w:pPr>
      <w:r>
        <w:rPr>
          <w:rFonts w:ascii="Arial" w:cs="Arial" w:eastAsia="Arial" w:hAnsi="Arial"/>
          <w:b/>
          <w:bCs/>
          <w:i w:val="false"/>
          <w:iCs w:val="false"/>
          <w:color w:val="000000"/>
          <w:sz w:val="22"/>
          <w:szCs w:val="22"/>
        </w:rPr>
        <w:t xml:space="preserve">ISO 14224</w:t>
      </w:r>
      <w:r>
        <w:rPr>
          <w:rFonts w:ascii="Arial" w:cs="Arial" w:eastAsia="Arial" w:hAnsi="Arial"/>
          <w:b w:val="false"/>
          <w:bCs w:val="false"/>
          <w:i w:val="false"/>
          <w:iCs w:val="false"/>
          <w:color w:val="000000"/>
          <w:sz w:val="22"/>
          <w:szCs w:val="22"/>
        </w:rPr>
        <w:t xml:space="preserve">: Petroleum, petrochemical and natural gas industries — Collection and exchange of reliability and maintenance data</w:t>
      </w:r>
    </w:p>
    <w:p>
      <w:pPr>
        <w:spacing w:after="120"/>
      </w:pPr>
      <w:r>
        <w:rPr>
          <w:rFonts w:ascii="Arial" w:cs="Arial" w:eastAsia="Arial" w:hAnsi="Arial"/>
          <w:b/>
          <w:bCs/>
          <w:i w:val="false"/>
          <w:iCs w:val="false"/>
          <w:color w:val="000000"/>
          <w:sz w:val="22"/>
          <w:szCs w:val="22"/>
        </w:rPr>
        <w:t xml:space="preserve">OREDA Handbook</w:t>
      </w:r>
      <w:r>
        <w:rPr>
          <w:rFonts w:ascii="Arial" w:cs="Arial" w:eastAsia="Arial" w:hAnsi="Arial"/>
          <w:b w:val="false"/>
          <w:bCs w:val="false"/>
          <w:i w:val="false"/>
          <w:iCs w:val="false"/>
          <w:color w:val="000000"/>
          <w:sz w:val="22"/>
          <w:szCs w:val="22"/>
        </w:rPr>
        <w:t xml:space="preserve">: Offshore and Onshore Reliability Data — taxonomía de equipos rotativos</w:t>
      </w:r>
    </w:p>
    <w:p>
      <w:pPr>
        <w:spacing w:after="120"/>
      </w:pPr>
      <w:r>
        <w:rPr>
          <w:rFonts w:ascii="Arial" w:cs="Arial" w:eastAsia="Arial" w:hAnsi="Arial"/>
          <w:b/>
          <w:bCs/>
          <w:i w:val="false"/>
          <w:iCs w:val="false"/>
          <w:color w:val="000000"/>
          <w:sz w:val="22"/>
          <w:szCs w:val="22"/>
        </w:rPr>
        <w:t xml:space="preserve">ISO 20816-3</w:t>
      </w:r>
      <w:r>
        <w:rPr>
          <w:rFonts w:ascii="Arial" w:cs="Arial" w:eastAsia="Arial" w:hAnsi="Arial"/>
          <w:b w:val="false"/>
          <w:bCs w:val="false"/>
          <w:i w:val="false"/>
          <w:iCs w:val="false"/>
          <w:color w:val="000000"/>
          <w:sz w:val="22"/>
          <w:szCs w:val="22"/>
        </w:rPr>
        <w:t xml:space="preserve">: Mechanical vibration — Measurement and evaluation — Part 3: Industrial machinery with nominal power above 15 kW</w:t>
      </w:r>
    </w:p>
    <w:p>
      <w:pPr>
        <w:spacing w:after="120"/>
      </w:pPr>
      <w:r>
        <w:rPr>
          <w:rFonts w:ascii="Arial" w:cs="Arial" w:eastAsia="Arial" w:hAnsi="Arial"/>
          <w:b/>
          <w:bCs/>
          <w:i w:val="false"/>
          <w:iCs w:val="false"/>
          <w:color w:val="000000"/>
          <w:sz w:val="22"/>
          <w:szCs w:val="22"/>
        </w:rPr>
        <w:t xml:space="preserve">API 670</w:t>
      </w:r>
      <w:r>
        <w:rPr>
          <w:rFonts w:ascii="Arial" w:cs="Arial" w:eastAsia="Arial" w:hAnsi="Arial"/>
          <w:b w:val="false"/>
          <w:bCs w:val="false"/>
          <w:i w:val="false"/>
          <w:iCs w:val="false"/>
          <w:color w:val="000000"/>
          <w:sz w:val="22"/>
          <w:szCs w:val="22"/>
        </w:rPr>
        <w:t xml:space="preserve">: Machinery Protection Systems (proximity probes, vibration monitoring)</w:t>
      </w:r>
    </w:p>
    <w:p>
      <w:pPr>
        <w:spacing w:after="120"/>
      </w:pPr>
      <w:r>
        <w:rPr>
          <w:rFonts w:ascii="Arial" w:cs="Arial" w:eastAsia="Arial" w:hAnsi="Arial"/>
          <w:b/>
          <w:bCs/>
          <w:i w:val="false"/>
          <w:iCs w:val="false"/>
          <w:color w:val="000000"/>
          <w:sz w:val="22"/>
          <w:szCs w:val="22"/>
        </w:rPr>
        <w:t xml:space="preserve">API 618</w:t>
      </w:r>
      <w:r>
        <w:rPr>
          <w:rFonts w:ascii="Arial" w:cs="Arial" w:eastAsia="Arial" w:hAnsi="Arial"/>
          <w:b w:val="false"/>
          <w:bCs w:val="false"/>
          <w:i w:val="false"/>
          <w:iCs w:val="false"/>
          <w:color w:val="000000"/>
          <w:sz w:val="22"/>
          <w:szCs w:val="22"/>
        </w:rPr>
        <w:t xml:space="preserve">: Reciprocating Compressors for Petroleum, Chemical, and Gas Industry Services</w:t>
      </w:r>
    </w:p>
    <w:p>
      <w:pPr>
        <w:spacing w:after="120"/>
      </w:pPr>
      <w:r>
        <w:rPr>
          <w:rFonts w:ascii="Arial" w:cs="Arial" w:eastAsia="Arial" w:hAnsi="Arial"/>
          <w:b/>
          <w:bCs/>
          <w:i w:val="false"/>
          <w:iCs w:val="false"/>
          <w:color w:val="000000"/>
          <w:sz w:val="22"/>
          <w:szCs w:val="22"/>
        </w:rPr>
        <w:t xml:space="preserve">GE LM6000 Service Manual</w:t>
      </w:r>
      <w:r>
        <w:rPr>
          <w:rFonts w:ascii="Arial" w:cs="Arial" w:eastAsia="Arial" w:hAnsi="Arial"/>
          <w:b w:val="false"/>
          <w:bCs w:val="false"/>
          <w:i w:val="false"/>
          <w:iCs w:val="false"/>
          <w:color w:val="000000"/>
          <w:sz w:val="22"/>
          <w:szCs w:val="22"/>
        </w:rPr>
        <w:t xml:space="preserve">: Vibration alert/trip thresholds for aero-derivative gas turbines</w:t>
      </w:r>
    </w:p>
    <w:p>
      <w:pPr>
        <w:spacing w:after="120"/>
      </w:pPr>
      <w:r>
        <w:t xml:space="preserve"/>
      </w:r>
    </w:p>
    <w:p>
      <w:pPr>
        <w:spacing w:after="120"/>
      </w:pPr>
      <w:r>
        <w:t xml:space="preserve"/>
      </w:r>
    </w:p>
    <w:p>
      <w:pPr>
        <w:spacing w:after="120" w:before="0"/>
        <w:jc w:val="center"/>
      </w:pPr>
      <w:r>
        <w:rPr>
          <w:rFonts w:ascii="Arial" w:cs="Arial" w:eastAsia="Arial" w:hAnsi="Arial"/>
          <w:b w:val="false"/>
          <w:bCs w:val="false"/>
          <w:color w:val="94A3B8"/>
          <w:sz w:val="18"/>
          <w:szCs w:val="18"/>
        </w:rPr>
        <w:t xml:space="preserve">Documento generado por Watermelon System  ·  Versión 1.0</w:t>
      </w:r>
    </w:p>
    <w:p>
      <w:pPr>
        <w:spacing w:after="120" w:before="0"/>
        <w:jc w:val="center"/>
      </w:pPr>
      <w:r>
        <w:rPr>
          <w:rFonts w:ascii="Arial" w:cs="Arial" w:eastAsia="Arial" w:hAnsi="Arial"/>
          <w:b w:val="false"/>
          <w:bCs w:val="false"/>
          <w:color w:val="94A3B8"/>
          <w:sz w:val="18"/>
          <w:szCs w:val="18"/>
        </w:rPr>
        <w:t xml:space="preserve">SIGA Group SAS  ·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SIGA Group SAS  ·  www.watermelonsys.net  ·  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5F0" w:sz="6" w:space="4"/>
      </w:pBdr>
      <w:jc w:val="right"/>
    </w:pPr>
    <w:r>
      <w:rPr>
        <w:rFonts w:ascii="Arial" w:cs="Arial" w:eastAsia="Arial" w:hAnsi="Arial"/>
        <w:b/>
        <w:bCs/>
        <w:color w:val="1E3A8A"/>
        <w:sz w:val="18"/>
        <w:szCs w:val="18"/>
      </w:rPr>
      <w:t xml:space="preserve">WATERMELON SYSTEM</w:t>
    </w:r>
    <w:r>
      <w:rPr>
        <w:rFonts w:ascii="Arial" w:cs="Arial" w:eastAsia="Arial" w:hAnsi="Arial"/>
        <w:color w:val="64748B"/>
        <w:sz w:val="18"/>
        <w:szCs w:val="18"/>
      </w:rPr>
      <w:t xml:space="preserve">  |  Procedimiento de Creación de Activos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Creación TES1</dc:title>
  <dc:creator>Watermelon System</dc:creator>
  <dc:description>Wizard guide for asset creation</dc:description>
  <cp:lastModifiedBy>Un-named</cp:lastModifiedBy>
  <cp:revision>1</cp:revision>
  <dcterms:created xsi:type="dcterms:W3CDTF">2026-05-09T00:23:51.832Z</dcterms:created>
  <dcterms:modified xsi:type="dcterms:W3CDTF">2026-05-09T00:23:51.832Z</dcterms:modified>
</cp:coreProperties>
</file>

<file path=docProps/custom.xml><?xml version="1.0" encoding="utf-8"?>
<Properties xmlns="http://schemas.openxmlformats.org/officeDocument/2006/custom-properties" xmlns:vt="http://schemas.openxmlformats.org/officeDocument/2006/docPropsVTypes"/>
</file>