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jc w:val="center"/>
      </w:pPr>
      <w:r>
        <w:rPr>
          <w:rFonts w:ascii="Arial" w:cs="Arial" w:eastAsia="Arial" w:hAnsi="Arial"/>
          <w:b/>
          <w:bCs/>
          <w:color w:val="0055A4"/>
          <w:sz w:val="36"/>
          <w:szCs w:val="36"/>
        </w:rPr>
        <w:t xml:space="preserve">ATLANTIC RECORDING CORPORATION</w:t>
      </w:r>
    </w:p>
    <w:p>
      <w:pPr>
        <w:jc w:val="center"/>
      </w:pPr>
      <w:r>
        <w:rPr>
          <w:rFonts w:ascii="Arial" w:cs="Arial" w:eastAsia="Arial" w:hAnsi="Arial"/>
          <w:color w:val="EF4135"/>
          <w:sz w:val="30"/>
          <w:szCs w:val="30"/>
        </w:rPr>
        <w:t xml:space="preserve">France Top 50 Playlist — Audience Sensitivity,</w:t>
      </w:r>
    </w:p>
    <w:p>
      <w:pPr>
        <w:jc w:val="center"/>
      </w:pPr>
      <w:r>
        <w:rPr>
          <w:rFonts w:ascii="Arial" w:cs="Arial" w:eastAsia="Arial" w:hAnsi="Arial"/>
          <w:color w:val="EF4135"/>
          <w:sz w:val="30"/>
          <w:szCs w:val="30"/>
        </w:rPr>
        <w:t xml:space="preserve">Content Compliance &amp; Format Preference Analysis</w:t>
      </w:r>
    </w:p>
    <w:p>
      <w:pPr>
        <w:spacing w:before="200"/>
        <w:jc w:val="center"/>
      </w:pPr>
      <w:r>
        <w:rPr>
          <w:rFonts w:ascii="Arial" w:cs="Arial" w:eastAsia="Arial" w:hAnsi="Arial"/>
          <w:color w:val="555555"/>
          <w:sz w:val="24"/>
          <w:szCs w:val="24"/>
        </w:rPr>
        <w:t xml:space="preserve">Research Paper &amp; Exploratory Data Analysis</w:t>
      </w:r>
    </w:p>
    <w:p>
      <w:pPr>
        <w:spacing w:before="600"/>
        <w:jc w:val="center"/>
      </w:pPr>
      <w:r>
        <w:rPr>
          <w:rFonts w:ascii="Arial" w:cs="Arial" w:eastAsia="Arial" w:hAnsi="Arial"/>
          <w:i/>
          <w:iCs/>
          <w:color w:val="888888"/>
          <w:sz w:val="20"/>
          <w:szCs w:val="20"/>
        </w:rPr>
        <w:t xml:space="preserve">Unified Mentor Fellowship Project  |  Dataset Period: May 2024 — November 2025</w:t>
      </w:r>
    </w:p>
    <w:p>
      <w:r>
        <w:br w:type="page"/>
      </w:r>
    </w:p>
    <w:p>
      <w:pPr>
        <w:pStyle w:val="Heading1"/>
        <w:spacing w:after="180" w:before="360"/>
      </w:pPr>
      <w:r>
        <w:rPr>
          <w:b/>
          <w:bCs/>
          <w:color w:val="0055A4"/>
          <w:sz w:val="36"/>
          <w:szCs w:val="36"/>
        </w:rPr>
        <w:t xml:space="preserve">1. Introduction</w:t>
      </w:r>
    </w:p>
    <w:p>
      <w:pPr>
        <w:pBdr>
          <w:bottom w:val="single" w:color="0055A4" w:sz="4" w:space="1"/>
        </w:pBdr>
        <w:spacing w:after="160" w:before="160"/>
      </w:pPr>
      <w:r>
        <w:t xml:space="preserve"/>
      </w:r>
    </w:p>
    <w:p>
      <w:pPr>
        <w:spacing w:after="80" w:before="80"/>
        <w:jc w:val="both"/>
      </w:pPr>
      <w:r>
        <w:rPr>
          <w:rFonts w:ascii="Arial" w:cs="Arial" w:eastAsia="Arial" w:hAnsi="Arial"/>
          <w:sz w:val="22"/>
          <w:szCs w:val="22"/>
        </w:rPr>
        <w:t xml:space="preserve">The French music market is distinct from global streaming norms. French audiences demonstrate a historically stronger preference for domestic artists, greater scrutiny of explicit content, and a structural preference for album-oriented catalogs over rapid-release singles strategies. For Atlantic Recording Corporation, understanding these cultural and consumption patterns is essential for deploying effective market-specific strategies.</w:t>
      </w:r>
    </w:p>
    <w:p>
      <w:pPr>
        <w:spacing w:after="80" w:before="80"/>
        <w:jc w:val="both"/>
      </w:pPr>
      <w:r>
        <w:rPr>
          <w:rFonts w:ascii="Arial" w:cs="Arial" w:eastAsia="Arial" w:hAnsi="Arial"/>
          <w:sz w:val="22"/>
          <w:szCs w:val="22"/>
        </w:rPr>
        <w:t xml:space="preserve">This research paper presents a comprehensive Exploratory Data Analysis of 27,799 daily playlist snapshot records covering the France Spotify Top 50, spanning May 2024 to November 2025. The analysis focuses specifically on four dimensions: explicit content sensitivity, release format preferences, song duration alignment, and album structure impact.</w:t>
      </w:r>
    </w:p>
    <w:p>
      <w:pPr>
        <w:pStyle w:val="Heading2"/>
        <w:spacing w:after="120" w:before="240"/>
      </w:pPr>
      <w:r>
        <w:rPr>
          <w:b/>
          <w:bCs/>
          <w:color w:val="EF4135"/>
          <w:sz w:val="28"/>
          <w:szCs w:val="28"/>
        </w:rPr>
        <w:t xml:space="preserve">1.1 Research Objectives</w:t>
      </w:r>
    </w:p>
    <w:p>
      <w:pPr>
        <w:pStyle w:val="ListParagraph"/>
        <w:numPr>
          <w:ilvl w:val="0"/>
          <w:numId w:val="2"/>
        </w:numPr>
        <w:spacing w:after="60" w:before="60"/>
      </w:pPr>
      <w:r>
        <w:rPr>
          <w:rFonts w:ascii="Arial" w:cs="Arial" w:eastAsia="Arial" w:hAnsi="Arial"/>
          <w:sz w:val="22"/>
          <w:szCs w:val="22"/>
        </w:rPr>
        <w:t xml:space="preserve">Quantify the share and performance impact of explicit content in the French market</w:t>
      </w:r>
    </w:p>
    <w:p>
      <w:pPr>
        <w:pStyle w:val="ListParagraph"/>
        <w:numPr>
          <w:ilvl w:val="0"/>
          <w:numId w:val="2"/>
        </w:numPr>
        <w:spacing w:after="60" w:before="60"/>
      </w:pPr>
      <w:r>
        <w:rPr>
          <w:rFonts w:ascii="Arial" w:cs="Arial" w:eastAsia="Arial" w:hAnsi="Arial"/>
          <w:sz w:val="22"/>
          <w:szCs w:val="22"/>
        </w:rPr>
        <w:t xml:space="preserve">Compare single vs album track performance to determine format preference</w:t>
      </w:r>
    </w:p>
    <w:p>
      <w:pPr>
        <w:pStyle w:val="ListParagraph"/>
        <w:numPr>
          <w:ilvl w:val="0"/>
          <w:numId w:val="2"/>
        </w:numPr>
        <w:spacing w:after="60" w:before="60"/>
      </w:pPr>
      <w:r>
        <w:rPr>
          <w:rFonts w:ascii="Arial" w:cs="Arial" w:eastAsia="Arial" w:hAnsi="Arial"/>
          <w:sz w:val="22"/>
          <w:szCs w:val="22"/>
        </w:rPr>
        <w:t xml:space="preserve">Identify optimal song duration ranges aligned with French listener acceptance</w:t>
      </w:r>
    </w:p>
    <w:p>
      <w:pPr>
        <w:pStyle w:val="ListParagraph"/>
        <w:numPr>
          <w:ilvl w:val="0"/>
          <w:numId w:val="2"/>
        </w:numPr>
        <w:spacing w:after="60" w:before="60"/>
      </w:pPr>
      <w:r>
        <w:rPr>
          <w:rFonts w:ascii="Arial" w:cs="Arial" w:eastAsia="Arial" w:hAnsi="Arial"/>
          <w:sz w:val="22"/>
          <w:szCs w:val="22"/>
        </w:rPr>
        <w:t xml:space="preserve">Assess how album size relates to individual track chart performance</w:t>
      </w:r>
    </w:p>
    <w:p>
      <w:pPr>
        <w:pStyle w:val="ListParagraph"/>
        <w:numPr>
          <w:ilvl w:val="0"/>
          <w:numId w:val="2"/>
        </w:numPr>
        <w:spacing w:after="60" w:before="60"/>
      </w:pPr>
      <w:r>
        <w:rPr>
          <w:rFonts w:ascii="Arial" w:cs="Arial" w:eastAsia="Arial" w:hAnsi="Arial"/>
          <w:sz w:val="22"/>
          <w:szCs w:val="22"/>
        </w:rPr>
        <w:t xml:space="preserve">Deliver data-driven KPIs to guide Atlantic's France-specific content strategy</w:t>
      </w:r>
    </w:p>
    <w:p>
      <w:r>
        <w:br w:type="page"/>
      </w:r>
    </w:p>
    <w:p>
      <w:pPr>
        <w:pStyle w:val="Heading1"/>
        <w:spacing w:after="180" w:before="360"/>
      </w:pPr>
      <w:r>
        <w:rPr>
          <w:b/>
          <w:bCs/>
          <w:color w:val="0055A4"/>
          <w:sz w:val="36"/>
          <w:szCs w:val="36"/>
        </w:rPr>
        <w:t xml:space="preserve">2. Dataset Overview &amp; Validation</w:t>
      </w:r>
    </w:p>
    <w:p>
      <w:pPr>
        <w:pBdr>
          <w:bottom w:val="single" w:color="0055A4" w:sz="4" w:space="1"/>
        </w:pBdr>
        <w:spacing w:after="160" w:before="160"/>
      </w:pPr>
      <w:r>
        <w:t xml:space="preserve"/>
      </w:r>
    </w:p>
    <w:p>
      <w:pPr>
        <w:pStyle w:val="Heading2"/>
        <w:spacing w:after="120" w:before="240"/>
      </w:pPr>
      <w:r>
        <w:rPr>
          <w:b/>
          <w:bCs/>
          <w:color w:val="EF4135"/>
          <w:sz w:val="28"/>
          <w:szCs w:val="28"/>
        </w:rPr>
        <w:t xml:space="preserve">2.1 Dataset Summary</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360"/>
            <w:tcBorders>
              <w:top w:val="single" w:color="CCCCCC" w:sz="1"/>
              <w:left w:val="single" w:color="CCCCCC" w:sz="1"/>
              <w:bottom w:val="single" w:color="CCCCCC" w:sz="1"/>
              <w:right w:val="single" w:color="CCCCCC"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Total Records</w:t>
            </w:r>
          </w:p>
        </w:tc>
        <w:tc>
          <w:tcPr>
            <w:tcW w:type="dxa" w:w="3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27,799</w:t>
            </w:r>
          </w:p>
        </w:tc>
        <w:tc>
          <w:tcPr>
            <w:tcW w:type="dxa" w:w="3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1 song entry dropped (null song 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Range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May 18, 2024 – Nov 27, 2025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555 unique snapshot days</w:t>
            </w:r>
          </w:p>
        </w:tc>
      </w:tr>
      <w:tr>
        <w:tc>
          <w:tcPr>
            <w:tcW w:type="dxa" w:w="3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Unique Songs</w:t>
            </w:r>
          </w:p>
        </w:tc>
        <w:tc>
          <w:tcPr>
            <w:tcW w:type="dxa" w:w="3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695</w:t>
            </w:r>
          </w:p>
        </w:tc>
        <w:tc>
          <w:tcPr>
            <w:tcW w:type="dxa" w:w="3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Clean, no duplicates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Artists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Including featured artists</w:t>
            </w:r>
          </w:p>
        </w:tc>
      </w:tr>
      <w:tr>
        <w:tc>
          <w:tcPr>
            <w:tcW w:type="dxa" w:w="3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Missing Values</w:t>
            </w:r>
          </w:p>
        </w:tc>
        <w:tc>
          <w:tcPr>
            <w:tcW w:type="dxa" w:w="3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1 (song name)</w:t>
            </w:r>
          </w:p>
        </w:tc>
        <w:tc>
          <w:tcPr>
            <w:tcW w:type="dxa" w:w="3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Dropped before analysis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Rank Range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 — no anomalies</w:t>
            </w:r>
          </w:p>
        </w:tc>
      </w:tr>
      <w:tr>
        <w:tc>
          <w:tcPr>
            <w:tcW w:type="dxa" w:w="3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Popularity Range</w:t>
            </w:r>
          </w:p>
        </w:tc>
        <w:tc>
          <w:tcPr>
            <w:tcW w:type="dxa" w:w="3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0–100</w:t>
            </w:r>
          </w:p>
        </w:tc>
        <w:tc>
          <w:tcPr>
            <w:tcW w:type="dxa" w:w="3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Valid API range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Explicit Records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15,640 (56.3%)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Higher than global average</w:t>
            </w:r>
          </w:p>
        </w:tc>
      </w:tr>
    </w:tbl>
    <w:p>
      <w:pPr>
        <w:spacing w:after="160" w:before="160"/>
      </w:pPr>
      <w:r>
        <w:t xml:space="preserve"/>
      </w:r>
    </w:p>
    <w:p>
      <w:pPr>
        <w:pStyle w:val="Heading2"/>
        <w:spacing w:after="120" w:before="240"/>
      </w:pPr>
      <w:r>
        <w:rPr>
          <w:b/>
          <w:bCs/>
          <w:color w:val="EF4135"/>
          <w:sz w:val="28"/>
          <w:szCs w:val="28"/>
        </w:rPr>
        <w:t xml:space="preserve">2.2 Data Preparation Steps</w:t>
      </w:r>
    </w:p>
    <w:p>
      <w:pPr>
        <w:pStyle w:val="ListParagraph"/>
        <w:numPr>
          <w:ilvl w:val="0"/>
          <w:numId w:val="2"/>
        </w:numPr>
        <w:spacing w:after="60" w:before="60"/>
      </w:pPr>
      <w:r>
        <w:rPr>
          <w:rFonts w:ascii="Arial" w:cs="Arial" w:eastAsia="Arial" w:hAnsi="Arial"/>
          <w:sz w:val="22"/>
          <w:szCs w:val="22"/>
        </w:rPr>
        <w:t xml:space="preserve">Parsed date field using dayfirst=True format (DD-MM-YYYY)</w:t>
      </w:r>
    </w:p>
    <w:p>
      <w:pPr>
        <w:pStyle w:val="ListParagraph"/>
        <w:numPr>
          <w:ilvl w:val="0"/>
          <w:numId w:val="2"/>
        </w:numPr>
        <w:spacing w:after="60" w:before="60"/>
      </w:pPr>
      <w:r>
        <w:rPr>
          <w:rFonts w:ascii="Arial" w:cs="Arial" w:eastAsia="Arial" w:hAnsi="Arial"/>
          <w:sz w:val="22"/>
          <w:szCs w:val="22"/>
        </w:rPr>
        <w:t xml:space="preserve">Converted duration_ms to duration_min (milliseconds / 60,000)</w:t>
      </w:r>
    </w:p>
    <w:p>
      <w:pPr>
        <w:pStyle w:val="ListParagraph"/>
        <w:numPr>
          <w:ilvl w:val="0"/>
          <w:numId w:val="2"/>
        </w:numPr>
        <w:spacing w:after="60" w:before="60"/>
      </w:pPr>
      <w:r>
        <w:rPr>
          <w:rFonts w:ascii="Arial" w:cs="Arial" w:eastAsia="Arial" w:hAnsi="Arial"/>
          <w:sz w:val="22"/>
          <w:szCs w:val="22"/>
        </w:rPr>
        <w:t xml:space="preserve">Dropped 1 record with null song name</w:t>
      </w:r>
    </w:p>
    <w:p>
      <w:pPr>
        <w:pStyle w:val="ListParagraph"/>
        <w:numPr>
          <w:ilvl w:val="0"/>
          <w:numId w:val="2"/>
        </w:numPr>
        <w:spacing w:after="60" w:before="60"/>
      </w:pPr>
      <w:r>
        <w:rPr>
          <w:rFonts w:ascii="Arial" w:cs="Arial" w:eastAsia="Arial" w:hAnsi="Arial"/>
          <w:sz w:val="22"/>
          <w:szCs w:val="22"/>
        </w:rPr>
        <w:t xml:space="preserve">Created rank tier bins: Top 10, Top 25, Top 50</w:t>
      </w:r>
    </w:p>
    <w:p>
      <w:pPr>
        <w:pStyle w:val="ListParagraph"/>
        <w:numPr>
          <w:ilvl w:val="0"/>
          <w:numId w:val="2"/>
        </w:numPr>
        <w:spacing w:after="60" w:before="60"/>
      </w:pPr>
      <w:r>
        <w:rPr>
          <w:rFonts w:ascii="Arial" w:cs="Arial" w:eastAsia="Arial" w:hAnsi="Arial"/>
          <w:sz w:val="22"/>
          <w:szCs w:val="22"/>
        </w:rPr>
        <w:t xml:space="preserve">Created duration buckets: Short (&lt;2m), Medium (2-3m), Long (3-4m), X-Long (&gt;4m)</w:t>
      </w:r>
    </w:p>
    <w:p>
      <w:pPr>
        <w:pStyle w:val="ListParagraph"/>
        <w:numPr>
          <w:ilvl w:val="0"/>
          <w:numId w:val="2"/>
        </w:numPr>
        <w:spacing w:after="60" w:before="60"/>
      </w:pPr>
      <w:r>
        <w:rPr>
          <w:rFonts w:ascii="Arial" w:cs="Arial" w:eastAsia="Arial" w:hAnsi="Arial"/>
          <w:sz w:val="22"/>
          <w:szCs w:val="22"/>
        </w:rPr>
        <w:t xml:space="preserve">Created album size bins: Single(1), EP(2-5), Standard(6-15), Large(16-30), Mega(30+)</w:t>
      </w:r>
    </w:p>
    <w:p>
      <w:r>
        <w:br w:type="page"/>
      </w:r>
    </w:p>
    <w:p>
      <w:pPr>
        <w:pStyle w:val="Heading1"/>
        <w:spacing w:after="180" w:before="360"/>
      </w:pPr>
      <w:r>
        <w:rPr>
          <w:b/>
          <w:bCs/>
          <w:color w:val="0055A4"/>
          <w:sz w:val="36"/>
          <w:szCs w:val="36"/>
        </w:rPr>
        <w:t xml:space="preserve">3. Explicit Content Sensitivity Analysis</w:t>
      </w:r>
    </w:p>
    <w:p>
      <w:pPr>
        <w:pBdr>
          <w:bottom w:val="single" w:color="0055A4" w:sz="4" w:space="1"/>
        </w:pBdr>
        <w:spacing w:after="160" w:before="160"/>
      </w:pPr>
      <w:r>
        <w:t xml:space="preserve"/>
      </w:r>
    </w:p>
    <w:p>
      <w:pPr>
        <w:pStyle w:val="Heading2"/>
        <w:spacing w:after="120" w:before="240"/>
      </w:pPr>
      <w:r>
        <w:rPr>
          <w:b/>
          <w:bCs/>
          <w:color w:val="EF4135"/>
          <w:sz w:val="28"/>
          <w:szCs w:val="28"/>
        </w:rPr>
        <w:t xml:space="preserve">3.1 Overall Explicit Share</w:t>
      </w:r>
    </w:p>
    <w:p>
      <w:pPr>
        <w:spacing w:after="80" w:before="80"/>
        <w:jc w:val="both"/>
      </w:pPr>
      <w:r>
        <w:rPr>
          <w:rFonts w:ascii="Arial" w:cs="Arial" w:eastAsia="Arial" w:hAnsi="Arial"/>
          <w:sz w:val="22"/>
          <w:szCs w:val="22"/>
        </w:rPr>
        <w:t xml:space="preserve">The France Top 50 carries a notably high explicit content share of 56.3% — higher than most Western European markets — driven primarily by the dominance of French rap and urban music artists including Werenoi, Jul, SDM, PLK, and Ninho, all of whom produce predominantly explicit-flagged content.</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1170"/>
        <w:gridCol w:w="2340"/>
        <w:gridCol w:w="2340"/>
      </w:tblGrid>
      <w:tr>
        <w:trPr>
          <w:tblHeader/>
        </w:trPr>
        <w:tc>
          <w:tcPr>
            <w:tcW w:type="dxa" w:w="2340"/>
            <w:tcBorders>
              <w:top w:val="single" w:color="CCCCCC" w:sz="1"/>
              <w:left w:val="single" w:color="CCCCCC" w:sz="1"/>
              <w:bottom w:val="single" w:color="CCCCCC" w:sz="1"/>
              <w:right w:val="single" w:color="CCCCCC"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Content Type</w:t>
            </w:r>
          </w:p>
        </w:tc>
        <w:tc>
          <w:tcPr>
            <w:tcW w:type="dxa" w:w="1170"/>
            <w:tcBorders>
              <w:top w:val="single" w:color="CCCCCC" w:sz="1"/>
              <w:left w:val="single" w:color="CCCCCC" w:sz="1"/>
              <w:bottom w:val="single" w:color="CCCCCC" w:sz="1"/>
              <w:right w:val="single" w:color="CCCCCC"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1170"/>
            <w:tcBorders>
              <w:top w:val="single" w:color="CCCCCC" w:sz="1"/>
              <w:left w:val="single" w:color="CCCCCC" w:sz="1"/>
              <w:bottom w:val="single" w:color="CCCCCC" w:sz="1"/>
              <w:right w:val="single" w:color="CCCCCC"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Share</w:t>
            </w:r>
          </w:p>
        </w:tc>
        <w:tc>
          <w:tcPr>
            <w:tcW w:type="dxa" w:w="2340"/>
            <w:tcBorders>
              <w:top w:val="single" w:color="CCCCCC" w:sz="1"/>
              <w:left w:val="single" w:color="CCCCCC" w:sz="1"/>
              <w:bottom w:val="single" w:color="CCCCCC" w:sz="1"/>
              <w:right w:val="single" w:color="CCCCCC"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Avg Popularity</w:t>
            </w:r>
          </w:p>
        </w:tc>
        <w:tc>
          <w:tcPr>
            <w:tcW w:type="dxa" w:w="2340"/>
            <w:tcBorders>
              <w:top w:val="single" w:color="CCCCCC" w:sz="1"/>
              <w:left w:val="single" w:color="CCCCCC" w:sz="1"/>
              <w:bottom w:val="single" w:color="CCCCCC" w:sz="1"/>
              <w:right w:val="single" w:color="CCCCCC"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Avg Rank</w:t>
            </w:r>
          </w:p>
        </w:tc>
      </w:tr>
      <w:tr>
        <w:tc>
          <w:tcPr>
            <w:tcW w:type="dxa" w:w="23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Explicit</w:t>
            </w:r>
          </w:p>
        </w:tc>
        <w:tc>
          <w:tcPr>
            <w:tcW w:type="dxa" w:w="117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15,640</w:t>
            </w:r>
          </w:p>
        </w:tc>
        <w:tc>
          <w:tcPr>
            <w:tcW w:type="dxa" w:w="117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56.3%</w:t>
            </w:r>
          </w:p>
        </w:tc>
        <w:tc>
          <w:tcPr>
            <w:tcW w:type="dxa" w:w="23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73.3</w:t>
            </w:r>
          </w:p>
        </w:tc>
        <w:tc>
          <w:tcPr>
            <w:tcW w:type="dxa" w:w="23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25.0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Clean (Non-Explicit)</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12,159</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43.7%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26.2</w:t>
            </w:r>
          </w:p>
        </w:tc>
      </w:tr>
    </w:tbl>
    <w:p>
      <w:pPr>
        <w:spacing w:after="160" w:before="160"/>
      </w:pPr>
      <w:r>
        <w:t xml:space="preserve"/>
      </w:r>
    </w:p>
    <w:p>
      <w:pPr>
        <w:spacing w:after="80" w:before="80"/>
        <w:jc w:val="both"/>
      </w:pPr>
      <w:r>
        <w:rPr>
          <w:rFonts w:ascii="Arial" w:cs="Arial" w:eastAsia="Arial" w:hAnsi="Arial"/>
          <w:sz w:val="22"/>
          <w:szCs w:val="22"/>
        </w:rPr>
        <w:t xml:space="preserve">Clean tracks outperform explicit ones by 7.6 popularity points on average — a significantly larger gap than in other markets like the US (0.7 points). This suggests French audiences, while consuming explicit content heavily, reward clean tracks with higher overall engagement scores.</w:t>
      </w:r>
    </w:p>
    <w:p>
      <w:pPr>
        <w:pStyle w:val="Heading2"/>
        <w:spacing w:after="120" w:before="240"/>
      </w:pPr>
      <w:r>
        <w:rPr>
          <w:b/>
          <w:bCs/>
          <w:color w:val="EF4135"/>
          <w:sz w:val="28"/>
          <w:szCs w:val="28"/>
        </w:rPr>
        <w:t xml:space="preserve">3.2 Explicit Distribution Across Rank Tiers</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Rank Tier</w:t>
            </w:r>
          </w:p>
        </w:tc>
        <w:tc>
          <w:tcPr>
            <w:tcW w:type="dxa" w:w="2340"/>
            <w:tcBorders>
              <w:top w:val="single" w:color="CCCCCC" w:sz="1"/>
              <w:left w:val="single" w:color="CCCCCC" w:sz="1"/>
              <w:bottom w:val="single" w:color="CCCCCC" w:sz="1"/>
              <w:right w:val="single" w:color="CCCCCC"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Clean Avg Popularity</w:t>
            </w:r>
          </w:p>
        </w:tc>
        <w:tc>
          <w:tcPr>
            <w:tcW w:type="dxa" w:w="2340"/>
            <w:tcBorders>
              <w:top w:val="single" w:color="CCCCCC" w:sz="1"/>
              <w:left w:val="single" w:color="CCCCCC" w:sz="1"/>
              <w:bottom w:val="single" w:color="CCCCCC" w:sz="1"/>
              <w:right w:val="single" w:color="CCCCCC"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Explicit Avg Popularity</w:t>
            </w:r>
          </w:p>
        </w:tc>
        <w:tc>
          <w:tcPr>
            <w:tcW w:type="dxa" w:w="2340"/>
            <w:tcBorders>
              <w:top w:val="single" w:color="CCCCCC" w:sz="1"/>
              <w:left w:val="single" w:color="CCCCCC" w:sz="1"/>
              <w:bottom w:val="single" w:color="CCCCCC" w:sz="1"/>
              <w:right w:val="single" w:color="CCCCCC"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Gap</w:t>
            </w:r>
          </w:p>
        </w:tc>
      </w:tr>
      <w:tr>
        <w:tc>
          <w:tcPr>
            <w:tcW w:type="dxa" w:w="23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Top 10</w:t>
            </w:r>
          </w:p>
        </w:tc>
        <w:tc>
          <w:tcPr>
            <w:tcW w:type="dxa" w:w="23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81.8</w:t>
            </w:r>
          </w:p>
        </w:tc>
        <w:tc>
          <w:tcPr>
            <w:tcW w:type="dxa" w:w="23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76.1</w:t>
            </w:r>
          </w:p>
        </w:tc>
        <w:tc>
          <w:tcPr>
            <w:tcW w:type="dxa" w:w="23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5.7 pts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 25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83.0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73.4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9.6 pts</w:t>
            </w:r>
          </w:p>
        </w:tc>
      </w:tr>
      <w:tr>
        <w:tc>
          <w:tcPr>
            <w:tcW w:type="dxa" w:w="23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Top 50</w:t>
            </w:r>
          </w:p>
        </w:tc>
        <w:tc>
          <w:tcPr>
            <w:tcW w:type="dxa" w:w="23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79.4</w:t>
            </w:r>
          </w:p>
        </w:tc>
        <w:tc>
          <w:tcPr>
            <w:tcW w:type="dxa" w:w="23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72.0</w:t>
            </w:r>
          </w:p>
        </w:tc>
        <w:tc>
          <w:tcPr>
            <w:tcW w:type="dxa" w:w="23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7.4 pts</w:t>
            </w:r>
          </w:p>
        </w:tc>
      </w:tr>
    </w:tbl>
    <w:p>
      <w:pPr>
        <w:spacing w:after="160" w:before="160"/>
      </w:pPr>
      <w:r>
        <w:t xml:space="preserve"/>
      </w:r>
    </w:p>
    <w:p>
      <w:pPr>
        <w:spacing w:after="80" w:before="80"/>
        <w:jc w:val="both"/>
      </w:pPr>
      <w:r>
        <w:rPr>
          <w:rFonts w:ascii="Arial" w:cs="Arial" w:eastAsia="Arial" w:hAnsi="Arial"/>
          <w:sz w:val="22"/>
          <w:szCs w:val="22"/>
        </w:rPr>
        <w:t xml:space="preserve">The clean content popularity advantage widens in the Top 25 tier (9.6 point gap), suggesting that mid-chart songs benefit disproportionately from clean content designation, likely due to radio play eligibility and algorithmic promotion preferences.</w:t>
      </w:r>
    </w:p>
    <w:p>
      <w:r>
        <w:br w:type="page"/>
      </w:r>
    </w:p>
    <w:p>
      <w:pPr>
        <w:pStyle w:val="Heading1"/>
        <w:spacing w:after="180" w:before="360"/>
      </w:pPr>
      <w:r>
        <w:rPr>
          <w:b/>
          <w:bCs/>
          <w:color w:val="0055A4"/>
          <w:sz w:val="36"/>
          <w:szCs w:val="36"/>
        </w:rPr>
        <w:t xml:space="preserve">4. Release Format Preference Analysis</w:t>
      </w:r>
    </w:p>
    <w:p>
      <w:pPr>
        <w:pBdr>
          <w:bottom w:val="single" w:color="0055A4" w:sz="4" w:space="1"/>
        </w:pBdr>
        <w:spacing w:after="160" w:before="160"/>
      </w:pPr>
      <w:r>
        <w:t xml:space="preserve"/>
      </w:r>
    </w:p>
    <w:p>
      <w:pPr>
        <w:pStyle w:val="Heading2"/>
        <w:spacing w:after="120" w:before="240"/>
      </w:pPr>
      <w:r>
        <w:rPr>
          <w:b/>
          <w:bCs/>
          <w:color w:val="EF4135"/>
          <w:sz w:val="28"/>
          <w:szCs w:val="28"/>
        </w:rPr>
        <w:t xml:space="preserve">4.1 Single vs Album Representation</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000"/>
        <w:gridCol w:w="2680"/>
        <w:gridCol w:w="2680"/>
      </w:tblGrid>
      <w:tr>
        <w:trPr>
          <w:tblHeader/>
        </w:trPr>
        <w:tc>
          <w:tcPr>
            <w:tcW w:type="dxa" w:w="1800"/>
            <w:tcBorders>
              <w:top w:val="single" w:color="CCCCCC" w:sz="1"/>
              <w:left w:val="single" w:color="CCCCCC" w:sz="1"/>
              <w:bottom w:val="single" w:color="CCCCCC" w:sz="1"/>
              <w:right w:val="single" w:color="CCCCCC"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1200"/>
            <w:tcBorders>
              <w:top w:val="single" w:color="CCCCCC" w:sz="1"/>
              <w:left w:val="single" w:color="CCCCCC" w:sz="1"/>
              <w:bottom w:val="single" w:color="CCCCCC" w:sz="1"/>
              <w:right w:val="single" w:color="CCCCCC"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1000"/>
            <w:tcBorders>
              <w:top w:val="single" w:color="CCCCCC" w:sz="1"/>
              <w:left w:val="single" w:color="CCCCCC" w:sz="1"/>
              <w:bottom w:val="single" w:color="CCCCCC" w:sz="1"/>
              <w:right w:val="single" w:color="CCCCCC"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Share</w:t>
            </w:r>
          </w:p>
        </w:tc>
        <w:tc>
          <w:tcPr>
            <w:tcW w:type="dxa" w:w="2680"/>
            <w:tcBorders>
              <w:top w:val="single" w:color="CCCCCC" w:sz="1"/>
              <w:left w:val="single" w:color="CCCCCC" w:sz="1"/>
              <w:bottom w:val="single" w:color="CCCCCC" w:sz="1"/>
              <w:right w:val="single" w:color="CCCCCC"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Avg Popularity</w:t>
            </w:r>
          </w:p>
        </w:tc>
        <w:tc>
          <w:tcPr>
            <w:tcW w:type="dxa" w:w="2680"/>
            <w:tcBorders>
              <w:top w:val="single" w:color="CCCCCC" w:sz="1"/>
              <w:left w:val="single" w:color="CCCCCC" w:sz="1"/>
              <w:bottom w:val="single" w:color="CCCCCC" w:sz="1"/>
              <w:right w:val="single" w:color="CCCCCC"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Avg Rank</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Single</w:t>
            </w:r>
          </w:p>
        </w:tc>
        <w:tc>
          <w:tcPr>
            <w:tcW w:type="dxa" w:w="1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13,095</w:t>
            </w:r>
          </w:p>
        </w:tc>
        <w:tc>
          <w:tcPr>
            <w:tcW w:type="dxa" w:w="1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47.1%</w:t>
            </w:r>
          </w:p>
        </w:tc>
        <w:tc>
          <w:tcPr>
            <w:tcW w:type="dxa" w:w="26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80.7</w:t>
            </w:r>
          </w:p>
        </w:tc>
        <w:tc>
          <w:tcPr>
            <w:tcW w:type="dxa" w:w="26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24.1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Album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14,695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52.9%</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73.0</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26.7</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Compilation</w:t>
            </w:r>
          </w:p>
        </w:tc>
        <w:tc>
          <w:tcPr>
            <w:tcW w:type="dxa" w:w="1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9</w:t>
            </w:r>
          </w:p>
        </w:tc>
        <w:tc>
          <w:tcPr>
            <w:tcW w:type="dxa" w:w="1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0.03%</w:t>
            </w:r>
          </w:p>
        </w:tc>
        <w:tc>
          <w:tcPr>
            <w:tcW w:type="dxa" w:w="26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79.3</w:t>
            </w:r>
          </w:p>
        </w:tc>
        <w:tc>
          <w:tcPr>
            <w:tcW w:type="dxa" w:w="26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28.7</w:t>
            </w:r>
          </w:p>
        </w:tc>
      </w:tr>
    </w:tbl>
    <w:p>
      <w:pPr>
        <w:spacing w:after="160" w:before="160"/>
      </w:pPr>
      <w:r>
        <w:t xml:space="preserve"/>
      </w:r>
    </w:p>
    <w:p>
      <w:pPr>
        <w:spacing w:after="80" w:before="80"/>
        <w:jc w:val="both"/>
      </w:pPr>
      <w:r>
        <w:rPr>
          <w:rFonts w:ascii="Arial" w:cs="Arial" w:eastAsia="Arial" w:hAnsi="Arial"/>
          <w:sz w:val="22"/>
          <w:szCs w:val="22"/>
        </w:rPr>
        <w:t xml:space="preserve">Despite albums representing the majority of chart entries (52.9%), singles achieve significantly higher popularity scores (+7.7 points) and better average ranks (24.1 vs 26.7). This aligns with the global streaming preference for singles — shorter, more immediate releases that maximize algorithmic recommendation without listener commitment to full album listening.</w:t>
      </w:r>
    </w:p>
    <w:p>
      <w:pPr>
        <w:pStyle w:val="Heading2"/>
        <w:spacing w:after="120" w:before="240"/>
      </w:pPr>
      <w:r>
        <w:rPr>
          <w:b/>
          <w:bCs/>
          <w:color w:val="EF4135"/>
          <w:sz w:val="28"/>
          <w:szCs w:val="28"/>
        </w:rPr>
        <w:t xml:space="preserve">4.2 Top Performing Songs by Format</w:t>
      </w:r>
    </w:p>
    <w:p>
      <w:pPr>
        <w:spacing w:after="80" w:before="80"/>
        <w:jc w:val="both"/>
      </w:pPr>
      <w:r>
        <w:rPr>
          <w:rFonts w:ascii="Arial" w:cs="Arial" w:eastAsia="Arial" w:hAnsi="Arial"/>
          <w:sz w:val="22"/>
          <w:szCs w:val="22"/>
        </w:rPr>
        <w:t xml:space="preserve">The top charting songs by longevity include both singles and albums — 'Petit génie' (single, 409 days, avg rank 7.96) and 'Laboratoire' (album, 457 days, avg rank 22.2) — demonstrating that while singles tend to rank higher on average, album tracks can sustain chart presence significantly longer.</w:t>
      </w:r>
    </w:p>
    <w:p>
      <w:r>
        <w:br w:type="page"/>
      </w:r>
    </w:p>
    <w:p>
      <w:pPr>
        <w:pStyle w:val="Heading1"/>
        <w:spacing w:after="180" w:before="360"/>
      </w:pPr>
      <w:r>
        <w:rPr>
          <w:b/>
          <w:bCs/>
          <w:color w:val="0055A4"/>
          <w:sz w:val="36"/>
          <w:szCs w:val="36"/>
        </w:rPr>
        <w:t xml:space="preserve">5. Song Duration Preference Analysis</w:t>
      </w:r>
    </w:p>
    <w:p>
      <w:pPr>
        <w:pBdr>
          <w:bottom w:val="single" w:color="0055A4" w:sz="4" w:space="1"/>
        </w:pBdr>
        <w:spacing w:after="160" w:before="160"/>
      </w:pPr>
      <w:r>
        <w:t xml:space="preserve"/>
      </w:r>
    </w:p>
    <w:p>
      <w:pPr>
        <w:pStyle w:val="Heading2"/>
        <w:spacing w:after="120" w:before="240"/>
      </w:pPr>
      <w:r>
        <w:rPr>
          <w:b/>
          <w:bCs/>
          <w:color w:val="EF4135"/>
          <w:sz w:val="28"/>
          <w:szCs w:val="28"/>
        </w:rPr>
        <w:t xml:space="preserve">5.1 Duration Distribution</w:t>
      </w:r>
    </w:p>
    <w:p>
      <w:pPr>
        <w:spacing w:after="80" w:before="80"/>
        <w:jc w:val="both"/>
      </w:pPr>
      <w:r>
        <w:rPr>
          <w:rFonts w:ascii="Arial" w:cs="Arial" w:eastAsia="Arial" w:hAnsi="Arial"/>
          <w:sz w:val="22"/>
          <w:szCs w:val="22"/>
        </w:rPr>
        <w:t xml:space="preserve">The average song duration in the France Top 50 is 3.09 minutes, with 50% of songs falling between 2.76 and 3.46 minutes. The distribution is relatively concentrated, reflecting the global streaming norm of 3-minute songs optimized for completion rates.</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600"/>
        <w:gridCol w:w="1000"/>
        <w:gridCol w:w="4060"/>
      </w:tblGrid>
      <w:tr>
        <w:trPr>
          <w:tblHeader/>
        </w:trPr>
        <w:tc>
          <w:tcPr>
            <w:tcW w:type="dxa" w:w="1800"/>
            <w:tcBorders>
              <w:top w:val="single" w:color="CCCCCC" w:sz="1"/>
              <w:left w:val="single" w:color="CCCCCC" w:sz="1"/>
              <w:bottom w:val="single" w:color="CCCCCC" w:sz="1"/>
              <w:right w:val="single" w:color="CCCCCC"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Duration Bucket</w:t>
            </w:r>
          </w:p>
        </w:tc>
        <w:tc>
          <w:tcPr>
            <w:tcW w:type="dxa" w:w="900"/>
            <w:tcBorders>
              <w:top w:val="single" w:color="CCCCCC" w:sz="1"/>
              <w:left w:val="single" w:color="CCCCCC" w:sz="1"/>
              <w:bottom w:val="single" w:color="CCCCCC" w:sz="1"/>
              <w:right w:val="single" w:color="CCCCCC"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1600"/>
            <w:tcBorders>
              <w:top w:val="single" w:color="CCCCCC" w:sz="1"/>
              <w:left w:val="single" w:color="CCCCCC" w:sz="1"/>
              <w:bottom w:val="single" w:color="CCCCCC" w:sz="1"/>
              <w:right w:val="single" w:color="CCCCCC"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Avg Popularity</w:t>
            </w:r>
          </w:p>
        </w:tc>
        <w:tc>
          <w:tcPr>
            <w:tcW w:type="dxa" w:w="1000"/>
            <w:tcBorders>
              <w:top w:val="single" w:color="CCCCCC" w:sz="1"/>
              <w:left w:val="single" w:color="CCCCCC" w:sz="1"/>
              <w:bottom w:val="single" w:color="CCCCCC" w:sz="1"/>
              <w:right w:val="single" w:color="CCCCCC"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Avg Rank</w:t>
            </w:r>
          </w:p>
        </w:tc>
        <w:tc>
          <w:tcPr>
            <w:tcW w:type="dxa" w:w="4060"/>
            <w:tcBorders>
              <w:top w:val="single" w:color="CCCCCC" w:sz="1"/>
              <w:left w:val="single" w:color="CCCCCC" w:sz="1"/>
              <w:bottom w:val="single" w:color="CCCCCC" w:sz="1"/>
              <w:right w:val="single" w:color="CCCCCC"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Short (&lt;2m)</w:t>
            </w:r>
          </w:p>
        </w:tc>
        <w:tc>
          <w:tcPr>
            <w:tcW w:type="dxa" w:w="9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229</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75.1</w:t>
            </w:r>
          </w:p>
        </w:tc>
        <w:tc>
          <w:tcPr>
            <w:tcW w:type="dxa" w:w="1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30.0</w:t>
            </w:r>
          </w:p>
        </w:tc>
        <w:tc>
          <w:tcPr>
            <w:tcW w:type="dxa" w:w="40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Underperforms — short tracks rank poorly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 (2-3m)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13,739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75.5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25.6</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 volume, moderate performance</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Long (3-4m)</w:t>
            </w:r>
          </w:p>
        </w:tc>
        <w:tc>
          <w:tcPr>
            <w:tcW w:type="dxa" w:w="9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12,330</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77.8</w:t>
            </w:r>
          </w:p>
        </w:tc>
        <w:tc>
          <w:tcPr>
            <w:tcW w:type="dxa" w:w="1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24.8</w:t>
            </w:r>
          </w:p>
        </w:tc>
        <w:tc>
          <w:tcPr>
            <w:tcW w:type="dxa" w:w="40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Optimal — best rank and popularity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X-Long (&gt;4m)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77.8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29.4</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 popularity but rank drops off</w:t>
            </w:r>
          </w:p>
        </w:tc>
      </w:tr>
    </w:tbl>
    <w:p>
      <w:pPr>
        <w:spacing w:after="160" w:before="160"/>
      </w:pPr>
      <w:r>
        <w:t xml:space="preserve"/>
      </w:r>
    </w:p>
    <w:p>
      <w:pPr>
        <w:spacing w:after="80" w:before="80"/>
        <w:jc w:val="both"/>
      </w:pPr>
      <w:r>
        <w:rPr>
          <w:rFonts w:ascii="Arial" w:cs="Arial" w:eastAsia="Arial" w:hAnsi="Arial"/>
          <w:sz w:val="22"/>
          <w:szCs w:val="22"/>
        </w:rPr>
        <w:t xml:space="preserve">Songs in the 3-4 minute range achieve the best combination of popularity (77.8) and average rank (24.8), making this the optimal production target for Atlantic's France-bound releases.</w:t>
      </w:r>
    </w:p>
    <w:p>
      <w:r>
        <w:br w:type="page"/>
      </w:r>
    </w:p>
    <w:p>
      <w:pPr>
        <w:pStyle w:val="Heading1"/>
        <w:spacing w:after="180" w:before="360"/>
      </w:pPr>
      <w:r>
        <w:rPr>
          <w:b/>
          <w:bCs/>
          <w:color w:val="0055A4"/>
          <w:sz w:val="36"/>
          <w:szCs w:val="36"/>
        </w:rPr>
        <w:t xml:space="preserve">6. Album Structure Impact Analysis</w:t>
      </w:r>
    </w:p>
    <w:p>
      <w:pPr>
        <w:pBdr>
          <w:bottom w:val="single" w:color="0055A4" w:sz="4" w:space="1"/>
        </w:pBdr>
        <w:spacing w:after="160" w:before="160"/>
      </w:pPr>
      <w:r>
        <w:t xml:space="preserve"/>
      </w:r>
    </w:p>
    <w:p>
      <w:pPr>
        <w:pStyle w:val="Heading2"/>
        <w:spacing w:after="120" w:before="240"/>
      </w:pPr>
      <w:r>
        <w:rPr>
          <w:b/>
          <w:bCs/>
          <w:color w:val="EF4135"/>
          <w:sz w:val="28"/>
          <w:szCs w:val="28"/>
        </w:rPr>
        <w:t xml:space="preserve">6.1 Album Size vs Track Performance</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200"/>
        <w:gridCol w:w="4760"/>
      </w:tblGrid>
      <w:tr>
        <w:trPr>
          <w:tblHeader/>
        </w:trPr>
        <w:tc>
          <w:tcPr>
            <w:tcW w:type="dxa" w:w="1800"/>
            <w:tcBorders>
              <w:top w:val="single" w:color="CCCCCC" w:sz="1"/>
              <w:left w:val="single" w:color="CCCCCC" w:sz="1"/>
              <w:bottom w:val="single" w:color="CCCCCC" w:sz="1"/>
              <w:right w:val="single" w:color="CCCCCC"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Album Size</w:t>
            </w:r>
          </w:p>
        </w:tc>
        <w:tc>
          <w:tcPr>
            <w:tcW w:type="dxa" w:w="1600"/>
            <w:tcBorders>
              <w:top w:val="single" w:color="CCCCCC" w:sz="1"/>
              <w:left w:val="single" w:color="CCCCCC" w:sz="1"/>
              <w:bottom w:val="single" w:color="CCCCCC" w:sz="1"/>
              <w:right w:val="single" w:color="CCCCCC"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Avg Popularity</w:t>
            </w:r>
          </w:p>
        </w:tc>
        <w:tc>
          <w:tcPr>
            <w:tcW w:type="dxa" w:w="1200"/>
            <w:tcBorders>
              <w:top w:val="single" w:color="CCCCCC" w:sz="1"/>
              <w:left w:val="single" w:color="CCCCCC" w:sz="1"/>
              <w:bottom w:val="single" w:color="CCCCCC" w:sz="1"/>
              <w:right w:val="single" w:color="CCCCCC"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Avg Rank</w:t>
            </w:r>
          </w:p>
        </w:tc>
        <w:tc>
          <w:tcPr>
            <w:tcW w:type="dxa" w:w="4760"/>
            <w:tcBorders>
              <w:top w:val="single" w:color="CCCCCC" w:sz="1"/>
              <w:left w:val="single" w:color="CCCCCC" w:sz="1"/>
              <w:bottom w:val="single" w:color="CCCCCC" w:sz="1"/>
              <w:right w:val="single" w:color="CCCCCC"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Single (1 track)</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80.7</w:t>
            </w:r>
          </w:p>
        </w:tc>
        <w:tc>
          <w:tcPr>
            <w:tcW w:type="dxa" w:w="1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24.1</w:t>
            </w:r>
          </w:p>
        </w:tc>
        <w:tc>
          <w:tcPr>
            <w:tcW w:type="dxa" w:w="47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Best performance — focused attention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EP (2-5 tracks)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76.4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 — limited dilution</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Standard (6-15)</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73.9</w:t>
            </w:r>
          </w:p>
        </w:tc>
        <w:tc>
          <w:tcPr>
            <w:tcW w:type="dxa" w:w="1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26.4</w:t>
            </w:r>
          </w:p>
        </w:tc>
        <w:tc>
          <w:tcPr>
            <w:tcW w:type="dxa" w:w="47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Moderate — some dilution effect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 (16-30)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Declining — audience attention spread</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Mega (30+ tracks)</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69.8</w:t>
            </w:r>
          </w:p>
        </w:tc>
        <w:tc>
          <w:tcPr>
            <w:tcW w:type="dxa" w:w="1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28.9</w:t>
            </w:r>
          </w:p>
        </w:tc>
        <w:tc>
          <w:tcPr>
            <w:tcW w:type="dxa" w:w="47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Lowest — significant dilution</w:t>
            </w:r>
          </w:p>
        </w:tc>
      </w:tr>
    </w:tbl>
    <w:p>
      <w:pPr>
        <w:spacing w:after="160" w:before="160"/>
      </w:pPr>
      <w:r>
        <w:t xml:space="preserve"/>
      </w:r>
    </w:p>
    <w:p>
      <w:pPr>
        <w:spacing w:after="80" w:before="80"/>
        <w:jc w:val="both"/>
      </w:pPr>
      <w:r>
        <w:rPr>
          <w:rFonts w:ascii="Arial" w:cs="Arial" w:eastAsia="Arial" w:hAnsi="Arial"/>
          <w:sz w:val="22"/>
          <w:szCs w:val="22"/>
        </w:rPr>
        <w:t xml:space="preserve">A clear inverse relationship exists between album size and individual track performance. As album track count increases, both average popularity and average rank decline — confirming the 'album dilution effect' where listener attention is spread across more tracks, reducing per-track streaming concentration.</w:t>
      </w:r>
    </w:p>
    <w:p>
      <w:pPr>
        <w:pStyle w:val="Heading2"/>
        <w:spacing w:after="120" w:before="240"/>
      </w:pPr>
      <w:r>
        <w:rPr>
          <w:b/>
          <w:bCs/>
          <w:color w:val="EF4135"/>
          <w:sz w:val="28"/>
          <w:szCs w:val="28"/>
        </w:rPr>
        <w:t xml:space="preserve">6.2 Strategic Implication</w:t>
      </w:r>
    </w:p>
    <w:p>
      <w:pPr>
        <w:spacing w:after="80" w:before="80"/>
        <w:jc w:val="both"/>
      </w:pPr>
      <w:r>
        <w:rPr>
          <w:rFonts w:ascii="Arial" w:cs="Arial" w:eastAsia="Arial" w:hAnsi="Arial"/>
          <w:sz w:val="22"/>
          <w:szCs w:val="22"/>
        </w:rPr>
        <w:t xml:space="preserve">For France, Atlantic should prioritize single releases and EP formats (2-5 tracks) for maximum per-track chart performance. Full album releases should be reserved for established artists with loyal fanbases capable of sustaining multiple tracks simultaneously.</w:t>
      </w:r>
    </w:p>
    <w:p>
      <w:r>
        <w:br w:type="page"/>
      </w:r>
    </w:p>
    <w:p>
      <w:pPr>
        <w:pStyle w:val="Heading1"/>
        <w:spacing w:after="180" w:before="360"/>
      </w:pPr>
      <w:r>
        <w:rPr>
          <w:b/>
          <w:bCs/>
          <w:color w:val="0055A4"/>
          <w:sz w:val="36"/>
          <w:szCs w:val="36"/>
        </w:rPr>
        <w:t xml:space="preserve">7. Content Attribute Concentration Analysis</w:t>
      </w:r>
    </w:p>
    <w:p>
      <w:pPr>
        <w:pBdr>
          <w:bottom w:val="single" w:color="0055A4" w:sz="4" w:space="1"/>
        </w:pBdr>
        <w:spacing w:after="160" w:before="160"/>
      </w:pPr>
      <w:r>
        <w:t xml:space="preserve"/>
      </w:r>
    </w:p>
    <w:p>
      <w:pPr>
        <w:pStyle w:val="Heading2"/>
        <w:spacing w:after="120" w:before="240"/>
      </w:pPr>
      <w:r>
        <w:rPr>
          <w:b/>
          <w:bCs/>
          <w:color w:val="EF4135"/>
          <w:sz w:val="28"/>
          <w:szCs w:val="28"/>
        </w:rPr>
        <w:t xml:space="preserve">7.1 Preferred Content Profile — France Top 10</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2360"/>
      </w:tblGrid>
      <w:tr>
        <w:trPr>
          <w:tblHeader/>
        </w:trPr>
        <w:tc>
          <w:tcPr>
            <w:tcW w:type="dxa" w:w="2200"/>
            <w:tcBorders>
              <w:top w:val="single" w:color="CCCCCC" w:sz="1"/>
              <w:left w:val="single" w:color="CCCCCC" w:sz="1"/>
              <w:bottom w:val="single" w:color="CCCCCC" w:sz="1"/>
              <w:right w:val="single" w:color="CCCCCC"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1600"/>
            <w:tcBorders>
              <w:top w:val="single" w:color="CCCCCC" w:sz="1"/>
              <w:left w:val="single" w:color="CCCCCC" w:sz="1"/>
              <w:bottom w:val="single" w:color="CCCCCC" w:sz="1"/>
              <w:right w:val="single" w:color="CCCCCC"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Top 10 Value</w:t>
            </w:r>
          </w:p>
        </w:tc>
        <w:tc>
          <w:tcPr>
            <w:tcW w:type="dxa" w:w="1600"/>
            <w:tcBorders>
              <w:top w:val="single" w:color="CCCCCC" w:sz="1"/>
              <w:left w:val="single" w:color="CCCCCC" w:sz="1"/>
              <w:bottom w:val="single" w:color="CCCCCC" w:sz="1"/>
              <w:right w:val="single" w:color="CCCCCC"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Top 25 Value</w:t>
            </w:r>
          </w:p>
        </w:tc>
        <w:tc>
          <w:tcPr>
            <w:tcW w:type="dxa" w:w="1600"/>
            <w:tcBorders>
              <w:top w:val="single" w:color="CCCCCC" w:sz="1"/>
              <w:left w:val="single" w:color="CCCCCC" w:sz="1"/>
              <w:bottom w:val="single" w:color="CCCCCC" w:sz="1"/>
              <w:right w:val="single" w:color="CCCCCC"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Top 50 Value</w:t>
            </w:r>
          </w:p>
        </w:tc>
        <w:tc>
          <w:tcPr>
            <w:tcW w:type="dxa" w:w="2360"/>
            <w:tcBorders>
              <w:top w:val="single" w:color="CCCCCC" w:sz="1"/>
              <w:left w:val="single" w:color="CCCCCC" w:sz="1"/>
              <w:bottom w:val="single" w:color="CCCCCC" w:sz="1"/>
              <w:right w:val="single" w:color="CCCCCC"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Trend</w:t>
            </w:r>
          </w:p>
        </w:tc>
      </w:tr>
      <w:tr>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Explicit Share</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54.2%</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55.8%</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56.3%</w:t>
            </w:r>
          </w:p>
        </w:tc>
        <w:tc>
          <w:tcPr>
            <w:tcW w:type="dxa" w:w="2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Slightly lower in Top 10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Singles Share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52.1%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49.3%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47.1%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Singles dominate Top 10</w:t>
            </w:r>
          </w:p>
        </w:tc>
      </w:tr>
      <w:tr>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Avg Duration</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3.12 min</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3.09 min</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3.09 min</w:t>
            </w:r>
          </w:p>
        </w:tc>
        <w:tc>
          <w:tcPr>
            <w:tcW w:type="dxa" w:w="2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Consistent across tiers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Avg Popularity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77.2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76.6</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Higher in top tiers</w:t>
            </w:r>
          </w:p>
        </w:tc>
      </w:tr>
      <w:tr>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Standard Album %</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31.4%</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29.8%</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28.2%</w:t>
            </w:r>
          </w:p>
        </w:tc>
        <w:tc>
          <w:tcPr>
            <w:tcW w:type="dxa" w:w="23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Consistent</w:t>
            </w:r>
          </w:p>
        </w:tc>
      </w:tr>
    </w:tbl>
    <w:p>
      <w:pPr>
        <w:spacing w:after="160" w:before="160"/>
      </w:pPr>
      <w:r>
        <w:t xml:space="preserve"/>
      </w:r>
    </w:p>
    <w:p>
      <w:pPr>
        <w:spacing w:after="80" w:before="80"/>
        <w:jc w:val="both"/>
      </w:pPr>
      <w:r>
        <w:rPr>
          <w:rFonts w:ascii="Arial" w:cs="Arial" w:eastAsia="Arial" w:hAnsi="Arial"/>
          <w:sz w:val="22"/>
          <w:szCs w:val="22"/>
        </w:rPr>
        <w:t xml:space="preserve">The France Top 10 is characterized by a slightly lower explicit share, higher singles representation, and longer average song duration compared to the broader Top 50 — suggesting that reaching the top tier in France requires cleaner, more structured content.</w:t>
      </w:r>
    </w:p>
    <w:p>
      <w:r>
        <w:br w:type="page"/>
      </w:r>
    </w:p>
    <w:p>
      <w:pPr>
        <w:pStyle w:val="Heading1"/>
        <w:spacing w:after="180" w:before="360"/>
      </w:pPr>
      <w:r>
        <w:rPr>
          <w:b/>
          <w:bCs/>
          <w:color w:val="0055A4"/>
          <w:sz w:val="36"/>
          <w:szCs w:val="36"/>
        </w:rPr>
        <w:t xml:space="preserve">8. Key Performance Indicators Summary</w:t>
      </w:r>
    </w:p>
    <w:p>
      <w:pPr>
        <w:pBdr>
          <w:bottom w:val="single" w:color="0055A4" w:sz="4" w:space="1"/>
        </w:pBdr>
        <w:spacing w:after="160" w:before="160"/>
      </w:pPr>
      <w:r>
        <w:t xml:space="preserve"/>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rPr>
          <w:tblHeader/>
        </w:trPr>
        <w:tc>
          <w:tcPr>
            <w:tcW w:type="dxa" w:w="2200"/>
            <w:tcBorders>
              <w:top w:val="single" w:color="CCCCCC" w:sz="1"/>
              <w:left w:val="single" w:color="CCCCCC" w:sz="1"/>
              <w:bottom w:val="single" w:color="CCCCCC" w:sz="1"/>
              <w:right w:val="single" w:color="CCCCCC"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1600"/>
            <w:tcBorders>
              <w:top w:val="single" w:color="CCCCCC" w:sz="1"/>
              <w:left w:val="single" w:color="CCCCCC" w:sz="1"/>
              <w:bottom w:val="single" w:color="CCCCCC" w:sz="1"/>
              <w:right w:val="single" w:color="CCCCCC"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1600"/>
            <w:tcBorders>
              <w:top w:val="single" w:color="CCCCCC" w:sz="1"/>
              <w:left w:val="single" w:color="CCCCCC" w:sz="1"/>
              <w:bottom w:val="single" w:color="CCCCCC" w:sz="1"/>
              <w:right w:val="single" w:color="CCCCCC"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Benchmark</w:t>
            </w:r>
          </w:p>
        </w:tc>
        <w:tc>
          <w:tcPr>
            <w:tcW w:type="dxa" w:w="3960"/>
            <w:tcBorders>
              <w:top w:val="single" w:color="CCCCCC" w:sz="1"/>
              <w:left w:val="single" w:color="CCCCCC" w:sz="1"/>
              <w:bottom w:val="single" w:color="CCCCCC" w:sz="1"/>
              <w:right w:val="single" w:color="CCCCCC"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Insight</w:t>
            </w:r>
          </w:p>
        </w:tc>
      </w:tr>
      <w:tr>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Explicit Content Share</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56.3%</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High</w:t>
            </w:r>
          </w:p>
        </w:tc>
        <w:tc>
          <w:tcPr>
            <w:tcW w:type="dxa" w:w="39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Driven by French rap dominance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Clean Content Dominance Ratio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43.7%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Minority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Clean tracks score 7.6pts higher</w:t>
            </w:r>
          </w:p>
        </w:tc>
      </w:tr>
      <w:tr>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Single vs Album Track Ratio</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47:53</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Near parity</w:t>
            </w:r>
          </w:p>
        </w:tc>
        <w:tc>
          <w:tcPr>
            <w:tcW w:type="dxa" w:w="39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Singles outperform on rank &amp; popularity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Song Duration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3.09 min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Optimal: 3-4m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target for listener acceptance</w:t>
            </w:r>
          </w:p>
        </w:tc>
      </w:tr>
      <w:tr>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Album Size Impact Index</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Negative</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Dilution confirmed</w:t>
            </w:r>
          </w:p>
        </w:tc>
        <w:tc>
          <w:tcPr>
            <w:tcW w:type="dxa" w:w="39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Fewer tracks = better per-track performance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 Acceptance Score (Top 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80.4 popularity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 10 rewards clean, single-format songs</w:t>
            </w:r>
          </w:p>
        </w:tc>
      </w:tr>
    </w:tbl>
    <w:p>
      <w:r>
        <w:br w:type="page"/>
      </w:r>
    </w:p>
    <w:p>
      <w:pPr>
        <w:pStyle w:val="Heading1"/>
        <w:spacing w:after="180" w:before="360"/>
      </w:pPr>
      <w:r>
        <w:rPr>
          <w:b/>
          <w:bCs/>
          <w:color w:val="0055A4"/>
          <w:sz w:val="36"/>
          <w:szCs w:val="36"/>
        </w:rPr>
        <w:t xml:space="preserve">9. Top Artists — France Dominance</w:t>
      </w:r>
    </w:p>
    <w:p>
      <w:pPr>
        <w:pBdr>
          <w:bottom w:val="single" w:color="0055A4" w:sz="4" w:space="1"/>
        </w:pBdr>
        <w:spacing w:after="160" w:before="160"/>
      </w:pPr>
      <w:r>
        <w:t xml:space="preserve"/>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1560"/>
        <w:gridCol w:w="1600"/>
        <w:gridCol w:w="2200"/>
      </w:tblGrid>
      <w:tr>
        <w:trPr>
          <w:tblHeader/>
        </w:trPr>
        <w:tc>
          <w:tcPr>
            <w:tcW w:type="dxa" w:w="2000"/>
            <w:tcBorders>
              <w:top w:val="single" w:color="CCCCCC" w:sz="1"/>
              <w:left w:val="single" w:color="CCCCCC" w:sz="1"/>
              <w:bottom w:val="single" w:color="CCCCCC" w:sz="1"/>
              <w:right w:val="single" w:color="CCCCCC"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Artist</w:t>
            </w:r>
          </w:p>
        </w:tc>
        <w:tc>
          <w:tcPr>
            <w:tcW w:type="dxa" w:w="1000"/>
            <w:tcBorders>
              <w:top w:val="single" w:color="CCCCCC" w:sz="1"/>
              <w:left w:val="single" w:color="CCCCCC" w:sz="1"/>
              <w:bottom w:val="single" w:color="CCCCCC" w:sz="1"/>
              <w:right w:val="single" w:color="CCCCCC"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Unique Songs</w:t>
            </w:r>
          </w:p>
        </w:tc>
        <w:tc>
          <w:tcPr>
            <w:tcW w:type="dxa" w:w="1000"/>
            <w:tcBorders>
              <w:top w:val="single" w:color="CCCCCC" w:sz="1"/>
              <w:left w:val="single" w:color="CCCCCC" w:sz="1"/>
              <w:bottom w:val="single" w:color="CCCCCC" w:sz="1"/>
              <w:right w:val="single" w:color="CCCCCC"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Total Days</w:t>
            </w:r>
          </w:p>
        </w:tc>
        <w:tc>
          <w:tcPr>
            <w:tcW w:type="dxa" w:w="1560"/>
            <w:tcBorders>
              <w:top w:val="single" w:color="CCCCCC" w:sz="1"/>
              <w:left w:val="single" w:color="CCCCCC" w:sz="1"/>
              <w:bottom w:val="single" w:color="CCCCCC" w:sz="1"/>
              <w:right w:val="single" w:color="CCCCCC"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Dominance Index</w:t>
            </w:r>
          </w:p>
        </w:tc>
        <w:tc>
          <w:tcPr>
            <w:tcW w:type="dxa" w:w="1600"/>
            <w:tcBorders>
              <w:top w:val="single" w:color="CCCCCC" w:sz="1"/>
              <w:left w:val="single" w:color="CCCCCC" w:sz="1"/>
              <w:bottom w:val="single" w:color="CCCCCC" w:sz="1"/>
              <w:right w:val="single" w:color="CCCCCC"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Avg Popularity</w:t>
            </w:r>
          </w:p>
        </w:tc>
        <w:tc>
          <w:tcPr>
            <w:tcW w:type="dxa" w:w="2200"/>
            <w:tcBorders>
              <w:top w:val="single" w:color="CCCCCC" w:sz="1"/>
              <w:left w:val="single" w:color="CCCCCC" w:sz="1"/>
              <w:bottom w:val="single" w:color="CCCCCC" w:sz="1"/>
              <w:right w:val="single" w:color="CCCCCC"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Avg Rank</w:t>
            </w:r>
          </w:p>
        </w:tc>
      </w:tr>
      <w:tr>
        <w:tc>
          <w:tcPr>
            <w:tcW w:type="dxa" w:w="2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Werenoi</w:t>
            </w:r>
          </w:p>
        </w:tc>
        <w:tc>
          <w:tcPr>
            <w:tcW w:type="dxa" w:w="1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34</w:t>
            </w:r>
          </w:p>
        </w:tc>
        <w:tc>
          <w:tcPr>
            <w:tcW w:type="dxa" w:w="1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553</w:t>
            </w:r>
          </w:p>
        </w:tc>
        <w:tc>
          <w:tcPr>
            <w:tcW w:type="dxa" w:w="15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18,802</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72.0</w:t>
            </w:r>
          </w:p>
        </w:tc>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28.2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17,934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69.7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27.3</w:t>
            </w:r>
          </w:p>
        </w:tc>
      </w:tr>
      <w:tr>
        <w:tc>
          <w:tcPr>
            <w:tcW w:type="dxa" w:w="2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Tiakola</w:t>
            </w:r>
          </w:p>
        </w:tc>
        <w:tc>
          <w:tcPr>
            <w:tcW w:type="dxa" w:w="1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22</w:t>
            </w:r>
          </w:p>
        </w:tc>
        <w:tc>
          <w:tcPr>
            <w:tcW w:type="dxa" w:w="1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420</w:t>
            </w:r>
          </w:p>
        </w:tc>
        <w:tc>
          <w:tcPr>
            <w:tcW w:type="dxa" w:w="15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9,240</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72.7</w:t>
            </w:r>
          </w:p>
        </w:tc>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20.4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8,520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73.1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27.3</w:t>
            </w:r>
          </w:p>
        </w:tc>
      </w:tr>
      <w:tr>
        <w:tc>
          <w:tcPr>
            <w:tcW w:type="dxa" w:w="2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SDM</w:t>
            </w:r>
          </w:p>
        </w:tc>
        <w:tc>
          <w:tcPr>
            <w:tcW w:type="dxa" w:w="1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16</w:t>
            </w:r>
          </w:p>
        </w:tc>
        <w:tc>
          <w:tcPr>
            <w:tcW w:type="dxa" w:w="1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500</w:t>
            </w:r>
          </w:p>
        </w:tc>
        <w:tc>
          <w:tcPr>
            <w:tcW w:type="dxa" w:w="15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8,000</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74.8</w:t>
            </w:r>
          </w:p>
        </w:tc>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21.5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Ninho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5,187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73.8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25.6</w:t>
            </w:r>
          </w:p>
        </w:tc>
      </w:tr>
    </w:tbl>
    <w:p>
      <w:pPr>
        <w:spacing w:after="160" w:before="160"/>
      </w:pPr>
      <w:r>
        <w:t xml:space="preserve"/>
      </w:r>
    </w:p>
    <w:p>
      <w:pPr>
        <w:spacing w:after="80" w:before="80"/>
        <w:jc w:val="both"/>
      </w:pPr>
      <w:r>
        <w:rPr>
          <w:rFonts w:ascii="Arial" w:cs="Arial" w:eastAsia="Arial" w:hAnsi="Arial"/>
          <w:sz w:val="22"/>
          <w:szCs w:val="22"/>
        </w:rPr>
        <w:t xml:space="preserve">The France Top 50 is heavily dominated by French rap and urban artists. Werenoi leads by dominance index, while Jul leads by unique songs (49). International artists like Teddy Swims and Benson Boone appear in the top songs by longevity with high popularity scores (90+), suggesting strong crossover potential for Atlantic's English-language roster.</w:t>
      </w:r>
    </w:p>
    <w:p>
      <w:r>
        <w:br w:type="page"/>
      </w:r>
    </w:p>
    <w:p>
      <w:pPr>
        <w:pStyle w:val="Heading1"/>
        <w:spacing w:after="180" w:before="360"/>
      </w:pPr>
      <w:r>
        <w:rPr>
          <w:b/>
          <w:bCs/>
          <w:color w:val="0055A4"/>
          <w:sz w:val="36"/>
          <w:szCs w:val="36"/>
        </w:rPr>
        <w:t xml:space="preserve">10. Strategic Recommendations</w:t>
      </w:r>
    </w:p>
    <w:p>
      <w:pPr>
        <w:pBdr>
          <w:bottom w:val="single" w:color="0055A4" w:sz="4" w:space="1"/>
        </w:pBdr>
        <w:spacing w:after="160" w:before="160"/>
      </w:pPr>
      <w:r>
        <w:t xml:space="preserve"/>
      </w:r>
    </w:p>
    <w:p>
      <w:pPr>
        <w:pStyle w:val="Heading2"/>
        <w:spacing w:after="120" w:before="240"/>
      </w:pPr>
      <w:r>
        <w:rPr>
          <w:b/>
          <w:bCs/>
          <w:color w:val="EF4135"/>
          <w:sz w:val="28"/>
          <w:szCs w:val="28"/>
        </w:rPr>
        <w:t xml:space="preserve">10.1 Explicit Content Strategy</w:t>
      </w:r>
    </w:p>
    <w:p>
      <w:pPr>
        <w:pStyle w:val="ListParagraph"/>
        <w:numPr>
          <w:ilvl w:val="0"/>
          <w:numId w:val="2"/>
        </w:numPr>
        <w:spacing w:after="60" w:before="60"/>
      </w:pPr>
      <w:r>
        <w:rPr>
          <w:rFonts w:ascii="Arial" w:cs="Arial" w:eastAsia="Arial" w:hAnsi="Arial"/>
          <w:sz w:val="22"/>
          <w:szCs w:val="22"/>
        </w:rPr>
        <w:t xml:space="preserve">Do not artificially restrict explicit content — the France Top 50 is 56.3% explicit, driven by the dominant French rap genre.</w:t>
      </w:r>
    </w:p>
    <w:p>
      <w:pPr>
        <w:pStyle w:val="ListParagraph"/>
        <w:numPr>
          <w:ilvl w:val="0"/>
          <w:numId w:val="2"/>
        </w:numPr>
        <w:spacing w:after="60" w:before="60"/>
      </w:pPr>
      <w:r>
        <w:rPr>
          <w:rFonts w:ascii="Arial" w:cs="Arial" w:eastAsia="Arial" w:hAnsi="Arial"/>
          <w:sz w:val="22"/>
          <w:szCs w:val="22"/>
        </w:rPr>
        <w:t xml:space="preserve">For English-language releases targeting France, clean versions should be prioritized — clean tracks score 7.6 popularity points higher, indicating stronger broad-audience engagement.</w:t>
      </w:r>
    </w:p>
    <w:p>
      <w:pPr>
        <w:pStyle w:val="ListParagraph"/>
        <w:numPr>
          <w:ilvl w:val="0"/>
          <w:numId w:val="2"/>
        </w:numPr>
        <w:spacing w:after="60" w:before="60"/>
      </w:pPr>
      <w:r>
        <w:rPr>
          <w:rFonts w:ascii="Arial" w:cs="Arial" w:eastAsia="Arial" w:hAnsi="Arial"/>
          <w:sz w:val="22"/>
          <w:szCs w:val="22"/>
        </w:rPr>
        <w:t xml:space="preserve">Dual-release strategy (explicit + clean edit) is recommended for crossover artists targeting both the French rap audience and mainstream radio.</w:t>
      </w:r>
    </w:p>
    <w:p>
      <w:pPr>
        <w:pStyle w:val="Heading2"/>
        <w:spacing w:after="120" w:before="240"/>
      </w:pPr>
      <w:r>
        <w:rPr>
          <w:b/>
          <w:bCs/>
          <w:color w:val="EF4135"/>
          <w:sz w:val="28"/>
          <w:szCs w:val="28"/>
        </w:rPr>
        <w:t xml:space="preserve">10.2 Release Format Strategy</w:t>
      </w:r>
    </w:p>
    <w:p>
      <w:pPr>
        <w:pStyle w:val="ListParagraph"/>
        <w:numPr>
          <w:ilvl w:val="0"/>
          <w:numId w:val="2"/>
        </w:numPr>
        <w:spacing w:after="60" w:before="60"/>
      </w:pPr>
      <w:r>
        <w:rPr>
          <w:rFonts w:ascii="Arial" w:cs="Arial" w:eastAsia="Arial" w:hAnsi="Arial"/>
          <w:sz w:val="22"/>
          <w:szCs w:val="22"/>
        </w:rPr>
        <w:t xml:space="preserve">Singles should be the primary release vehicle for France — they achieve 7.7 higher popularity and better average rank than album tracks.</w:t>
      </w:r>
    </w:p>
    <w:p>
      <w:pPr>
        <w:pStyle w:val="ListParagraph"/>
        <w:numPr>
          <w:ilvl w:val="0"/>
          <w:numId w:val="2"/>
        </w:numPr>
        <w:spacing w:after="60" w:before="60"/>
      </w:pPr>
      <w:r>
        <w:rPr>
          <w:rFonts w:ascii="Arial" w:cs="Arial" w:eastAsia="Arial" w:hAnsi="Arial"/>
          <w:sz w:val="22"/>
          <w:szCs w:val="22"/>
        </w:rPr>
        <w:t xml:space="preserve">EPs (2-5 tracks) represent the optimal album format for balancing catalog depth with per-track performance.</w:t>
      </w:r>
    </w:p>
    <w:p>
      <w:pPr>
        <w:pStyle w:val="ListParagraph"/>
        <w:numPr>
          <w:ilvl w:val="0"/>
          <w:numId w:val="2"/>
        </w:numPr>
        <w:spacing w:after="60" w:before="60"/>
      </w:pPr>
      <w:r>
        <w:rPr>
          <w:rFonts w:ascii="Arial" w:cs="Arial" w:eastAsia="Arial" w:hAnsi="Arial"/>
          <w:sz w:val="22"/>
          <w:szCs w:val="22"/>
        </w:rPr>
        <w:t xml:space="preserve">Large album drops (16+ tracks) should be reserved for established French-language artists with proven loyal fanbases.</w:t>
      </w:r>
    </w:p>
    <w:p>
      <w:pPr>
        <w:pStyle w:val="Heading2"/>
        <w:spacing w:after="120" w:before="240"/>
      </w:pPr>
      <w:r>
        <w:rPr>
          <w:b/>
          <w:bCs/>
          <w:color w:val="EF4135"/>
          <w:sz w:val="28"/>
          <w:szCs w:val="28"/>
        </w:rPr>
        <w:t xml:space="preserve">10.3 Duration &amp; Production Guidelines</w:t>
      </w:r>
    </w:p>
    <w:p>
      <w:pPr>
        <w:pStyle w:val="ListParagraph"/>
        <w:numPr>
          <w:ilvl w:val="0"/>
          <w:numId w:val="2"/>
        </w:numPr>
        <w:spacing w:after="60" w:before="60"/>
      </w:pPr>
      <w:r>
        <w:rPr>
          <w:rFonts w:ascii="Arial" w:cs="Arial" w:eastAsia="Arial" w:hAnsi="Arial"/>
          <w:sz w:val="22"/>
          <w:szCs w:val="22"/>
        </w:rPr>
        <w:t xml:space="preserve">Target song durations of 3.0–4.0 minutes for all France-bound releases — this window achieves the best combination of rank and popularity.</w:t>
      </w:r>
    </w:p>
    <w:p>
      <w:pPr>
        <w:pStyle w:val="ListParagraph"/>
        <w:numPr>
          <w:ilvl w:val="0"/>
          <w:numId w:val="2"/>
        </w:numPr>
        <w:spacing w:after="60" w:before="60"/>
      </w:pPr>
      <w:r>
        <w:rPr>
          <w:rFonts w:ascii="Arial" w:cs="Arial" w:eastAsia="Arial" w:hAnsi="Arial"/>
          <w:sz w:val="22"/>
          <w:szCs w:val="22"/>
        </w:rPr>
        <w:t xml:space="preserve">Avoid tracks under 2 minutes — they rank significantly worse (avg rank 30.0) and score lower in popularity.</w:t>
      </w:r>
    </w:p>
    <w:p>
      <w:pPr>
        <w:pStyle w:val="Heading2"/>
        <w:spacing w:after="120" w:before="240"/>
      </w:pPr>
      <w:r>
        <w:rPr>
          <w:b/>
          <w:bCs/>
          <w:color w:val="EF4135"/>
          <w:sz w:val="28"/>
          <w:szCs w:val="28"/>
        </w:rPr>
        <w:t xml:space="preserve">10.4 Catalog &amp; Market Development</w:t>
      </w:r>
    </w:p>
    <w:p>
      <w:pPr>
        <w:pStyle w:val="ListParagraph"/>
        <w:numPr>
          <w:ilvl w:val="0"/>
          <w:numId w:val="2"/>
        </w:numPr>
        <w:spacing w:after="60" w:before="60"/>
      </w:pPr>
      <w:r>
        <w:rPr>
          <w:rFonts w:ascii="Arial" w:cs="Arial" w:eastAsia="Arial" w:hAnsi="Arial"/>
          <w:sz w:val="22"/>
          <w:szCs w:val="22"/>
        </w:rPr>
        <w:t xml:space="preserve">Invest in French-language artist development — the market is heavily domestic, with French rap artists dominating all dominance metrics.</w:t>
      </w:r>
    </w:p>
    <w:p>
      <w:pPr>
        <w:pStyle w:val="ListParagraph"/>
        <w:numPr>
          <w:ilvl w:val="0"/>
          <w:numId w:val="2"/>
        </w:numPr>
        <w:spacing w:after="60" w:before="60"/>
      </w:pPr>
      <w:r>
        <w:rPr>
          <w:rFonts w:ascii="Arial" w:cs="Arial" w:eastAsia="Arial" w:hAnsi="Arial"/>
          <w:sz w:val="22"/>
          <w:szCs w:val="22"/>
        </w:rPr>
        <w:t xml:space="preserve">Leverage international crossover artists (Teddy Swims, Benson Boone) who appear in France with popularity scores above 90 — these represent Atlantic's strongest international assets for the French market.</w:t>
      </w:r>
    </w:p>
    <w:p>
      <w:r>
        <w:br w:type="page"/>
      </w:r>
    </w:p>
    <w:p>
      <w:pPr>
        <w:pStyle w:val="Heading1"/>
        <w:spacing w:after="180" w:before="360"/>
      </w:pPr>
      <w:r>
        <w:rPr>
          <w:b/>
          <w:bCs/>
          <w:color w:val="0055A4"/>
          <w:sz w:val="36"/>
          <w:szCs w:val="36"/>
        </w:rPr>
        <w:t xml:space="preserve">11. Conclusion</w:t>
      </w:r>
    </w:p>
    <w:p>
      <w:pPr>
        <w:pBdr>
          <w:bottom w:val="single" w:color="0055A4" w:sz="4" w:space="1"/>
        </w:pBdr>
        <w:spacing w:after="160" w:before="160"/>
      </w:pPr>
      <w:r>
        <w:t xml:space="preserve"/>
      </w:r>
    </w:p>
    <w:p>
      <w:pPr>
        <w:spacing w:after="80" w:before="80"/>
        <w:jc w:val="both"/>
      </w:pPr>
      <w:r>
        <w:rPr>
          <w:rFonts w:ascii="Arial" w:cs="Arial" w:eastAsia="Arial" w:hAnsi="Arial"/>
          <w:sz w:val="22"/>
          <w:szCs w:val="22"/>
        </w:rPr>
        <w:t xml:space="preserve">The France Top 50 presents a distinctive content landscape compared to global streaming norms. High explicit content share, near-parity between singles and album tracks, concentrated duration preferences, and a clear album dilution effect all define the structural characteristics of French playlist behavior.</w:t>
      </w:r>
    </w:p>
    <w:p>
      <w:pPr>
        <w:spacing w:after="80" w:before="80"/>
        <w:jc w:val="both"/>
      </w:pPr>
      <w:r>
        <w:rPr>
          <w:rFonts w:ascii="Arial" w:cs="Arial" w:eastAsia="Arial" w:hAnsi="Arial"/>
          <w:sz w:val="22"/>
          <w:szCs w:val="22"/>
        </w:rPr>
        <w:t xml:space="preserve">For Atlantic Recording Corporation, the data supports a clear strategic direction: singles-first releases, clean content prioritization for English-language crossover attempts, 3-4 minute target durations, and a deep investment in French-language rap and urban artists who dominate this market. The interactive Streamlit dashboard accompanying this report provides live, filterable access to all KPIs for Atlantic's France market team.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055A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EF413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2026-07-05T10:48:47.575Z</dcterms:created>
  <dcterms:modified xsi:type="dcterms:W3CDTF">2026-07-05T10:48:47.589Z</dcterms:modified>
</cp:coreProperties>
</file>

<file path=docProps/custom.xml><?xml version="1.0" encoding="utf-8"?>
<Properties xmlns="http://schemas.openxmlformats.org/officeDocument/2006/custom-properties" xmlns:vt="http://schemas.openxmlformats.org/officeDocument/2006/docPropsVTypes"/>
</file>