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3F38" w14:textId="03FB7C0D" w:rsidR="009429BA" w:rsidRPr="007331BA" w:rsidRDefault="007331BA" w:rsidP="007331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331BA">
        <w:rPr>
          <w:rFonts w:ascii="Times New Roman" w:hAnsi="Times New Roman" w:cs="Times New Roman"/>
          <w:b/>
          <w:bCs/>
          <w:sz w:val="36"/>
          <w:szCs w:val="36"/>
        </w:rPr>
        <w:t>Ларионов Никита</w:t>
      </w:r>
      <w:r w:rsidRPr="007331BA">
        <w:rPr>
          <w:rFonts w:ascii="Times New Roman" w:hAnsi="Times New Roman" w:cs="Times New Roman"/>
          <w:b/>
          <w:bCs/>
          <w:sz w:val="36"/>
          <w:szCs w:val="36"/>
        </w:rPr>
        <w:br/>
        <w:t>ПВБО-01-24</w:t>
      </w:r>
    </w:p>
    <w:p w14:paraId="695BF399" w14:textId="370EB8EF" w:rsidR="007331BA" w:rsidRPr="007331BA" w:rsidRDefault="007331BA" w:rsidP="007331B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331BA">
        <w:rPr>
          <w:rFonts w:ascii="Times New Roman" w:hAnsi="Times New Roman" w:cs="Times New Roman"/>
          <w:b/>
          <w:bCs/>
          <w:sz w:val="36"/>
          <w:szCs w:val="36"/>
        </w:rPr>
        <w:t>СР2</w:t>
      </w:r>
      <w:r w:rsidRPr="007331BA">
        <w:rPr>
          <w:rFonts w:ascii="Times New Roman" w:hAnsi="Times New Roman" w:cs="Times New Roman"/>
          <w:b/>
          <w:bCs/>
          <w:sz w:val="36"/>
          <w:szCs w:val="36"/>
        </w:rPr>
        <w:br/>
        <w:t>Вариант 1</w:t>
      </w:r>
    </w:p>
    <w:p w14:paraId="156A0131" w14:textId="77777777" w:rsidR="007331BA" w:rsidRPr="007331BA" w:rsidRDefault="007331BA" w:rsidP="007331B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b/>
          <w:bCs/>
          <w:sz w:val="28"/>
          <w:szCs w:val="28"/>
        </w:rPr>
        <w:t>Какие представления стали основанием для формирования новой картины мира?</w:t>
      </w:r>
      <w:r w:rsidRPr="007331BA">
        <w:rPr>
          <w:rFonts w:ascii="Times New Roman" w:hAnsi="Times New Roman" w:cs="Times New Roman"/>
          <w:sz w:val="28"/>
          <w:szCs w:val="28"/>
        </w:rPr>
        <w:br/>
        <w:t>Основанием для формирования новой картины мира стали:</w:t>
      </w:r>
    </w:p>
    <w:p w14:paraId="1EBC819B" w14:textId="77777777" w:rsidR="007331BA" w:rsidRPr="007331BA" w:rsidRDefault="007331BA" w:rsidP="007331B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sz w:val="28"/>
          <w:szCs w:val="28"/>
        </w:rPr>
        <w:t>Механистическое понимание природы,</w:t>
      </w:r>
    </w:p>
    <w:p w14:paraId="40C4D1C1" w14:textId="77777777" w:rsidR="007331BA" w:rsidRPr="007331BA" w:rsidRDefault="007331BA" w:rsidP="007331B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sz w:val="28"/>
          <w:szCs w:val="28"/>
        </w:rPr>
        <w:t>Математизация естествознания,</w:t>
      </w:r>
    </w:p>
    <w:p w14:paraId="59AFA6AA" w14:textId="77777777" w:rsidR="007331BA" w:rsidRPr="007331BA" w:rsidRDefault="007331BA" w:rsidP="007331B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sz w:val="28"/>
          <w:szCs w:val="28"/>
        </w:rPr>
        <w:t>Отказ от антропоцентризма и теоцентризма,</w:t>
      </w:r>
    </w:p>
    <w:p w14:paraId="4299A186" w14:textId="77777777" w:rsidR="007331BA" w:rsidRPr="007331BA" w:rsidRDefault="007331BA" w:rsidP="007331B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sz w:val="28"/>
          <w:szCs w:val="28"/>
        </w:rPr>
        <w:t>Принцип детерминизма,</w:t>
      </w:r>
    </w:p>
    <w:p w14:paraId="1AD65C63" w14:textId="77777777" w:rsidR="007331BA" w:rsidRPr="007331BA" w:rsidRDefault="007331BA" w:rsidP="007331B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sz w:val="28"/>
          <w:szCs w:val="28"/>
        </w:rPr>
        <w:t>Опора на эксперимент и наблюдение.</w:t>
      </w:r>
    </w:p>
    <w:p w14:paraId="2CA2F91D" w14:textId="77777777" w:rsidR="007331BA" w:rsidRPr="007331BA" w:rsidRDefault="007331BA" w:rsidP="007331B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b/>
          <w:bCs/>
          <w:sz w:val="28"/>
          <w:szCs w:val="28"/>
        </w:rPr>
        <w:t>Какие основные направления, в рамках проблемы методов познания, сформировались в философии в XVII в.?</w:t>
      </w:r>
      <w:r w:rsidRPr="007331BA">
        <w:rPr>
          <w:rFonts w:ascii="Times New Roman" w:hAnsi="Times New Roman" w:cs="Times New Roman"/>
          <w:sz w:val="28"/>
          <w:szCs w:val="28"/>
        </w:rPr>
        <w:br/>
        <w:t>В XVII веке сформировались два основных направления:</w:t>
      </w:r>
    </w:p>
    <w:p w14:paraId="033B9B64" w14:textId="77777777" w:rsidR="007331BA" w:rsidRPr="007331BA" w:rsidRDefault="007331BA" w:rsidP="007331B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b/>
          <w:bCs/>
          <w:sz w:val="28"/>
          <w:szCs w:val="28"/>
        </w:rPr>
        <w:t>Эмпиризм</w:t>
      </w:r>
      <w:r w:rsidRPr="007331BA">
        <w:rPr>
          <w:rFonts w:ascii="Times New Roman" w:hAnsi="Times New Roman" w:cs="Times New Roman"/>
          <w:sz w:val="28"/>
          <w:szCs w:val="28"/>
        </w:rPr>
        <w:t> (Ф. Бэкон, Т. Гоббс, Дж. Локк) – основа познания в опыте и наблюдении,</w:t>
      </w:r>
    </w:p>
    <w:p w14:paraId="20C4F43E" w14:textId="77777777" w:rsidR="007331BA" w:rsidRPr="007331BA" w:rsidRDefault="007331BA" w:rsidP="007331B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b/>
          <w:bCs/>
          <w:sz w:val="28"/>
          <w:szCs w:val="28"/>
        </w:rPr>
        <w:t>Рационализм</w:t>
      </w:r>
      <w:r w:rsidRPr="007331BA">
        <w:rPr>
          <w:rFonts w:ascii="Times New Roman" w:hAnsi="Times New Roman" w:cs="Times New Roman"/>
          <w:sz w:val="28"/>
          <w:szCs w:val="28"/>
        </w:rPr>
        <w:t> (Р. Декарт, Б. Спиноза, Г. Лейбниц) – основа познания в разуме и логике.</w:t>
      </w:r>
    </w:p>
    <w:p w14:paraId="3EDAA8BF" w14:textId="77777777" w:rsidR="007331BA" w:rsidRPr="007331BA" w:rsidRDefault="007331BA" w:rsidP="007331B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b/>
          <w:bCs/>
          <w:sz w:val="28"/>
          <w:szCs w:val="28"/>
        </w:rPr>
        <w:t>Раскрыть суть индуктивного метода Ф. Бэкона</w:t>
      </w:r>
      <w:r w:rsidRPr="007331BA">
        <w:rPr>
          <w:rFonts w:ascii="Times New Roman" w:hAnsi="Times New Roman" w:cs="Times New Roman"/>
          <w:sz w:val="28"/>
          <w:szCs w:val="28"/>
        </w:rPr>
        <w:br/>
        <w:t>Индуктивный метод Бэкона – это движение от частных наблюдений и экспериментов к общим выводам. Он основан на систематическом сборе данных, их классификации и исключении ложных предположений. Цель метода – получение достоверного знания о природе.</w:t>
      </w:r>
    </w:p>
    <w:p w14:paraId="65887709" w14:textId="77777777" w:rsidR="007331BA" w:rsidRPr="007331BA" w:rsidRDefault="007331BA" w:rsidP="007331B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b/>
          <w:bCs/>
          <w:sz w:val="28"/>
          <w:szCs w:val="28"/>
        </w:rPr>
        <w:t>Что такое «идолы театра» в интерпретации Ф. Бэкона?</w:t>
      </w:r>
      <w:r w:rsidRPr="007331BA">
        <w:rPr>
          <w:rFonts w:ascii="Times New Roman" w:hAnsi="Times New Roman" w:cs="Times New Roman"/>
          <w:sz w:val="28"/>
          <w:szCs w:val="28"/>
        </w:rPr>
        <w:br/>
        <w:t>«Идолы театра» – это предрассудки, связанные с некритическим принятием философских систем, авторитетов и догм. Они мешают познанию, так как заставляют человека мыслить в рамках чужих концепций, а не опираться на собственный опыт.</w:t>
      </w:r>
    </w:p>
    <w:p w14:paraId="3F4B7155" w14:textId="77777777" w:rsidR="007331BA" w:rsidRPr="007331BA" w:rsidRDefault="007331BA" w:rsidP="007331B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b/>
          <w:bCs/>
          <w:sz w:val="28"/>
          <w:szCs w:val="28"/>
        </w:rPr>
        <w:t>Какой тип рассуждений и умозаключений, согласно Р. Декарту, приводит к истинному знанию?</w:t>
      </w:r>
      <w:r w:rsidRPr="007331BA">
        <w:rPr>
          <w:rFonts w:ascii="Times New Roman" w:hAnsi="Times New Roman" w:cs="Times New Roman"/>
          <w:sz w:val="28"/>
          <w:szCs w:val="28"/>
        </w:rPr>
        <w:br/>
      </w:r>
      <w:r w:rsidRPr="007331BA">
        <w:rPr>
          <w:rFonts w:ascii="Times New Roman" w:hAnsi="Times New Roman" w:cs="Times New Roman"/>
          <w:sz w:val="28"/>
          <w:szCs w:val="28"/>
        </w:rPr>
        <w:lastRenderedPageBreak/>
        <w:t>Согласно Декарту, к истинному знанию приводит </w:t>
      </w:r>
      <w:r w:rsidRPr="007331BA">
        <w:rPr>
          <w:rFonts w:ascii="Times New Roman" w:hAnsi="Times New Roman" w:cs="Times New Roman"/>
          <w:b/>
          <w:bCs/>
          <w:sz w:val="28"/>
          <w:szCs w:val="28"/>
        </w:rPr>
        <w:t>дедуктивный метод</w:t>
      </w:r>
      <w:r w:rsidRPr="007331BA">
        <w:rPr>
          <w:rFonts w:ascii="Times New Roman" w:hAnsi="Times New Roman" w:cs="Times New Roman"/>
          <w:sz w:val="28"/>
          <w:szCs w:val="28"/>
        </w:rPr>
        <w:t>, основанный на:</w:t>
      </w:r>
    </w:p>
    <w:p w14:paraId="4C479448" w14:textId="77777777" w:rsidR="007331BA" w:rsidRPr="007331BA" w:rsidRDefault="007331BA" w:rsidP="007331B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sz w:val="28"/>
          <w:szCs w:val="28"/>
        </w:rPr>
        <w:t>Ясных и очевидных началах (интеллектуальная интуиция),</w:t>
      </w:r>
    </w:p>
    <w:p w14:paraId="71107627" w14:textId="77777777" w:rsidR="007331BA" w:rsidRPr="007331BA" w:rsidRDefault="007331BA" w:rsidP="007331B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sz w:val="28"/>
          <w:szCs w:val="28"/>
        </w:rPr>
        <w:t>Логическом выведении следствий из этих начал.</w:t>
      </w:r>
    </w:p>
    <w:p w14:paraId="1F91BADE" w14:textId="77777777" w:rsidR="007331BA" w:rsidRPr="007331BA" w:rsidRDefault="007331BA" w:rsidP="007331B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b/>
          <w:bCs/>
          <w:sz w:val="28"/>
          <w:szCs w:val="28"/>
        </w:rPr>
        <w:t>Что такое деизм и дуализм?</w:t>
      </w:r>
    </w:p>
    <w:p w14:paraId="34BAA480" w14:textId="77777777" w:rsidR="007331BA" w:rsidRPr="007331BA" w:rsidRDefault="007331BA" w:rsidP="007331B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b/>
          <w:bCs/>
          <w:sz w:val="28"/>
          <w:szCs w:val="28"/>
        </w:rPr>
        <w:t>Деизм</w:t>
      </w:r>
      <w:r w:rsidRPr="007331BA">
        <w:rPr>
          <w:rFonts w:ascii="Times New Roman" w:hAnsi="Times New Roman" w:cs="Times New Roman"/>
          <w:sz w:val="28"/>
          <w:szCs w:val="28"/>
        </w:rPr>
        <w:t> – учение, признающее существование Бога как первопричины мира, но отрицающее его вмешательство в природные и человеческие дела.</w:t>
      </w:r>
    </w:p>
    <w:p w14:paraId="774591C5" w14:textId="77777777" w:rsidR="007331BA" w:rsidRPr="007331BA" w:rsidRDefault="007331BA" w:rsidP="007331BA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31BA">
        <w:rPr>
          <w:rFonts w:ascii="Times New Roman" w:hAnsi="Times New Roman" w:cs="Times New Roman"/>
          <w:b/>
          <w:bCs/>
          <w:sz w:val="28"/>
          <w:szCs w:val="28"/>
        </w:rPr>
        <w:t>Дуализм</w:t>
      </w:r>
      <w:r w:rsidRPr="007331BA">
        <w:rPr>
          <w:rFonts w:ascii="Times New Roman" w:hAnsi="Times New Roman" w:cs="Times New Roman"/>
          <w:sz w:val="28"/>
          <w:szCs w:val="28"/>
        </w:rPr>
        <w:t> – философское учение, признающее два независимых и равноправных начала: материю и сознание, тело и душу (например, у Р. Декарта).</w:t>
      </w:r>
    </w:p>
    <w:p w14:paraId="15AD22FA" w14:textId="77777777" w:rsidR="007331BA" w:rsidRPr="007331BA" w:rsidRDefault="007331BA" w:rsidP="007331B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331BA" w:rsidRPr="0073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72CE9"/>
    <w:multiLevelType w:val="multilevel"/>
    <w:tmpl w:val="4E02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5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BA"/>
    <w:rsid w:val="0005462A"/>
    <w:rsid w:val="00062919"/>
    <w:rsid w:val="003D3397"/>
    <w:rsid w:val="007331BA"/>
    <w:rsid w:val="008D103F"/>
    <w:rsid w:val="009429BA"/>
    <w:rsid w:val="00A4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94469"/>
  <w15:chartTrackingRefBased/>
  <w15:docId w15:val="{B6AC10BD-902F-438C-9C50-F421E503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1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1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1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1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1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1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1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1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1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1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31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Ларионов</dc:creator>
  <cp:keywords/>
  <dc:description/>
  <cp:lastModifiedBy>Никита Ларионов</cp:lastModifiedBy>
  <cp:revision>1</cp:revision>
  <dcterms:created xsi:type="dcterms:W3CDTF">2025-12-16T02:22:00Z</dcterms:created>
  <dcterms:modified xsi:type="dcterms:W3CDTF">2025-12-16T02:23:00Z</dcterms:modified>
</cp:coreProperties>
</file>