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Cost of Irrigation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of Irrigation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Drip Irrigation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 37,200 (average for wide-spaced crops) to Rs 90,000 (average for close spaced crops) per hectare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https://rkvy.nic.in/static/schemes/DripIrrigation.html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Sprinkler Irrigation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 19,542 to Rs. 94,028 per hectare depending upon the spacing of sprinkler pipes, type of sprinkler system and land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https://www.manage.gov.in/fpoacademy/CGSchemes/Irrigation%20Schemes.pdf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Borewell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 100,00 to 150,000 per 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 and lift irrigation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O &amp; M Cost of Rs 37.05 to 988.45 per hectare per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highlight w:val="white"/>
                <w:rtl w:val="0"/>
              </w:rPr>
              <w:t xml:space="preserve">Fakeha Parween</w:t>
            </w:r>
            <w:r w:rsidDel="00000000" w:rsidR="00000000" w:rsidRPr="00000000">
              <w:rPr>
                <w:color w:val="0952ab"/>
                <w:sz w:val="24"/>
                <w:szCs w:val="24"/>
                <w:highlight w:val="white"/>
                <w:rtl w:val="0"/>
              </w:rPr>
              <w:t xml:space="preserve">, </w:t>
            </w:r>
            <w:r w:rsidDel="00000000" w:rsidR="00000000" w:rsidRPr="00000000">
              <w:rPr>
                <w:sz w:val="24"/>
                <w:szCs w:val="24"/>
                <w:highlight w:val="white"/>
                <w:rtl w:val="0"/>
              </w:rPr>
              <w:t xml:space="preserve">Pratibha Kumari</w:t>
            </w:r>
            <w:r w:rsidDel="00000000" w:rsidR="00000000" w:rsidRPr="00000000">
              <w:rPr>
                <w:color w:val="0952ab"/>
                <w:sz w:val="24"/>
                <w:szCs w:val="24"/>
                <w:highlight w:val="white"/>
                <w:rtl w:val="0"/>
              </w:rPr>
              <w:t xml:space="preserve">, </w:t>
            </w:r>
            <w:r w:rsidDel="00000000" w:rsidR="00000000" w:rsidRPr="00000000">
              <w:rPr>
                <w:sz w:val="24"/>
                <w:szCs w:val="24"/>
                <w:highlight w:val="white"/>
                <w:rtl w:val="0"/>
              </w:rPr>
              <w:t xml:space="preserve">Ajai Singh; Irrigation water pricing policies and water resources management. </w:t>
            </w:r>
            <w:r w:rsidDel="00000000" w:rsidR="00000000" w:rsidRPr="00000000">
              <w:rPr>
                <w:i w:val="1"/>
                <w:sz w:val="24"/>
                <w:szCs w:val="24"/>
                <w:highlight w:val="white"/>
                <w:rtl w:val="0"/>
              </w:rPr>
              <w:t xml:space="preserve">Water Policy</w:t>
            </w:r>
            <w:r w:rsidDel="00000000" w:rsidR="00000000" w:rsidRPr="00000000">
              <w:rPr>
                <w:sz w:val="24"/>
                <w:szCs w:val="24"/>
                <w:highlight w:val="white"/>
                <w:rtl w:val="0"/>
              </w:rPr>
              <w:t xml:space="preserve"> 1 February 2021; 23 (1): 130–141. doi: </w:t>
            </w:r>
            <w:hyperlink r:id="rId6">
              <w:r w:rsidDel="00000000" w:rsidR="00000000" w:rsidRPr="00000000">
                <w:rPr>
                  <w:color w:val="0952ab"/>
                  <w:sz w:val="24"/>
                  <w:szCs w:val="24"/>
                  <w:highlight w:val="white"/>
                  <w:rtl w:val="0"/>
                </w:rPr>
                <w:t xml:space="preserve">https://doi.org/10.2166/wp.2020.147</w:t>
              </w:r>
            </w:hyperlink>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Limitations and Assumptions: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The prices mentioned are not exhaustive, and can vary depending on numerous factors including geographic location, the specific design and features of each system, and fluctuations in material and labor costs over time.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The costs for drip and sprinkler irrigation are based on average costs per hectare, but actual expenses could significantly differ based on field shape, topography, and crop type. </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Cost of borewell installation is provided in a general range and might not account for varying depths or geographical conditions.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The flow and lift irrigation data pertains only to operational and maintenance costs, and it does not include installation or setup expenses. Lift irrigation will need an additional setup of a motor to lift water from canals.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2166/wp.2020.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