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0AE9D" w14:textId="74336719" w:rsidR="00E81978" w:rsidRDefault="003846B3" w:rsidP="00E10D04">
      <w:pPr>
        <w:pStyle w:val="Title2"/>
      </w:pPr>
      <w:bookmarkStart w:id="0" w:name="_Hlk35594602"/>
      <w:r>
        <w:t>Graduated Sanctions Model in Swidden Agriculture</w:t>
      </w:r>
      <w:bookmarkEnd w:id="0"/>
    </w:p>
    <w:p w14:paraId="05D7AA5C" w14:textId="3661E81E" w:rsidR="00B823AA" w:rsidRDefault="003846B3" w:rsidP="00B823AA">
      <w:pPr>
        <w:pStyle w:val="Title2"/>
      </w:pPr>
      <w:r>
        <w:t>F. A. Correa, S. S. Downey, 2020-03-20</w:t>
      </w:r>
    </w:p>
    <w:p w14:paraId="6B1BEA51" w14:textId="1C1AB21D" w:rsidR="00EF6E66" w:rsidRDefault="00EF6E66" w:rsidP="00EF6E66">
      <w:pPr>
        <w:pStyle w:val="Heading1"/>
      </w:pPr>
      <w:r>
        <w:t>Purpose</w:t>
      </w:r>
      <w:r w:rsidR="00407682">
        <w:t xml:space="preserve"> of the model and the research</w:t>
      </w:r>
    </w:p>
    <w:p w14:paraId="6512A9BA" w14:textId="181381DB" w:rsidR="00D66689" w:rsidRDefault="0096295C" w:rsidP="0096295C">
      <w:pPr>
        <w:rPr>
          <w:rFonts w:cs="Arial"/>
        </w:rPr>
      </w:pPr>
      <w:r>
        <w:t xml:space="preserve">The purpose of this research is to </w:t>
      </w:r>
      <w:r w:rsidR="0047780E" w:rsidRPr="006A1B72">
        <w:rPr>
          <w:rFonts w:cs="Arial"/>
        </w:rPr>
        <w:t>explor</w:t>
      </w:r>
      <w:r w:rsidR="0047780E">
        <w:rPr>
          <w:rFonts w:cs="Arial"/>
        </w:rPr>
        <w:t>e</w:t>
      </w:r>
      <w:r w:rsidR="0047780E" w:rsidRPr="006A1B72">
        <w:rPr>
          <w:rFonts w:cs="Arial"/>
        </w:rPr>
        <w:t xml:space="preserve"> the limits of land and user engagement in market-oriented production</w:t>
      </w:r>
      <w:r w:rsidR="00083D29">
        <w:rPr>
          <w:rFonts w:cs="Arial"/>
        </w:rPr>
        <w:t>. By exploring these limit</w:t>
      </w:r>
      <w:r w:rsidR="008E6482">
        <w:rPr>
          <w:rFonts w:cs="Arial"/>
        </w:rPr>
        <w:t>s,</w:t>
      </w:r>
      <w:r w:rsidR="00083D29">
        <w:rPr>
          <w:rFonts w:cs="Arial"/>
        </w:rPr>
        <w:t xml:space="preserve"> we </w:t>
      </w:r>
      <w:r w:rsidR="008E6482">
        <w:rPr>
          <w:rFonts w:cs="Arial"/>
        </w:rPr>
        <w:t>advance</w:t>
      </w:r>
      <w:r w:rsidR="00083D29">
        <w:rPr>
          <w:rFonts w:cs="Arial"/>
        </w:rPr>
        <w:t xml:space="preserve"> understanding of the</w:t>
      </w:r>
      <w:r w:rsidR="0047780E">
        <w:rPr>
          <w:rFonts w:cs="Arial"/>
        </w:rPr>
        <w:t xml:space="preserve"> emergence of sustainable use of the forest commons.</w:t>
      </w:r>
    </w:p>
    <w:p w14:paraId="3F695A78" w14:textId="53FC15B9" w:rsidR="0049735C" w:rsidRDefault="00686154" w:rsidP="00686154">
      <w:pPr>
        <w:rPr>
          <w:rFonts w:cs="Arial"/>
        </w:rPr>
      </w:pPr>
      <w:r w:rsidRPr="006A1B72">
        <w:rPr>
          <w:rFonts w:cs="Arial"/>
        </w:rPr>
        <w:t>The landscape of southern Belize is a mosaic of land uses that includes rice plantations, cacao, cattle, oil, timber</w:t>
      </w:r>
      <w:r w:rsidR="00C21DDA">
        <w:rPr>
          <w:rFonts w:cs="Arial"/>
        </w:rPr>
        <w:t xml:space="preserve">, and other </w:t>
      </w:r>
      <w:r w:rsidR="00C21DDA" w:rsidRPr="006A1B72">
        <w:rPr>
          <w:rFonts w:cs="Arial"/>
        </w:rPr>
        <w:t>market-oriented uses</w:t>
      </w:r>
      <w:r>
        <w:rPr>
          <w:rFonts w:cs="Arial"/>
        </w:rPr>
        <w:t xml:space="preserve">; it also includes the </w:t>
      </w:r>
      <w:r w:rsidRPr="006A1B72">
        <w:rPr>
          <w:rFonts w:cs="Arial"/>
        </w:rPr>
        <w:t xml:space="preserve">crops and fallows of </w:t>
      </w:r>
      <w:r w:rsidR="005B7867">
        <w:rPr>
          <w:rFonts w:cs="Arial"/>
        </w:rPr>
        <w:t>swidden agriculture</w:t>
      </w:r>
      <w:r w:rsidR="00AC6865">
        <w:rPr>
          <w:rFonts w:cs="Arial"/>
        </w:rPr>
        <w:t xml:space="preserve"> </w:t>
      </w:r>
      <w:r w:rsidR="00AC6865">
        <w:rPr>
          <w:rFonts w:cs="Arial"/>
        </w:rPr>
        <w:fldChar w:fldCharType="begin"/>
      </w:r>
      <w:r w:rsidR="00AC6865">
        <w:rPr>
          <w:rFonts w:cs="Arial"/>
        </w:rPr>
        <w:instrText xml:space="preserve"> ADDIN ZOTERO_ITEM CSL_CITATION {"citationID":"NLb6WlUd","properties":{"formattedCitation":"(Downey, 2015; Moritz et al., 2018, pp. 12859 &amp; Suppl.)","plainCitation":"(Downey, 2015; Moritz et al., 2018, pp. 12859 &amp; Suppl.)","noteIndex":0},"citationItems":[{"id":45,"uris":["http://zotero.org/users/5731070/items/WX73NKV4"],"uri":["http://zotero.org/users/5731070/items/WX73NKV4"],"itemData":{"id":45,"type":"article-journal","container-title":"Ethnohistory","DOI":"10/gf2w2c","ISSN":"0014-1801","issue":"4","journalAbbreviation":"Ethnohistory","language":"en","page":"751-779","source":"read.dukeupress.edu","title":"Q'eqchi' Maya Swidden Agriculture, Settlement History, and Colonial Enterprise in Modern Belize","volume":"62","author":[{"family":"Downey","given":"Sean S."}],"issued":{"date-parts":[["2015",10,1]]}}},{"id":32,"uris":["http://zotero.org/users/5731070/items/PUFE2R4S"],"uri":["http://zotero.org/users/5731070/items/PUFE2R4S"],"itemData":{"id":32,"type":"article-journal","abstract":"Current theoretical models of the commons assert that common-pool resources can only be managed sustainably with clearly defined boundaries around both communities and the resources that they use. In these theoretical models, open access inevitably leads to a tragedy of the commons. However, in many open-access systems, use of common-pool resources seems to be sustainable over the long term (i.e., current resource use does not threaten use of common-pool resources for future generations). Here, we outline the conditions that support sustainable resource use in open property regimes. We use the conceptual framework of complex adaptive systems to explain how processes within and couplings between human and natural systems can lead to the emergence of efficient, equitable, and sustainable resource use. We illustrate these dynamics in eight case studies of different social–ecological systems, including mobile pastoralism, marine and freshwater fisheries, swidden agriculture, and desert foraging. Our theoretical framework identifies eight conditions that are critical for the emergence of sustainable use of common-pool resources in open property regimes. In addition, we explain how changes in boundary conditions may push open property regimes to either common property regimes or a tragedy of the commons. Our theoretical model of emergent sustainability helps us to understand the diversity and dynamics of property regimes across a wide range of social–ecological systems and explains the enigma of open access without a tragedy. We recommend that policy interventions in such self-organizing systems should focus on managing the conditions that are critical for the emergence and persistence of sustainability.","container-title":"Proceedings of the National Academy of Sciences","DOI":"10/gfvcsm","ISSN":"0027-8424, 1091-6490","issue":"51","journalAbbreviation":"PNAS","language":"en","note":"PMID: 30487220","page":"12859-12867","source":"www.pnas.org","title":"Emergent sustainability in open property regimes","volume":"115","author":[{"family":"Moritz","given":"Mark"},{"family":"Behnke","given":"Roy"},{"family":"Beitl","given":"Christine M."},{"family":"Bird","given":"Rebecca Bliege"},{"family":"Chiaravalloti","given":"Rafael Morais"},{"family":"Clark","given":"Julia K."},{"family":"Crabtree","given":"Stefani A."},{"family":"Downey","given":"Sean S."},{"family":"Hamilton","given":"Ian M."},{"family":"Phang","given":"Sui Chian"},{"family":"Scholte","given":"Paul"},{"family":"Wilson","given":"James A."}],"issued":{"date-parts":[["2018",12,18]]}},"locator":"12859 &amp; Suppl."}],"schema":"https://github.com/citation-style-language/schema/raw/master/csl-citation.json"} </w:instrText>
      </w:r>
      <w:r w:rsidR="00AC6865">
        <w:rPr>
          <w:rFonts w:cs="Arial"/>
        </w:rPr>
        <w:fldChar w:fldCharType="separate"/>
      </w:r>
      <w:r w:rsidR="00AC6865" w:rsidRPr="00AC6865">
        <w:rPr>
          <w:rFonts w:cs="Calibri"/>
        </w:rPr>
        <w:t>(Downey, 2015; Moritz et al., 2018, pp. 12859 &amp; Suppl.)</w:t>
      </w:r>
      <w:r w:rsidR="00AC6865">
        <w:rPr>
          <w:rFonts w:cs="Arial"/>
        </w:rPr>
        <w:fldChar w:fldCharType="end"/>
      </w:r>
      <w:r w:rsidRPr="006A1B72">
        <w:rPr>
          <w:rFonts w:cs="Arial"/>
        </w:rPr>
        <w:t>.</w:t>
      </w:r>
      <w:r w:rsidR="005B7867">
        <w:rPr>
          <w:rFonts w:cs="Arial"/>
        </w:rPr>
        <w:t xml:space="preserve"> Swidden features labor exchanges, </w:t>
      </w:r>
      <w:r w:rsidR="00AF5672">
        <w:rPr>
          <w:rFonts w:cs="Arial"/>
        </w:rPr>
        <w:t>which are an informal mechanism to regulate land use</w:t>
      </w:r>
      <w:r w:rsidR="00D27F66">
        <w:rPr>
          <w:rFonts w:cs="Arial"/>
        </w:rPr>
        <w:t xml:space="preserve"> </w:t>
      </w:r>
      <w:r w:rsidR="00D27F66">
        <w:rPr>
          <w:rFonts w:cs="Arial"/>
        </w:rPr>
        <w:fldChar w:fldCharType="begin"/>
      </w:r>
      <w:r w:rsidR="00D27F66">
        <w:rPr>
          <w:rFonts w:cs="Arial"/>
        </w:rPr>
        <w:instrText xml:space="preserve"> ADDIN ZOTERO_ITEM CSL_CITATION {"citationID":"18ZBQPs3","properties":{"formattedCitation":"(Downey, 2010)","plainCitation":"(Downey, 2010)","noteIndex":0},"citationItems":[{"id":28,"uris":["http://zotero.org/users/5731070/items/HRGBX32N"],"uri":["http://zotero.org/users/5731070/items/HRGBX32N"],"itemData":{"id":28,"type":"article-journal","container-title":"Ecology and Society","DOI":"10/gf2w2b","ISSN":"1708-3087","issue":"4","language":"en","source":"www.ecologyandsociety.org","title":"Can Properties of Labor-Exchange Networks Explain the Resilience of Swidden Agriculture?","URL":"https://www.ecologyandsociety.org/vol15/iss4/art15/","volume":"15","author":[{"family":"Downey","given":"Sean S."}],"accessed":{"date-parts":[["2019",5,19]]},"issued":{"date-parts":[["2010",11,11]]}}}],"schema":"https://github.com/citation-style-language/schema/raw/master/csl-citation.json"} </w:instrText>
      </w:r>
      <w:r w:rsidR="00D27F66">
        <w:rPr>
          <w:rFonts w:cs="Arial"/>
        </w:rPr>
        <w:fldChar w:fldCharType="separate"/>
      </w:r>
      <w:r w:rsidR="00D27F66" w:rsidRPr="00D27F66">
        <w:rPr>
          <w:rFonts w:cs="Calibri"/>
        </w:rPr>
        <w:t>(Downey, 2010)</w:t>
      </w:r>
      <w:r w:rsidR="00D27F66">
        <w:rPr>
          <w:rFonts w:cs="Arial"/>
        </w:rPr>
        <w:fldChar w:fldCharType="end"/>
      </w:r>
      <w:r w:rsidR="00AF5672">
        <w:rPr>
          <w:rFonts w:cs="Arial"/>
        </w:rPr>
        <w:t>.</w:t>
      </w:r>
    </w:p>
    <w:p w14:paraId="6A7FBE01" w14:textId="6B43AE53" w:rsidR="00C21DDA" w:rsidRDefault="00D27F66" w:rsidP="00686154">
      <w:pPr>
        <w:rPr>
          <w:rFonts w:cs="Arial"/>
        </w:rPr>
      </w:pPr>
      <w:r>
        <w:rPr>
          <w:rFonts w:cs="Arial"/>
        </w:rPr>
        <w:t>We propose that a</w:t>
      </w:r>
      <w:r w:rsidR="003105FF">
        <w:rPr>
          <w:rFonts w:cs="Arial"/>
        </w:rPr>
        <w:t xml:space="preserve">n integrative model of emergence of sustainable use of the forest commons must </w:t>
      </w:r>
      <w:r w:rsidR="00BC53BE">
        <w:rPr>
          <w:rFonts w:cs="Arial"/>
        </w:rPr>
        <w:t xml:space="preserve">differentiate subsistence land use from market-oriented land uses, and it must </w:t>
      </w:r>
      <w:r w:rsidR="00A3703B">
        <w:rPr>
          <w:rFonts w:cs="Arial"/>
        </w:rPr>
        <w:t>include</w:t>
      </w:r>
      <w:r w:rsidR="00BC53BE">
        <w:rPr>
          <w:rFonts w:cs="Arial"/>
        </w:rPr>
        <w:t xml:space="preserve"> any known mechanisms t</w:t>
      </w:r>
      <w:r w:rsidR="00A3703B">
        <w:rPr>
          <w:rFonts w:cs="Arial"/>
        </w:rPr>
        <w:t>hat help</w:t>
      </w:r>
      <w:r w:rsidR="00BC53BE">
        <w:rPr>
          <w:rFonts w:cs="Arial"/>
        </w:rPr>
        <w:t xml:space="preserve"> regulate land use.</w:t>
      </w:r>
      <w:r w:rsidR="0004554D">
        <w:rPr>
          <w:rFonts w:cs="Arial"/>
        </w:rPr>
        <w:t xml:space="preserve"> In this iteration of the model</w:t>
      </w:r>
      <w:r w:rsidR="00A3703B">
        <w:rPr>
          <w:rFonts w:cs="Arial"/>
        </w:rPr>
        <w:t xml:space="preserve"> </w:t>
      </w:r>
      <w:r>
        <w:rPr>
          <w:rFonts w:cs="Arial"/>
        </w:rPr>
        <w:t>we</w:t>
      </w:r>
      <w:r w:rsidR="00A3703B">
        <w:rPr>
          <w:rFonts w:cs="Arial"/>
        </w:rPr>
        <w:t xml:space="preserve"> </w:t>
      </w:r>
      <w:r w:rsidR="00F919F2">
        <w:rPr>
          <w:rFonts w:cs="Arial"/>
        </w:rPr>
        <w:t xml:space="preserve">make a first approach to the subsistence land use, by modeling a group of swidden farmers who exchange labor to </w:t>
      </w:r>
      <w:r w:rsidR="00435A33">
        <w:rPr>
          <w:rFonts w:cs="Arial"/>
        </w:rPr>
        <w:t>produce food.</w:t>
      </w:r>
      <w:r w:rsidR="0030102F">
        <w:rPr>
          <w:rFonts w:cs="Arial"/>
        </w:rPr>
        <w:t xml:space="preserve"> This model explores the limits of graduated sanctioning to facilitate the emergence of sustainable use and the </w:t>
      </w:r>
      <w:r w:rsidR="00A007AF">
        <w:rPr>
          <w:rFonts w:cs="Arial"/>
        </w:rPr>
        <w:t>scenarios</w:t>
      </w:r>
      <w:r w:rsidR="0030102F">
        <w:rPr>
          <w:rFonts w:cs="Arial"/>
        </w:rPr>
        <w:t xml:space="preserve"> of collapse.</w:t>
      </w:r>
      <w:r w:rsidR="00435A33">
        <w:rPr>
          <w:rFonts w:cs="Arial"/>
        </w:rPr>
        <w:t xml:space="preserve"> </w:t>
      </w:r>
      <w:r w:rsidR="00D94CF4">
        <w:rPr>
          <w:rFonts w:cs="Arial"/>
        </w:rPr>
        <w:t>In the following sections, w</w:t>
      </w:r>
      <w:r w:rsidR="00837CF0">
        <w:rPr>
          <w:rFonts w:cs="Arial"/>
        </w:rPr>
        <w:t>e follow</w:t>
      </w:r>
      <w:r w:rsidR="00435A33">
        <w:rPr>
          <w:rFonts w:cs="Arial"/>
        </w:rPr>
        <w:t xml:space="preserve"> the ODD</w:t>
      </w:r>
      <w:r w:rsidR="00837CF0">
        <w:rPr>
          <w:rFonts w:cs="Arial"/>
        </w:rPr>
        <w:t xml:space="preserve"> protocol to describe this approach with as much detail as possible</w:t>
      </w:r>
      <w:r w:rsidR="00935782">
        <w:rPr>
          <w:rFonts w:cs="Arial"/>
        </w:rPr>
        <w:t xml:space="preserve"> </w:t>
      </w:r>
      <w:r w:rsidR="00935782">
        <w:rPr>
          <w:rFonts w:cs="Arial"/>
        </w:rPr>
        <w:fldChar w:fldCharType="begin"/>
      </w:r>
      <w:r w:rsidR="00935782">
        <w:rPr>
          <w:rFonts w:cs="Arial"/>
        </w:rPr>
        <w:instrText xml:space="preserve"> ADDIN ZOTERO_ITEM CSL_CITATION {"citationID":"ULPodOM3","properties":{"formattedCitation":"(Grimm et al., 2006, 2010)","plainCitation":"(Grimm et al., 2006, 2010)","noteIndex":0},"citationItems":[{"id":389,"uris":["http://zotero.org/users/5731070/items/MEVTNRLS"],"uri":["http://zotero.org/users/5731070/items/MEVTNRLS"],"itemData":{"id":389,"type":"article-journal","abstract":"Simulation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modellers.","container-title":"Ecological Modelling","DOI":"10/fcx73n","ISSN":"0304-3800","issue":"1","journalAbbreviation":"Ecological Modelling","language":"en","page":"115-126","source":"ScienceDirect","title":"A standard protocol for describing individual-based and agent-based models","volume":"198","author":[{"family":"Grimm","given":"Volker"},{"family":"Berger","given":"Uta"},{"family":"Bastiansen","given":"Finn"},{"family":"Eliassen","given":"Sigrunn"},{"family":"Ginot","given":"Vincent"},{"family":"Giske","given":"Jarl"},{"family":"Goss-Custard","given":"John"},{"family":"Grand","given":"Tamara"},{"family":"Heinz","given":"Simone K."},{"family":"Huse","given":"Geir"},{"family":"Huth","given":"Andreas"},{"family":"Jepsen","given":"Jane U."},{"family":"Jørgensen","given":"Christian"},{"family":"Mooij","given":"Wolf M."},{"family":"Müller","given":"Birgit"},{"family":"Pe’er","given":"Guy"},{"family":"Piou","given":"Cyril"},{"family":"Railsback","given":"Steven F."},{"family":"Robbins","given":"Andrew M."},{"family":"Robbins","given":"Martha M."},{"family":"Rossmanith","given":"Eva"},{"family":"Rüger","given":"Nadja"},{"family":"Strand","given":"Espen"},{"family":"Souissi","given":"Sami"},{"family":"Stillman","given":"Richard A."},{"family":"Vabø","given":"Rune"},{"family":"Visser","given":"Ute"},{"family":"DeAngelis","given":"Donald L."}],"issued":{"date-parts":[["2006",9,15]]}}},{"id":82,"uris":["http://zotero.org/users/5731070/items/FBCEQREL"],"uri":["http://zotero.org/users/5731070/items/FBCEQREL"],"itemData":{"id":82,"type":"article-journal","container-title":"Ecological Modelling","DOI":"10/ccdwt2","ISSN":"03043800","issue":"23","journalAbbreviation":"Ecological Modelling","language":"en","page":"2760-2768","source":"DOI.org (Crossref)","title":"The ODD protocol: A review and first update","title-short":"The ODD protocol","volume":"221","author":[{"family":"Grimm","given":"Volker"},{"family":"Berger","given":"Uta"},{"family":"DeAngelis","given":"Donald L."},{"family":"Polhill","given":"J. Gary"},{"family":"Giske","given":"Jarl"},{"family":"Railsback","given":"Steven F."}],"issued":{"date-parts":[["2010",11]]}}}],"schema":"https://github.com/citation-style-language/schema/raw/master/csl-citation.json"} </w:instrText>
      </w:r>
      <w:r w:rsidR="00935782">
        <w:rPr>
          <w:rFonts w:cs="Arial"/>
        </w:rPr>
        <w:fldChar w:fldCharType="separate"/>
      </w:r>
      <w:r w:rsidR="00935782" w:rsidRPr="00935782">
        <w:rPr>
          <w:rFonts w:cs="Calibri"/>
        </w:rPr>
        <w:t>(Grimm et al., 2006, 2010)</w:t>
      </w:r>
      <w:r w:rsidR="00935782">
        <w:rPr>
          <w:rFonts w:cs="Arial"/>
        </w:rPr>
        <w:fldChar w:fldCharType="end"/>
      </w:r>
      <w:r w:rsidR="00837CF0">
        <w:rPr>
          <w:rFonts w:cs="Arial"/>
        </w:rPr>
        <w:t>.</w:t>
      </w:r>
    </w:p>
    <w:p w14:paraId="17C82F55" w14:textId="569DE7EB" w:rsidR="00837CF0" w:rsidRDefault="00893E26" w:rsidP="00893E26">
      <w:pPr>
        <w:pStyle w:val="Heading1"/>
      </w:pPr>
      <w:r>
        <w:t>Entities, state variables, and scales</w:t>
      </w:r>
    </w:p>
    <w:p w14:paraId="02D71684" w14:textId="369CAE3D" w:rsidR="00893E26" w:rsidRDefault="000402DB" w:rsidP="00893E26">
      <w:r>
        <w:fldChar w:fldCharType="begin"/>
      </w:r>
      <w:r>
        <w:instrText xml:space="preserve"> REF _Ref35597901 \h </w:instrText>
      </w:r>
      <w:r>
        <w:fldChar w:fldCharType="separate"/>
      </w:r>
      <w:r>
        <w:t xml:space="preserve">Table </w:t>
      </w:r>
      <w:r>
        <w:rPr>
          <w:noProof/>
        </w:rPr>
        <w:t>1</w:t>
      </w:r>
      <w:r>
        <w:fldChar w:fldCharType="end"/>
      </w:r>
      <w:r w:rsidR="007A56E4">
        <w:t xml:space="preserve"> summarizes the entities, the state variables, and the scales of the model. The</w:t>
      </w:r>
      <w:r w:rsidR="00893E26">
        <w:t xml:space="preserve"> model features two types of entities: landscape and users. </w:t>
      </w:r>
      <w:r w:rsidR="009C64DA">
        <w:t xml:space="preserve">The landscape is a square grid of </w:t>
      </w:r>
      <w:r w:rsidR="00F01FD0">
        <w:t>cells</w:t>
      </w:r>
    </w:p>
    <w:p w14:paraId="1370EB1B" w14:textId="6A0C2667" w:rsidR="00FF3A8D" w:rsidRDefault="00FF3A8D" w:rsidP="00FF3A8D">
      <w:pPr>
        <w:pStyle w:val="Caption"/>
      </w:pPr>
      <w:bookmarkStart w:id="1" w:name="_Ref35597901"/>
      <w:r>
        <w:t xml:space="preserve">Table </w:t>
      </w:r>
      <w:r>
        <w:fldChar w:fldCharType="begin"/>
      </w:r>
      <w:r>
        <w:instrText xml:space="preserve"> SEQ Table \* ARABIC </w:instrText>
      </w:r>
      <w:r>
        <w:fldChar w:fldCharType="separate"/>
      </w:r>
      <w:r>
        <w:rPr>
          <w:noProof/>
        </w:rPr>
        <w:t>1</w:t>
      </w:r>
      <w:r>
        <w:rPr>
          <w:noProof/>
        </w:rPr>
        <w:fldChar w:fldCharType="end"/>
      </w:r>
      <w:bookmarkEnd w:id="1"/>
    </w:p>
    <w:p w14:paraId="6DF8203B" w14:textId="04321B3F" w:rsidR="00FF3A8D" w:rsidRDefault="000402DB" w:rsidP="00FF3A8D">
      <w:pPr>
        <w:pStyle w:val="Tablefiguretitle"/>
      </w:pPr>
      <w:r>
        <w:t>Summary of entities, state variables, and scales of the graduated sanctions model</w:t>
      </w:r>
    </w:p>
    <w:tbl>
      <w:tblPr>
        <w:tblStyle w:val="TableGrid"/>
        <w:tblW w:w="0" w:type="auto"/>
        <w:tblLook w:val="04A0" w:firstRow="1" w:lastRow="0" w:firstColumn="1" w:lastColumn="0" w:noHBand="0" w:noVBand="1"/>
      </w:tblPr>
      <w:tblGrid>
        <w:gridCol w:w="1617"/>
        <w:gridCol w:w="1365"/>
        <w:gridCol w:w="1365"/>
      </w:tblGrid>
      <w:tr w:rsidR="00FF3A8D" w14:paraId="2E0A46E4" w14:textId="77777777" w:rsidTr="00050181">
        <w:tc>
          <w:tcPr>
            <w:tcW w:w="1617" w:type="dxa"/>
            <w:tcBorders>
              <w:top w:val="single" w:sz="4" w:space="0" w:color="auto"/>
              <w:left w:val="nil"/>
              <w:bottom w:val="single" w:sz="4" w:space="0" w:color="auto"/>
              <w:right w:val="nil"/>
            </w:tcBorders>
          </w:tcPr>
          <w:p w14:paraId="62F964D4" w14:textId="77777777" w:rsidR="00FF3A8D" w:rsidRDefault="00FF3A8D" w:rsidP="00050181">
            <w:pPr>
              <w:pStyle w:val="Tablebody"/>
            </w:pPr>
            <w:r>
              <w:t>Element</w:t>
            </w:r>
          </w:p>
        </w:tc>
        <w:tc>
          <w:tcPr>
            <w:tcW w:w="1365" w:type="dxa"/>
            <w:tcBorders>
              <w:top w:val="single" w:sz="4" w:space="0" w:color="auto"/>
              <w:left w:val="nil"/>
              <w:bottom w:val="single" w:sz="4" w:space="0" w:color="auto"/>
              <w:right w:val="nil"/>
            </w:tcBorders>
          </w:tcPr>
          <w:p w14:paraId="149DFA5A" w14:textId="5931F143" w:rsidR="00FF3A8D" w:rsidRDefault="009108D6" w:rsidP="00050181">
            <w:pPr>
              <w:pStyle w:val="Tablebody"/>
              <w:jc w:val="center"/>
            </w:pPr>
            <w:r>
              <w:t>Number of entities</w:t>
            </w:r>
          </w:p>
        </w:tc>
        <w:tc>
          <w:tcPr>
            <w:tcW w:w="1365" w:type="dxa"/>
            <w:tcBorders>
              <w:top w:val="single" w:sz="4" w:space="0" w:color="auto"/>
              <w:left w:val="nil"/>
              <w:bottom w:val="single" w:sz="4" w:space="0" w:color="auto"/>
              <w:right w:val="nil"/>
            </w:tcBorders>
          </w:tcPr>
          <w:p w14:paraId="0B9A004D" w14:textId="36C5477C" w:rsidR="00FF3A8D" w:rsidRDefault="009108D6" w:rsidP="00050181">
            <w:pPr>
              <w:pStyle w:val="Tablebody"/>
              <w:jc w:val="center"/>
            </w:pPr>
            <w:r>
              <w:t>Units</w:t>
            </w:r>
          </w:p>
        </w:tc>
      </w:tr>
      <w:tr w:rsidR="00FF3A8D" w14:paraId="4873BF14" w14:textId="77777777" w:rsidTr="00050181">
        <w:tc>
          <w:tcPr>
            <w:tcW w:w="1617" w:type="dxa"/>
            <w:tcBorders>
              <w:top w:val="single" w:sz="4" w:space="0" w:color="auto"/>
              <w:left w:val="nil"/>
              <w:bottom w:val="nil"/>
              <w:right w:val="nil"/>
            </w:tcBorders>
          </w:tcPr>
          <w:p w14:paraId="5B4E6627" w14:textId="22DC310F" w:rsidR="00FF3A8D" w:rsidRDefault="009108D6" w:rsidP="00050181">
            <w:pPr>
              <w:pStyle w:val="Tablebody"/>
            </w:pPr>
            <w:r>
              <w:t>Landscape</w:t>
            </w:r>
          </w:p>
        </w:tc>
        <w:tc>
          <w:tcPr>
            <w:tcW w:w="1365" w:type="dxa"/>
            <w:tcBorders>
              <w:top w:val="single" w:sz="4" w:space="0" w:color="auto"/>
              <w:left w:val="nil"/>
              <w:bottom w:val="nil"/>
              <w:right w:val="nil"/>
            </w:tcBorders>
          </w:tcPr>
          <w:p w14:paraId="69B1D163" w14:textId="77777777" w:rsidR="00FF3A8D" w:rsidRDefault="00FF3A8D" w:rsidP="00050181">
            <w:pPr>
              <w:pStyle w:val="Tablebody"/>
              <w:jc w:val="center"/>
            </w:pPr>
          </w:p>
        </w:tc>
        <w:tc>
          <w:tcPr>
            <w:tcW w:w="1365" w:type="dxa"/>
            <w:tcBorders>
              <w:top w:val="single" w:sz="4" w:space="0" w:color="auto"/>
              <w:left w:val="nil"/>
              <w:bottom w:val="nil"/>
              <w:right w:val="nil"/>
            </w:tcBorders>
          </w:tcPr>
          <w:p w14:paraId="65BAC065" w14:textId="77777777" w:rsidR="00FF3A8D" w:rsidRDefault="00FF3A8D" w:rsidP="00050181">
            <w:pPr>
              <w:pStyle w:val="Tablebody"/>
              <w:jc w:val="center"/>
            </w:pPr>
          </w:p>
        </w:tc>
      </w:tr>
      <w:tr w:rsidR="00FF3A8D" w14:paraId="4E088C46" w14:textId="77777777" w:rsidTr="00050181">
        <w:tc>
          <w:tcPr>
            <w:tcW w:w="1617" w:type="dxa"/>
            <w:tcBorders>
              <w:top w:val="nil"/>
              <w:left w:val="nil"/>
              <w:bottom w:val="nil"/>
              <w:right w:val="nil"/>
            </w:tcBorders>
          </w:tcPr>
          <w:p w14:paraId="1B763AAF" w14:textId="23D76752" w:rsidR="00FF3A8D" w:rsidRDefault="00FF3A8D" w:rsidP="00050181">
            <w:pPr>
              <w:pStyle w:val="Tablebody"/>
            </w:pPr>
            <w:r>
              <w:t xml:space="preserve">   </w:t>
            </w:r>
            <w:bookmarkStart w:id="2" w:name="_GoBack"/>
            <w:bookmarkEnd w:id="2"/>
            <w:r w:rsidR="009108D6">
              <w:t>Size</w:t>
            </w:r>
          </w:p>
        </w:tc>
        <w:tc>
          <w:tcPr>
            <w:tcW w:w="1365" w:type="dxa"/>
            <w:tcBorders>
              <w:top w:val="nil"/>
              <w:left w:val="nil"/>
              <w:bottom w:val="nil"/>
              <w:right w:val="nil"/>
            </w:tcBorders>
          </w:tcPr>
          <w:p w14:paraId="21B60BF1" w14:textId="3C7FE9F8" w:rsidR="00FF3A8D" w:rsidRDefault="003118E8" w:rsidP="00050181">
            <w:pPr>
              <w:pStyle w:val="Tablebody"/>
              <w:jc w:val="center"/>
            </w:pPr>
            <w:r>
              <w:t>100x100</w:t>
            </w:r>
          </w:p>
        </w:tc>
        <w:tc>
          <w:tcPr>
            <w:tcW w:w="1365" w:type="dxa"/>
            <w:tcBorders>
              <w:top w:val="nil"/>
              <w:left w:val="nil"/>
              <w:bottom w:val="nil"/>
              <w:right w:val="nil"/>
            </w:tcBorders>
          </w:tcPr>
          <w:p w14:paraId="5FF4D126" w14:textId="796486F4" w:rsidR="00FF3A8D" w:rsidRDefault="003118E8" w:rsidP="00050181">
            <w:pPr>
              <w:pStyle w:val="Tablebody"/>
              <w:jc w:val="center"/>
            </w:pPr>
            <w:r>
              <w:t>Cells</w:t>
            </w:r>
          </w:p>
        </w:tc>
      </w:tr>
      <w:tr w:rsidR="00FF3A8D" w14:paraId="65859B3B" w14:textId="77777777" w:rsidTr="00050181">
        <w:tc>
          <w:tcPr>
            <w:tcW w:w="1617" w:type="dxa"/>
            <w:tcBorders>
              <w:top w:val="nil"/>
              <w:left w:val="nil"/>
              <w:bottom w:val="nil"/>
              <w:right w:val="nil"/>
            </w:tcBorders>
          </w:tcPr>
          <w:p w14:paraId="38FA41BB" w14:textId="77777777" w:rsidR="00FF3A8D" w:rsidRDefault="00FF3A8D" w:rsidP="00050181">
            <w:pPr>
              <w:pStyle w:val="Tablebody"/>
            </w:pPr>
          </w:p>
        </w:tc>
        <w:tc>
          <w:tcPr>
            <w:tcW w:w="1365" w:type="dxa"/>
            <w:tcBorders>
              <w:top w:val="nil"/>
              <w:left w:val="nil"/>
              <w:bottom w:val="nil"/>
              <w:right w:val="nil"/>
            </w:tcBorders>
          </w:tcPr>
          <w:p w14:paraId="73B876C7" w14:textId="77777777" w:rsidR="00FF3A8D" w:rsidRDefault="00FF3A8D" w:rsidP="00050181">
            <w:pPr>
              <w:pStyle w:val="Tablebody"/>
              <w:jc w:val="center"/>
            </w:pPr>
          </w:p>
        </w:tc>
        <w:tc>
          <w:tcPr>
            <w:tcW w:w="1365" w:type="dxa"/>
            <w:tcBorders>
              <w:top w:val="nil"/>
              <w:left w:val="nil"/>
              <w:bottom w:val="nil"/>
              <w:right w:val="nil"/>
            </w:tcBorders>
          </w:tcPr>
          <w:p w14:paraId="06B193F4" w14:textId="77777777" w:rsidR="00FF3A8D" w:rsidRDefault="00FF3A8D" w:rsidP="00050181">
            <w:pPr>
              <w:pStyle w:val="Tablebody"/>
              <w:jc w:val="center"/>
            </w:pPr>
          </w:p>
        </w:tc>
      </w:tr>
      <w:tr w:rsidR="00FF3A8D" w14:paraId="0FDBB9F7" w14:textId="77777777" w:rsidTr="00050181">
        <w:tc>
          <w:tcPr>
            <w:tcW w:w="1617" w:type="dxa"/>
            <w:tcBorders>
              <w:top w:val="nil"/>
              <w:left w:val="nil"/>
              <w:bottom w:val="nil"/>
              <w:right w:val="nil"/>
            </w:tcBorders>
          </w:tcPr>
          <w:p w14:paraId="51A10AFD" w14:textId="77777777" w:rsidR="00FF3A8D" w:rsidRDefault="00FF3A8D" w:rsidP="00050181">
            <w:pPr>
              <w:pStyle w:val="Tablebody"/>
            </w:pPr>
          </w:p>
        </w:tc>
        <w:tc>
          <w:tcPr>
            <w:tcW w:w="1365" w:type="dxa"/>
            <w:tcBorders>
              <w:top w:val="nil"/>
              <w:left w:val="nil"/>
              <w:bottom w:val="nil"/>
              <w:right w:val="nil"/>
            </w:tcBorders>
          </w:tcPr>
          <w:p w14:paraId="2A2F5C9C" w14:textId="77777777" w:rsidR="00FF3A8D" w:rsidRDefault="00FF3A8D" w:rsidP="00050181">
            <w:pPr>
              <w:pStyle w:val="Tablebody"/>
              <w:jc w:val="center"/>
            </w:pPr>
          </w:p>
        </w:tc>
        <w:tc>
          <w:tcPr>
            <w:tcW w:w="1365" w:type="dxa"/>
            <w:tcBorders>
              <w:top w:val="nil"/>
              <w:left w:val="nil"/>
              <w:bottom w:val="nil"/>
              <w:right w:val="nil"/>
            </w:tcBorders>
          </w:tcPr>
          <w:p w14:paraId="76009832" w14:textId="77777777" w:rsidR="00FF3A8D" w:rsidRDefault="00FF3A8D" w:rsidP="00050181">
            <w:pPr>
              <w:pStyle w:val="Tablebody"/>
              <w:jc w:val="center"/>
            </w:pPr>
          </w:p>
        </w:tc>
      </w:tr>
      <w:tr w:rsidR="00FF3A8D" w14:paraId="054E751A" w14:textId="77777777" w:rsidTr="00050181">
        <w:tc>
          <w:tcPr>
            <w:tcW w:w="1617" w:type="dxa"/>
            <w:tcBorders>
              <w:top w:val="nil"/>
              <w:left w:val="nil"/>
              <w:bottom w:val="nil"/>
              <w:right w:val="nil"/>
            </w:tcBorders>
          </w:tcPr>
          <w:p w14:paraId="7B79FFAF" w14:textId="77777777" w:rsidR="00FF3A8D" w:rsidRDefault="00FF3A8D" w:rsidP="00050181">
            <w:pPr>
              <w:pStyle w:val="Tablebody"/>
            </w:pPr>
          </w:p>
        </w:tc>
        <w:tc>
          <w:tcPr>
            <w:tcW w:w="1365" w:type="dxa"/>
            <w:tcBorders>
              <w:top w:val="nil"/>
              <w:left w:val="nil"/>
              <w:bottom w:val="nil"/>
              <w:right w:val="nil"/>
            </w:tcBorders>
          </w:tcPr>
          <w:p w14:paraId="1252DD4E" w14:textId="77777777" w:rsidR="00FF3A8D" w:rsidRDefault="00FF3A8D" w:rsidP="00050181">
            <w:pPr>
              <w:pStyle w:val="Tablebody"/>
              <w:jc w:val="center"/>
            </w:pPr>
          </w:p>
        </w:tc>
        <w:tc>
          <w:tcPr>
            <w:tcW w:w="1365" w:type="dxa"/>
            <w:tcBorders>
              <w:top w:val="nil"/>
              <w:left w:val="nil"/>
              <w:bottom w:val="nil"/>
              <w:right w:val="nil"/>
            </w:tcBorders>
          </w:tcPr>
          <w:p w14:paraId="1000AF36" w14:textId="77777777" w:rsidR="00FF3A8D" w:rsidRDefault="00FF3A8D" w:rsidP="00050181">
            <w:pPr>
              <w:pStyle w:val="Tablebody"/>
              <w:jc w:val="center"/>
            </w:pPr>
          </w:p>
        </w:tc>
      </w:tr>
      <w:tr w:rsidR="00FF3A8D" w14:paraId="7F0D0E92" w14:textId="77777777" w:rsidTr="00050181">
        <w:tc>
          <w:tcPr>
            <w:tcW w:w="1617" w:type="dxa"/>
            <w:tcBorders>
              <w:top w:val="nil"/>
              <w:left w:val="nil"/>
              <w:bottom w:val="nil"/>
              <w:right w:val="nil"/>
            </w:tcBorders>
          </w:tcPr>
          <w:p w14:paraId="2DEF08B0" w14:textId="77777777" w:rsidR="00FF3A8D" w:rsidRDefault="00FF3A8D" w:rsidP="00050181">
            <w:pPr>
              <w:pStyle w:val="Tablebody"/>
            </w:pPr>
          </w:p>
        </w:tc>
        <w:tc>
          <w:tcPr>
            <w:tcW w:w="1365" w:type="dxa"/>
            <w:tcBorders>
              <w:top w:val="nil"/>
              <w:left w:val="nil"/>
              <w:bottom w:val="nil"/>
              <w:right w:val="nil"/>
            </w:tcBorders>
          </w:tcPr>
          <w:p w14:paraId="462D2227" w14:textId="77777777" w:rsidR="00FF3A8D" w:rsidRDefault="00FF3A8D" w:rsidP="00050181">
            <w:pPr>
              <w:pStyle w:val="Tablebody"/>
              <w:jc w:val="center"/>
            </w:pPr>
          </w:p>
        </w:tc>
        <w:tc>
          <w:tcPr>
            <w:tcW w:w="1365" w:type="dxa"/>
            <w:tcBorders>
              <w:top w:val="nil"/>
              <w:left w:val="nil"/>
              <w:bottom w:val="nil"/>
              <w:right w:val="nil"/>
            </w:tcBorders>
          </w:tcPr>
          <w:p w14:paraId="4C840051" w14:textId="77777777" w:rsidR="00FF3A8D" w:rsidRDefault="00FF3A8D" w:rsidP="00050181">
            <w:pPr>
              <w:pStyle w:val="Tablebody"/>
              <w:jc w:val="center"/>
            </w:pPr>
          </w:p>
        </w:tc>
      </w:tr>
      <w:tr w:rsidR="00FF3A8D" w14:paraId="27BE2F58" w14:textId="77777777" w:rsidTr="00050181">
        <w:tc>
          <w:tcPr>
            <w:tcW w:w="1617" w:type="dxa"/>
            <w:tcBorders>
              <w:top w:val="nil"/>
              <w:left w:val="nil"/>
              <w:right w:val="nil"/>
            </w:tcBorders>
          </w:tcPr>
          <w:p w14:paraId="32F4ED80" w14:textId="77777777" w:rsidR="00FF3A8D" w:rsidRDefault="00FF3A8D" w:rsidP="00050181">
            <w:pPr>
              <w:pStyle w:val="Tablebody"/>
            </w:pPr>
          </w:p>
        </w:tc>
        <w:tc>
          <w:tcPr>
            <w:tcW w:w="1365" w:type="dxa"/>
            <w:tcBorders>
              <w:top w:val="nil"/>
              <w:left w:val="nil"/>
              <w:right w:val="nil"/>
            </w:tcBorders>
          </w:tcPr>
          <w:p w14:paraId="79482814" w14:textId="77777777" w:rsidR="00FF3A8D" w:rsidRDefault="00FF3A8D" w:rsidP="00050181">
            <w:pPr>
              <w:pStyle w:val="Tablebody"/>
              <w:jc w:val="center"/>
            </w:pPr>
          </w:p>
        </w:tc>
        <w:tc>
          <w:tcPr>
            <w:tcW w:w="1365" w:type="dxa"/>
            <w:tcBorders>
              <w:top w:val="nil"/>
              <w:left w:val="nil"/>
              <w:right w:val="nil"/>
            </w:tcBorders>
          </w:tcPr>
          <w:p w14:paraId="60368CA3" w14:textId="77777777" w:rsidR="00FF3A8D" w:rsidRDefault="00FF3A8D" w:rsidP="00050181">
            <w:pPr>
              <w:pStyle w:val="Tablebody"/>
              <w:jc w:val="center"/>
            </w:pPr>
          </w:p>
        </w:tc>
      </w:tr>
      <w:tr w:rsidR="00FF3A8D" w14:paraId="0A7387A5" w14:textId="77777777" w:rsidTr="00050181">
        <w:tc>
          <w:tcPr>
            <w:tcW w:w="1617" w:type="dxa"/>
            <w:tcBorders>
              <w:left w:val="nil"/>
              <w:right w:val="nil"/>
            </w:tcBorders>
          </w:tcPr>
          <w:p w14:paraId="462B0C8C" w14:textId="77777777" w:rsidR="00FF3A8D" w:rsidRDefault="00FF3A8D" w:rsidP="00050181">
            <w:pPr>
              <w:pStyle w:val="Tablebody"/>
            </w:pPr>
          </w:p>
        </w:tc>
        <w:tc>
          <w:tcPr>
            <w:tcW w:w="1365" w:type="dxa"/>
            <w:tcBorders>
              <w:left w:val="nil"/>
              <w:right w:val="nil"/>
            </w:tcBorders>
          </w:tcPr>
          <w:p w14:paraId="7C8D3EEE" w14:textId="77777777" w:rsidR="00FF3A8D" w:rsidRDefault="00FF3A8D" w:rsidP="00050181">
            <w:pPr>
              <w:pStyle w:val="Tablebody"/>
              <w:jc w:val="center"/>
            </w:pPr>
          </w:p>
        </w:tc>
        <w:tc>
          <w:tcPr>
            <w:tcW w:w="1365" w:type="dxa"/>
            <w:tcBorders>
              <w:left w:val="nil"/>
              <w:right w:val="nil"/>
            </w:tcBorders>
          </w:tcPr>
          <w:p w14:paraId="51B43C20" w14:textId="77777777" w:rsidR="00FF3A8D" w:rsidRDefault="00FF3A8D" w:rsidP="00050181">
            <w:pPr>
              <w:pStyle w:val="Tablebody"/>
              <w:jc w:val="center"/>
            </w:pPr>
          </w:p>
        </w:tc>
      </w:tr>
    </w:tbl>
    <w:p w14:paraId="0D278DA0" w14:textId="77777777" w:rsidR="00FF3A8D" w:rsidRPr="00AF0B0A" w:rsidRDefault="00FF3A8D" w:rsidP="00FF3A8D"/>
    <w:p w14:paraId="4967FF38" w14:textId="77777777" w:rsidR="008E3FC1" w:rsidRPr="00893E26" w:rsidRDefault="008E3FC1" w:rsidP="00893E26"/>
    <w:sectPr w:rsidR="008E3FC1" w:rsidRPr="00893E26" w:rsidSect="002A07B3">
      <w:headerReference w:type="default" r:id="rId9"/>
      <w:headerReference w:type="first" r:id="rId10"/>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359F2" w14:textId="77777777" w:rsidR="008A5DCC" w:rsidRDefault="008A5DCC">
      <w:pPr>
        <w:spacing w:line="240" w:lineRule="auto"/>
      </w:pPr>
      <w:r>
        <w:separator/>
      </w:r>
    </w:p>
    <w:p w14:paraId="0B1E7980" w14:textId="77777777" w:rsidR="008A5DCC" w:rsidRDefault="008A5DCC"/>
  </w:endnote>
  <w:endnote w:type="continuationSeparator" w:id="0">
    <w:p w14:paraId="33355D92" w14:textId="77777777" w:rsidR="008A5DCC" w:rsidRDefault="008A5DCC">
      <w:pPr>
        <w:spacing w:line="240" w:lineRule="auto"/>
      </w:pPr>
      <w:r>
        <w:continuationSeparator/>
      </w:r>
    </w:p>
    <w:p w14:paraId="2153739F" w14:textId="77777777" w:rsidR="008A5DCC" w:rsidRDefault="008A5D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Noto Sans Disp Med">
    <w:charset w:val="00"/>
    <w:family w:val="swiss"/>
    <w:pitch w:val="variable"/>
    <w:sig w:usb0="E00002FF" w:usb1="4000001F" w:usb2="08000029"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617BE" w14:textId="77777777" w:rsidR="008A5DCC" w:rsidRDefault="008A5DCC">
      <w:pPr>
        <w:spacing w:line="240" w:lineRule="auto"/>
      </w:pPr>
      <w:r>
        <w:separator/>
      </w:r>
    </w:p>
    <w:p w14:paraId="5119A193" w14:textId="77777777" w:rsidR="008A5DCC" w:rsidRDefault="008A5DCC"/>
  </w:footnote>
  <w:footnote w:type="continuationSeparator" w:id="0">
    <w:p w14:paraId="5C216253" w14:textId="77777777" w:rsidR="008A5DCC" w:rsidRDefault="008A5DCC">
      <w:pPr>
        <w:spacing w:line="240" w:lineRule="auto"/>
      </w:pPr>
      <w:r>
        <w:continuationSeparator/>
      </w:r>
    </w:p>
    <w:p w14:paraId="07C5E7AB" w14:textId="77777777" w:rsidR="008A5DCC" w:rsidRDefault="008A5D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B3C2D" w14:textId="33CC59F9" w:rsidR="00E81978" w:rsidRDefault="00560452">
    <w:pPr>
      <w:pStyle w:val="Header"/>
    </w:pPr>
    <w:r>
      <w:t>GRADUATED SANCTIONS MODEL IN SWIDDEN AGRICULTURE</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8B0B3A">
      <w:rPr>
        <w:rStyle w:val="Strong"/>
        <w:noProof/>
      </w:rPr>
      <w:t>3</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B3009" w14:textId="1F566427" w:rsidR="00E81978" w:rsidRDefault="00DA19FA">
    <w:pPr>
      <w:pStyle w:val="Header"/>
      <w:rPr>
        <w:rStyle w:val="Strong"/>
      </w:rPr>
    </w:pPr>
    <w:r w:rsidRPr="00DA19FA">
      <w:t>[SHORTENED TITLE UP TO 50 CHARACTERS]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8B0B3A">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C68F5A"/>
    <w:lvl w:ilvl="0">
      <w:start w:val="1"/>
      <w:numFmt w:val="bullet"/>
      <w:pStyle w:val="ListNumber"/>
      <w:lvlText w:val=""/>
      <w:lvlJc w:val="left"/>
      <w:pPr>
        <w:ind w:left="360" w:hanging="360"/>
      </w:pPr>
      <w:rPr>
        <w:rFonts w:ascii="Symbol" w:hAnsi="Symbol"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122943"/>
    <w:multiLevelType w:val="multilevel"/>
    <w:tmpl w:val="62ACFB70"/>
    <w:lvl w:ilvl="0">
      <w:start w:val="1"/>
      <w:numFmt w:val="decimal"/>
      <w:lvlText w:val="%1."/>
      <w:lvlJc w:val="left"/>
      <w:pPr>
        <w:ind w:left="108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160" w:hanging="360"/>
      </w:pPr>
      <w:rPr>
        <w:rFonts w:hint="default"/>
      </w:rPr>
    </w:lvl>
    <w:lvl w:ilvl="4">
      <w:start w:val="1"/>
      <w:numFmt w:val="decimal"/>
      <w:lvlText w:val="%1.%2.%3.%4.%5."/>
      <w:lvlJc w:val="left"/>
      <w:pPr>
        <w:ind w:left="2520" w:hanging="360"/>
      </w:pPr>
      <w:rPr>
        <w:rFonts w:hint="default"/>
      </w:rPr>
    </w:lvl>
    <w:lvl w:ilvl="5">
      <w:start w:val="1"/>
      <w:numFmt w:val="decimal"/>
      <w:lvlText w:val="%1.%2.%3.%4.%5.%6."/>
      <w:lvlJc w:val="left"/>
      <w:pPr>
        <w:ind w:left="2880" w:hanging="360"/>
      </w:pPr>
      <w:rPr>
        <w:rFonts w:hint="default"/>
      </w:rPr>
    </w:lvl>
    <w:lvl w:ilvl="6">
      <w:start w:val="1"/>
      <w:numFmt w:val="decimal"/>
      <w:lvlText w:val="%1.%2.%3.%4.%5.%6.%7."/>
      <w:lvlJc w:val="left"/>
      <w:pPr>
        <w:ind w:left="3240" w:hanging="360"/>
      </w:pPr>
      <w:rPr>
        <w:rFonts w:hint="default"/>
      </w:rPr>
    </w:lvl>
    <w:lvl w:ilvl="7">
      <w:start w:val="1"/>
      <w:numFmt w:val="decimal"/>
      <w:lvlText w:val="%1.%2.%3.%4.%5.%6.%7.%8."/>
      <w:lvlJc w:val="left"/>
      <w:pPr>
        <w:ind w:left="3600" w:hanging="360"/>
      </w:pPr>
      <w:rPr>
        <w:rFonts w:hint="default"/>
      </w:rPr>
    </w:lvl>
    <w:lvl w:ilvl="8">
      <w:start w:val="1"/>
      <w:numFmt w:val="decimal"/>
      <w:lvlText w:val="%1.%2.%3.%4.%5.%6.%7.%8.%9."/>
      <w:lvlJc w:val="left"/>
      <w:pPr>
        <w:ind w:left="3960" w:hanging="360"/>
      </w:pPr>
      <w:rPr>
        <w:rFonts w:hint="default"/>
      </w:rPr>
    </w:lvl>
  </w:abstractNum>
  <w:abstractNum w:abstractNumId="11" w15:restartNumberingAfterBreak="0">
    <w:nsid w:val="04210D75"/>
    <w:multiLevelType w:val="hybridMultilevel"/>
    <w:tmpl w:val="F50A26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67567A2"/>
    <w:multiLevelType w:val="hybridMultilevel"/>
    <w:tmpl w:val="FFC844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D67B74"/>
    <w:multiLevelType w:val="hybridMultilevel"/>
    <w:tmpl w:val="ACA24B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692FD1"/>
    <w:multiLevelType w:val="hybridMultilevel"/>
    <w:tmpl w:val="409E77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544766B"/>
    <w:multiLevelType w:val="hybridMultilevel"/>
    <w:tmpl w:val="5D68C3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7BB2508"/>
    <w:multiLevelType w:val="hybridMultilevel"/>
    <w:tmpl w:val="BD4816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01D2FDB"/>
    <w:multiLevelType w:val="hybridMultilevel"/>
    <w:tmpl w:val="2AB6F6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0F04362"/>
    <w:multiLevelType w:val="hybridMultilevel"/>
    <w:tmpl w:val="7DB4D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0FA2C92"/>
    <w:multiLevelType w:val="hybridMultilevel"/>
    <w:tmpl w:val="30EC4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FA7E28"/>
    <w:multiLevelType w:val="hybridMultilevel"/>
    <w:tmpl w:val="3C028D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CD1988"/>
    <w:multiLevelType w:val="hybridMultilevel"/>
    <w:tmpl w:val="3AF64742"/>
    <w:lvl w:ilvl="0" w:tplc="0A9A22D2">
      <w:start w:val="1"/>
      <w:numFmt w:val="bullet"/>
      <w:lvlText w:val=""/>
      <w:lvlJc w:val="left"/>
      <w:pPr>
        <w:ind w:left="720" w:hanging="360"/>
      </w:pPr>
      <w:rPr>
        <w:rFonts w:ascii="Symbol" w:hAnsi="Symbol" w:hint="default"/>
      </w:rPr>
    </w:lvl>
    <w:lvl w:ilvl="1" w:tplc="29029216">
      <w:start w:val="1"/>
      <w:numFmt w:val="bullet"/>
      <w:lvlText w:val="o"/>
      <w:lvlJc w:val="left"/>
      <w:pPr>
        <w:ind w:left="1440" w:hanging="360"/>
      </w:pPr>
      <w:rPr>
        <w:rFonts w:ascii="Courier New" w:hAnsi="Courier New" w:hint="default"/>
      </w:rPr>
    </w:lvl>
    <w:lvl w:ilvl="2" w:tplc="F616621C">
      <w:start w:val="1"/>
      <w:numFmt w:val="bullet"/>
      <w:lvlText w:val=""/>
      <w:lvlJc w:val="left"/>
      <w:pPr>
        <w:ind w:left="2160" w:hanging="360"/>
      </w:pPr>
      <w:rPr>
        <w:rFonts w:ascii="Wingdings" w:hAnsi="Wingdings" w:hint="default"/>
      </w:rPr>
    </w:lvl>
    <w:lvl w:ilvl="3" w:tplc="310AB64E">
      <w:start w:val="1"/>
      <w:numFmt w:val="bullet"/>
      <w:lvlText w:val=""/>
      <w:lvlJc w:val="left"/>
      <w:pPr>
        <w:ind w:left="2880" w:hanging="360"/>
      </w:pPr>
      <w:rPr>
        <w:rFonts w:ascii="Symbol" w:hAnsi="Symbol" w:hint="default"/>
      </w:rPr>
    </w:lvl>
    <w:lvl w:ilvl="4" w:tplc="829C2580">
      <w:start w:val="1"/>
      <w:numFmt w:val="bullet"/>
      <w:lvlText w:val="o"/>
      <w:lvlJc w:val="left"/>
      <w:pPr>
        <w:ind w:left="3600" w:hanging="360"/>
      </w:pPr>
      <w:rPr>
        <w:rFonts w:ascii="Courier New" w:hAnsi="Courier New" w:hint="default"/>
      </w:rPr>
    </w:lvl>
    <w:lvl w:ilvl="5" w:tplc="06205452">
      <w:start w:val="1"/>
      <w:numFmt w:val="bullet"/>
      <w:lvlText w:val=""/>
      <w:lvlJc w:val="left"/>
      <w:pPr>
        <w:ind w:left="4320" w:hanging="360"/>
      </w:pPr>
      <w:rPr>
        <w:rFonts w:ascii="Wingdings" w:hAnsi="Wingdings" w:hint="default"/>
      </w:rPr>
    </w:lvl>
    <w:lvl w:ilvl="6" w:tplc="5AC83E70">
      <w:start w:val="1"/>
      <w:numFmt w:val="bullet"/>
      <w:lvlText w:val=""/>
      <w:lvlJc w:val="left"/>
      <w:pPr>
        <w:ind w:left="5040" w:hanging="360"/>
      </w:pPr>
      <w:rPr>
        <w:rFonts w:ascii="Symbol" w:hAnsi="Symbol" w:hint="default"/>
      </w:rPr>
    </w:lvl>
    <w:lvl w:ilvl="7" w:tplc="9DC05C6A">
      <w:start w:val="1"/>
      <w:numFmt w:val="bullet"/>
      <w:lvlText w:val="o"/>
      <w:lvlJc w:val="left"/>
      <w:pPr>
        <w:ind w:left="5760" w:hanging="360"/>
      </w:pPr>
      <w:rPr>
        <w:rFonts w:ascii="Courier New" w:hAnsi="Courier New" w:hint="default"/>
      </w:rPr>
    </w:lvl>
    <w:lvl w:ilvl="8" w:tplc="E1A8AB4E">
      <w:start w:val="1"/>
      <w:numFmt w:val="bullet"/>
      <w:lvlText w:val=""/>
      <w:lvlJc w:val="left"/>
      <w:pPr>
        <w:ind w:left="6480" w:hanging="360"/>
      </w:pPr>
      <w:rPr>
        <w:rFonts w:ascii="Wingdings" w:hAnsi="Wingdings" w:hint="default"/>
      </w:rPr>
    </w:lvl>
  </w:abstractNum>
  <w:abstractNum w:abstractNumId="22" w15:restartNumberingAfterBreak="0">
    <w:nsid w:val="47095D23"/>
    <w:multiLevelType w:val="hybridMultilevel"/>
    <w:tmpl w:val="B40A64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90F122D"/>
    <w:multiLevelType w:val="hybridMultilevel"/>
    <w:tmpl w:val="DD4667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C4D58E0"/>
    <w:multiLevelType w:val="hybridMultilevel"/>
    <w:tmpl w:val="A6A49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A123B3B"/>
    <w:multiLevelType w:val="hybridMultilevel"/>
    <w:tmpl w:val="18C838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522080E"/>
    <w:multiLevelType w:val="hybridMultilevel"/>
    <w:tmpl w:val="CEFE7302"/>
    <w:lvl w:ilvl="0" w:tplc="89C23976">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624A33"/>
    <w:multiLevelType w:val="hybridMultilevel"/>
    <w:tmpl w:val="AFD038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122007A"/>
    <w:multiLevelType w:val="hybridMultilevel"/>
    <w:tmpl w:val="D99A7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112EF1"/>
    <w:multiLevelType w:val="hybridMultilevel"/>
    <w:tmpl w:val="C3DE9A36"/>
    <w:lvl w:ilvl="0" w:tplc="529A6D36">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3968258">
      <w:start w:val="1"/>
      <w:numFmt w:val="bullet"/>
      <w:lvlText w:val=""/>
      <w:lvlJc w:val="left"/>
      <w:pPr>
        <w:ind w:left="1800" w:hanging="360"/>
      </w:pPr>
      <w:rPr>
        <w:rFonts w:ascii="Wingdings" w:hAnsi="Wingdings" w:hint="default"/>
      </w:rPr>
    </w:lvl>
    <w:lvl w:ilvl="3" w:tplc="BD54B9A0">
      <w:start w:val="1"/>
      <w:numFmt w:val="bullet"/>
      <w:lvlText w:val=""/>
      <w:lvlJc w:val="left"/>
      <w:pPr>
        <w:ind w:left="216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1A72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lvlOverride w:ilvl="0">
      <w:startOverride w:val="1"/>
    </w:lvlOverride>
  </w:num>
  <w:num w:numId="13">
    <w:abstractNumId w:val="32"/>
  </w:num>
  <w:num w:numId="14">
    <w:abstractNumId w:val="26"/>
  </w:num>
  <w:num w:numId="15">
    <w:abstractNumId w:val="24"/>
  </w:num>
  <w:num w:numId="16">
    <w:abstractNumId w:val="30"/>
  </w:num>
  <w:num w:numId="17">
    <w:abstractNumId w:val="14"/>
  </w:num>
  <w:num w:numId="18">
    <w:abstractNumId w:val="27"/>
  </w:num>
  <w:num w:numId="19">
    <w:abstractNumId w:val="25"/>
  </w:num>
  <w:num w:numId="20">
    <w:abstractNumId w:val="18"/>
  </w:num>
  <w:num w:numId="21">
    <w:abstractNumId w:val="17"/>
  </w:num>
  <w:num w:numId="22">
    <w:abstractNumId w:val="29"/>
  </w:num>
  <w:num w:numId="23">
    <w:abstractNumId w:val="15"/>
  </w:num>
  <w:num w:numId="24">
    <w:abstractNumId w:val="22"/>
  </w:num>
  <w:num w:numId="25">
    <w:abstractNumId w:val="20"/>
  </w:num>
  <w:num w:numId="26">
    <w:abstractNumId w:val="13"/>
  </w:num>
  <w:num w:numId="27">
    <w:abstractNumId w:val="19"/>
  </w:num>
  <w:num w:numId="28">
    <w:abstractNumId w:val="12"/>
  </w:num>
  <w:num w:numId="29">
    <w:abstractNumId w:val="16"/>
  </w:num>
  <w:num w:numId="30">
    <w:abstractNumId w:val="28"/>
  </w:num>
  <w:num w:numId="31">
    <w:abstractNumId w:val="11"/>
  </w:num>
  <w:num w:numId="32">
    <w:abstractNumId w:val="31"/>
  </w:num>
  <w:num w:numId="33">
    <w:abstractNumId w:val="23"/>
  </w:num>
  <w:num w:numId="34">
    <w:abstractNumId w:val="34"/>
  </w:num>
  <w:num w:numId="35">
    <w:abstractNumId w:val="10"/>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1B5"/>
    <w:rsid w:val="00006AB8"/>
    <w:rsid w:val="00011FCA"/>
    <w:rsid w:val="00015E20"/>
    <w:rsid w:val="00023582"/>
    <w:rsid w:val="00026D27"/>
    <w:rsid w:val="000402DB"/>
    <w:rsid w:val="00042C22"/>
    <w:rsid w:val="0004554D"/>
    <w:rsid w:val="00055C50"/>
    <w:rsid w:val="00070505"/>
    <w:rsid w:val="00072680"/>
    <w:rsid w:val="00083D29"/>
    <w:rsid w:val="0009223C"/>
    <w:rsid w:val="000B263C"/>
    <w:rsid w:val="000B286C"/>
    <w:rsid w:val="000D294F"/>
    <w:rsid w:val="000D3F41"/>
    <w:rsid w:val="000E1EB3"/>
    <w:rsid w:val="000E5CF2"/>
    <w:rsid w:val="00100D6B"/>
    <w:rsid w:val="001038C0"/>
    <w:rsid w:val="00117344"/>
    <w:rsid w:val="001459CD"/>
    <w:rsid w:val="00151C22"/>
    <w:rsid w:val="00157EA6"/>
    <w:rsid w:val="001674B6"/>
    <w:rsid w:val="00171B5D"/>
    <w:rsid w:val="001914B4"/>
    <w:rsid w:val="001B30DF"/>
    <w:rsid w:val="001B459B"/>
    <w:rsid w:val="001C3A24"/>
    <w:rsid w:val="001E220C"/>
    <w:rsid w:val="00206122"/>
    <w:rsid w:val="00211C63"/>
    <w:rsid w:val="00225DD0"/>
    <w:rsid w:val="00235879"/>
    <w:rsid w:val="00241ED5"/>
    <w:rsid w:val="00262A27"/>
    <w:rsid w:val="002724E9"/>
    <w:rsid w:val="00274F0D"/>
    <w:rsid w:val="00296619"/>
    <w:rsid w:val="002A07B3"/>
    <w:rsid w:val="002B6D73"/>
    <w:rsid w:val="002C4D36"/>
    <w:rsid w:val="002E1CC3"/>
    <w:rsid w:val="002E4562"/>
    <w:rsid w:val="002E6544"/>
    <w:rsid w:val="0030102F"/>
    <w:rsid w:val="003105FF"/>
    <w:rsid w:val="003118E8"/>
    <w:rsid w:val="00315F23"/>
    <w:rsid w:val="003210B3"/>
    <w:rsid w:val="003224D0"/>
    <w:rsid w:val="00325F43"/>
    <w:rsid w:val="003361A6"/>
    <w:rsid w:val="00336A18"/>
    <w:rsid w:val="00355DCA"/>
    <w:rsid w:val="00367E8E"/>
    <w:rsid w:val="00380E97"/>
    <w:rsid w:val="003846B3"/>
    <w:rsid w:val="0038715B"/>
    <w:rsid w:val="00390794"/>
    <w:rsid w:val="003907BD"/>
    <w:rsid w:val="003D779E"/>
    <w:rsid w:val="003E355C"/>
    <w:rsid w:val="003E3E25"/>
    <w:rsid w:val="003E62E7"/>
    <w:rsid w:val="0040245F"/>
    <w:rsid w:val="0040571E"/>
    <w:rsid w:val="00407682"/>
    <w:rsid w:val="004210E2"/>
    <w:rsid w:val="0042126E"/>
    <w:rsid w:val="00425CE5"/>
    <w:rsid w:val="00435A33"/>
    <w:rsid w:val="0044661F"/>
    <w:rsid w:val="00453241"/>
    <w:rsid w:val="004547D1"/>
    <w:rsid w:val="0046215A"/>
    <w:rsid w:val="004717C5"/>
    <w:rsid w:val="004717D3"/>
    <w:rsid w:val="0047780E"/>
    <w:rsid w:val="00480B5A"/>
    <w:rsid w:val="00483A6C"/>
    <w:rsid w:val="00491741"/>
    <w:rsid w:val="004953DB"/>
    <w:rsid w:val="0049735C"/>
    <w:rsid w:val="004A2B19"/>
    <w:rsid w:val="004A4FC5"/>
    <w:rsid w:val="004A5134"/>
    <w:rsid w:val="004B40CB"/>
    <w:rsid w:val="004C1302"/>
    <w:rsid w:val="004F3451"/>
    <w:rsid w:val="005121DA"/>
    <w:rsid w:val="005177F9"/>
    <w:rsid w:val="005308CE"/>
    <w:rsid w:val="005475BF"/>
    <w:rsid w:val="00551A02"/>
    <w:rsid w:val="005534FA"/>
    <w:rsid w:val="00560452"/>
    <w:rsid w:val="00562276"/>
    <w:rsid w:val="005636B1"/>
    <w:rsid w:val="0056721F"/>
    <w:rsid w:val="0058356B"/>
    <w:rsid w:val="00587438"/>
    <w:rsid w:val="005A3DF8"/>
    <w:rsid w:val="005B661A"/>
    <w:rsid w:val="005B6AF9"/>
    <w:rsid w:val="005B7867"/>
    <w:rsid w:val="005D324C"/>
    <w:rsid w:val="005D3A03"/>
    <w:rsid w:val="005D72AC"/>
    <w:rsid w:val="005E4CBE"/>
    <w:rsid w:val="0060225A"/>
    <w:rsid w:val="0061186A"/>
    <w:rsid w:val="00612631"/>
    <w:rsid w:val="00615D3E"/>
    <w:rsid w:val="00622A0C"/>
    <w:rsid w:val="00625E23"/>
    <w:rsid w:val="00626B93"/>
    <w:rsid w:val="00633366"/>
    <w:rsid w:val="0064137E"/>
    <w:rsid w:val="00677310"/>
    <w:rsid w:val="00684B1C"/>
    <w:rsid w:val="00685762"/>
    <w:rsid w:val="00686154"/>
    <w:rsid w:val="00693DF4"/>
    <w:rsid w:val="006957B8"/>
    <w:rsid w:val="00696825"/>
    <w:rsid w:val="00697B16"/>
    <w:rsid w:val="00697F4C"/>
    <w:rsid w:val="006B3227"/>
    <w:rsid w:val="006C2126"/>
    <w:rsid w:val="006D09DC"/>
    <w:rsid w:val="006D623C"/>
    <w:rsid w:val="006E24DF"/>
    <w:rsid w:val="006F1766"/>
    <w:rsid w:val="006F5DE7"/>
    <w:rsid w:val="00701F3F"/>
    <w:rsid w:val="007077A7"/>
    <w:rsid w:val="0072142D"/>
    <w:rsid w:val="007229C5"/>
    <w:rsid w:val="0073409F"/>
    <w:rsid w:val="007410D8"/>
    <w:rsid w:val="0074415F"/>
    <w:rsid w:val="00744302"/>
    <w:rsid w:val="00755C94"/>
    <w:rsid w:val="00763F48"/>
    <w:rsid w:val="00767C5D"/>
    <w:rsid w:val="007718BD"/>
    <w:rsid w:val="00775063"/>
    <w:rsid w:val="007771BF"/>
    <w:rsid w:val="0077733F"/>
    <w:rsid w:val="0079526F"/>
    <w:rsid w:val="0079599C"/>
    <w:rsid w:val="007A4348"/>
    <w:rsid w:val="007A56E4"/>
    <w:rsid w:val="007B5EC2"/>
    <w:rsid w:val="007C261F"/>
    <w:rsid w:val="007C3814"/>
    <w:rsid w:val="007D7124"/>
    <w:rsid w:val="007E7712"/>
    <w:rsid w:val="007F34BD"/>
    <w:rsid w:val="007F4C5F"/>
    <w:rsid w:val="008002C0"/>
    <w:rsid w:val="008015F6"/>
    <w:rsid w:val="00802B7B"/>
    <w:rsid w:val="008040D4"/>
    <w:rsid w:val="008046A6"/>
    <w:rsid w:val="00806B26"/>
    <w:rsid w:val="00827299"/>
    <w:rsid w:val="00830748"/>
    <w:rsid w:val="00834052"/>
    <w:rsid w:val="00835E55"/>
    <w:rsid w:val="00837CF0"/>
    <w:rsid w:val="008728AF"/>
    <w:rsid w:val="008759B4"/>
    <w:rsid w:val="0087711C"/>
    <w:rsid w:val="00886BDA"/>
    <w:rsid w:val="00893E26"/>
    <w:rsid w:val="008951CD"/>
    <w:rsid w:val="008A5DCC"/>
    <w:rsid w:val="008A7AE9"/>
    <w:rsid w:val="008B0B3A"/>
    <w:rsid w:val="008B6B8A"/>
    <w:rsid w:val="008C0BBF"/>
    <w:rsid w:val="008C5323"/>
    <w:rsid w:val="008D6DD1"/>
    <w:rsid w:val="008E3FC1"/>
    <w:rsid w:val="008E6482"/>
    <w:rsid w:val="008F2591"/>
    <w:rsid w:val="009108D6"/>
    <w:rsid w:val="00910CCB"/>
    <w:rsid w:val="009114DD"/>
    <w:rsid w:val="00915392"/>
    <w:rsid w:val="00927CB8"/>
    <w:rsid w:val="00935782"/>
    <w:rsid w:val="0096295C"/>
    <w:rsid w:val="00965669"/>
    <w:rsid w:val="00971A76"/>
    <w:rsid w:val="009751D9"/>
    <w:rsid w:val="00975FD6"/>
    <w:rsid w:val="00975FEA"/>
    <w:rsid w:val="00990BCD"/>
    <w:rsid w:val="00992629"/>
    <w:rsid w:val="009A1A8B"/>
    <w:rsid w:val="009A39F9"/>
    <w:rsid w:val="009A6A3B"/>
    <w:rsid w:val="009B06C3"/>
    <w:rsid w:val="009C64DA"/>
    <w:rsid w:val="009D33E9"/>
    <w:rsid w:val="009F45C0"/>
    <w:rsid w:val="00A007AF"/>
    <w:rsid w:val="00A014EC"/>
    <w:rsid w:val="00A07B99"/>
    <w:rsid w:val="00A3417A"/>
    <w:rsid w:val="00A3703B"/>
    <w:rsid w:val="00A44265"/>
    <w:rsid w:val="00A658A8"/>
    <w:rsid w:val="00A723C2"/>
    <w:rsid w:val="00A81DE5"/>
    <w:rsid w:val="00A85229"/>
    <w:rsid w:val="00A916A0"/>
    <w:rsid w:val="00AA3E32"/>
    <w:rsid w:val="00AB3109"/>
    <w:rsid w:val="00AB44A5"/>
    <w:rsid w:val="00AC3956"/>
    <w:rsid w:val="00AC3C85"/>
    <w:rsid w:val="00AC4D6B"/>
    <w:rsid w:val="00AC6865"/>
    <w:rsid w:val="00AD330A"/>
    <w:rsid w:val="00AD5785"/>
    <w:rsid w:val="00AE0479"/>
    <w:rsid w:val="00AE4818"/>
    <w:rsid w:val="00AF0B0A"/>
    <w:rsid w:val="00AF5672"/>
    <w:rsid w:val="00B25AB9"/>
    <w:rsid w:val="00B27700"/>
    <w:rsid w:val="00B33FDC"/>
    <w:rsid w:val="00B36C0E"/>
    <w:rsid w:val="00B40D47"/>
    <w:rsid w:val="00B60298"/>
    <w:rsid w:val="00B64F9F"/>
    <w:rsid w:val="00B72107"/>
    <w:rsid w:val="00B73C50"/>
    <w:rsid w:val="00B8016A"/>
    <w:rsid w:val="00B823AA"/>
    <w:rsid w:val="00B856BB"/>
    <w:rsid w:val="00B91DE3"/>
    <w:rsid w:val="00B921A7"/>
    <w:rsid w:val="00B93E1D"/>
    <w:rsid w:val="00B9435B"/>
    <w:rsid w:val="00B96B72"/>
    <w:rsid w:val="00BA0110"/>
    <w:rsid w:val="00BA45DB"/>
    <w:rsid w:val="00BC53BE"/>
    <w:rsid w:val="00BE3623"/>
    <w:rsid w:val="00BE4C19"/>
    <w:rsid w:val="00BF317D"/>
    <w:rsid w:val="00BF4184"/>
    <w:rsid w:val="00C0601E"/>
    <w:rsid w:val="00C10764"/>
    <w:rsid w:val="00C11CF0"/>
    <w:rsid w:val="00C12B9D"/>
    <w:rsid w:val="00C14719"/>
    <w:rsid w:val="00C21DDA"/>
    <w:rsid w:val="00C31D30"/>
    <w:rsid w:val="00C40B6D"/>
    <w:rsid w:val="00C5211E"/>
    <w:rsid w:val="00C57831"/>
    <w:rsid w:val="00C61DB0"/>
    <w:rsid w:val="00C70116"/>
    <w:rsid w:val="00C717F4"/>
    <w:rsid w:val="00C73DAA"/>
    <w:rsid w:val="00CC05A3"/>
    <w:rsid w:val="00CD6E39"/>
    <w:rsid w:val="00CE7A3C"/>
    <w:rsid w:val="00CF325A"/>
    <w:rsid w:val="00CF407A"/>
    <w:rsid w:val="00CF6E91"/>
    <w:rsid w:val="00D163C6"/>
    <w:rsid w:val="00D16F30"/>
    <w:rsid w:val="00D218BE"/>
    <w:rsid w:val="00D27F66"/>
    <w:rsid w:val="00D66689"/>
    <w:rsid w:val="00D708EF"/>
    <w:rsid w:val="00D85B68"/>
    <w:rsid w:val="00D94CF4"/>
    <w:rsid w:val="00DA19FA"/>
    <w:rsid w:val="00DA5CD9"/>
    <w:rsid w:val="00DB490E"/>
    <w:rsid w:val="00DC1024"/>
    <w:rsid w:val="00DD0D6B"/>
    <w:rsid w:val="00DD3EE6"/>
    <w:rsid w:val="00DE08F3"/>
    <w:rsid w:val="00DF25CB"/>
    <w:rsid w:val="00E10D04"/>
    <w:rsid w:val="00E12550"/>
    <w:rsid w:val="00E158B1"/>
    <w:rsid w:val="00E23D56"/>
    <w:rsid w:val="00E24F45"/>
    <w:rsid w:val="00E34D88"/>
    <w:rsid w:val="00E35333"/>
    <w:rsid w:val="00E421A5"/>
    <w:rsid w:val="00E50FF0"/>
    <w:rsid w:val="00E54407"/>
    <w:rsid w:val="00E6004D"/>
    <w:rsid w:val="00E638FB"/>
    <w:rsid w:val="00E66DC3"/>
    <w:rsid w:val="00E675D5"/>
    <w:rsid w:val="00E73EC1"/>
    <w:rsid w:val="00E74736"/>
    <w:rsid w:val="00E81978"/>
    <w:rsid w:val="00E86A40"/>
    <w:rsid w:val="00E949B8"/>
    <w:rsid w:val="00EC0880"/>
    <w:rsid w:val="00EC439B"/>
    <w:rsid w:val="00ED37FC"/>
    <w:rsid w:val="00ED4E19"/>
    <w:rsid w:val="00EE16BC"/>
    <w:rsid w:val="00EF6E66"/>
    <w:rsid w:val="00F01FD0"/>
    <w:rsid w:val="00F10D4B"/>
    <w:rsid w:val="00F22E75"/>
    <w:rsid w:val="00F2597A"/>
    <w:rsid w:val="00F33C09"/>
    <w:rsid w:val="00F379B7"/>
    <w:rsid w:val="00F525FA"/>
    <w:rsid w:val="00F60457"/>
    <w:rsid w:val="00F70B0E"/>
    <w:rsid w:val="00F812E4"/>
    <w:rsid w:val="00F911B5"/>
    <w:rsid w:val="00F919F2"/>
    <w:rsid w:val="00FA0365"/>
    <w:rsid w:val="00FA1E53"/>
    <w:rsid w:val="00FA688B"/>
    <w:rsid w:val="00FF2002"/>
    <w:rsid w:val="00FF3A8D"/>
    <w:rsid w:val="041D1758"/>
    <w:rsid w:val="7AD06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E78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223C"/>
    <w:rPr>
      <w:rFonts w:ascii="Calibri" w:hAnsi="Calibri"/>
      <w:sz w:val="22"/>
    </w:rPr>
  </w:style>
  <w:style w:type="paragraph" w:styleId="Heading1">
    <w:name w:val="heading 1"/>
    <w:basedOn w:val="Normal"/>
    <w:next w:val="Normal"/>
    <w:link w:val="Heading1Char"/>
    <w:uiPriority w:val="4"/>
    <w:qFormat/>
    <w:rsid w:val="00241ED5"/>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4"/>
    <w:unhideWhenUsed/>
    <w:qFormat/>
    <w:rsid w:val="00241ED5"/>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4"/>
    <w:unhideWhenUsed/>
    <w:qFormat/>
    <w:rsid w:val="00EC0880"/>
    <w:pPr>
      <w:keepNext/>
      <w:keepLines/>
      <w:ind w:firstLine="0"/>
      <w:outlineLvl w:val="2"/>
    </w:pPr>
    <w:rPr>
      <w:rFonts w:eastAsiaTheme="majorEastAsia" w:cstheme="majorBidi"/>
      <w:b/>
      <w:bCs/>
      <w:i/>
    </w:rPr>
  </w:style>
  <w:style w:type="paragraph" w:styleId="Heading4">
    <w:name w:val="heading 4"/>
    <w:basedOn w:val="Normal"/>
    <w:next w:val="Normal"/>
    <w:link w:val="Heading4Char"/>
    <w:uiPriority w:val="4"/>
    <w:unhideWhenUsed/>
    <w:qFormat/>
    <w:rsid w:val="008759B4"/>
    <w:pPr>
      <w:keepNext/>
      <w:keepLines/>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DE08F3"/>
    <w:pPr>
      <w:keepNext/>
      <w:keepLines/>
      <w:outlineLvl w:val="4"/>
    </w:pPr>
    <w:rPr>
      <w:rFonts w:eastAsiaTheme="majorEastAsia" w:cstheme="majorBidi"/>
      <w:b/>
      <w:i/>
      <w:iCs/>
    </w:rPr>
  </w:style>
  <w:style w:type="paragraph" w:styleId="Heading6">
    <w:name w:val="heading 6"/>
    <w:basedOn w:val="Heading5"/>
    <w:next w:val="Normal"/>
    <w:link w:val="Heading6Char"/>
    <w:uiPriority w:val="9"/>
    <w:semiHidden/>
    <w:qFormat/>
    <w:rsid w:val="00B60298"/>
    <w:pPr>
      <w:outlineLvl w:val="5"/>
    </w:pPr>
  </w:style>
  <w:style w:type="paragraph" w:styleId="Heading7">
    <w:name w:val="heading 7"/>
    <w:basedOn w:val="Heading5"/>
    <w:next w:val="Normal"/>
    <w:link w:val="Heading7Char"/>
    <w:uiPriority w:val="9"/>
    <w:semiHidden/>
    <w:qFormat/>
    <w:rsid w:val="00C12B9D"/>
    <w:pPr>
      <w:outlineLvl w:val="6"/>
    </w:pPr>
    <w:rPr>
      <w:iCs w:val="0"/>
    </w:rPr>
  </w:style>
  <w:style w:type="paragraph" w:styleId="Heading8">
    <w:name w:val="heading 8"/>
    <w:basedOn w:val="Heading5"/>
    <w:next w:val="Normal"/>
    <w:link w:val="Heading8Char"/>
    <w:uiPriority w:val="9"/>
    <w:semiHidden/>
    <w:qFormat/>
    <w:rsid w:val="00C12B9D"/>
    <w:pPr>
      <w:outlineLvl w:val="7"/>
    </w:pPr>
    <w:rPr>
      <w:szCs w:val="21"/>
    </w:rPr>
  </w:style>
  <w:style w:type="paragraph" w:styleId="Heading9">
    <w:name w:val="heading 9"/>
    <w:basedOn w:val="Heading5"/>
    <w:next w:val="Normal"/>
    <w:link w:val="Heading9Char"/>
    <w:uiPriority w:val="9"/>
    <w:semiHidden/>
    <w:qFormat/>
    <w:rsid w:val="00C12B9D"/>
    <w:pPr>
      <w:outlineLvl w:val="8"/>
    </w:pPr>
    <w:rPr>
      <w:iCs w:val="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7F4C5F"/>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basedOn w:val="Normal"/>
    <w:link w:val="NoSpacingChar"/>
    <w:uiPriority w:val="3"/>
    <w:qFormat/>
    <w:rsid w:val="00562276"/>
    <w:pPr>
      <w:ind w:firstLine="0"/>
    </w:pPr>
  </w:style>
  <w:style w:type="character" w:customStyle="1" w:styleId="Heading1Char">
    <w:name w:val="Heading 1 Char"/>
    <w:basedOn w:val="DefaultParagraphFont"/>
    <w:link w:val="Heading1"/>
    <w:uiPriority w:val="4"/>
    <w:rsid w:val="00241ED5"/>
    <w:rPr>
      <w:rFonts w:ascii="Calibri" w:eastAsiaTheme="majorEastAsia" w:hAnsi="Calibri" w:cstheme="majorBidi"/>
      <w:b/>
      <w:bCs/>
      <w:sz w:val="22"/>
    </w:rPr>
  </w:style>
  <w:style w:type="character" w:customStyle="1" w:styleId="Heading2Char">
    <w:name w:val="Heading 2 Char"/>
    <w:basedOn w:val="DefaultParagraphFont"/>
    <w:link w:val="Heading2"/>
    <w:uiPriority w:val="4"/>
    <w:rsid w:val="00241ED5"/>
    <w:rPr>
      <w:rFonts w:ascii="Calibri" w:eastAsiaTheme="majorEastAsia" w:hAnsi="Calibri" w:cstheme="majorBidi"/>
      <w:b/>
      <w:bCs/>
      <w:sz w:val="22"/>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EC0880"/>
    <w:rPr>
      <w:rFonts w:ascii="Calibri" w:eastAsiaTheme="majorEastAsia" w:hAnsi="Calibri" w:cstheme="majorBidi"/>
      <w:b/>
      <w:bCs/>
      <w:i/>
      <w:sz w:val="22"/>
    </w:rPr>
  </w:style>
  <w:style w:type="character" w:customStyle="1" w:styleId="Heading4Char">
    <w:name w:val="Heading 4 Char"/>
    <w:basedOn w:val="DefaultParagraphFont"/>
    <w:link w:val="Heading4"/>
    <w:uiPriority w:val="4"/>
    <w:rsid w:val="008759B4"/>
    <w:rPr>
      <w:rFonts w:ascii="Calibri" w:eastAsiaTheme="majorEastAsia" w:hAnsi="Calibri" w:cstheme="majorBidi"/>
      <w:b/>
      <w:bCs/>
      <w:iCs/>
      <w:sz w:val="22"/>
    </w:rPr>
  </w:style>
  <w:style w:type="character" w:customStyle="1" w:styleId="Heading5Char">
    <w:name w:val="Heading 5 Char"/>
    <w:basedOn w:val="DefaultParagraphFont"/>
    <w:link w:val="Heading5"/>
    <w:uiPriority w:val="4"/>
    <w:rsid w:val="00DE08F3"/>
    <w:rPr>
      <w:rFonts w:ascii="Calibri" w:eastAsiaTheme="majorEastAsia" w:hAnsi="Calibri" w:cstheme="majorBidi"/>
      <w:b/>
      <w:i/>
      <w:iCs/>
      <w:sz w:val="22"/>
    </w:rPr>
  </w:style>
  <w:style w:type="paragraph" w:styleId="BalloonText">
    <w:name w:val="Balloon Text"/>
    <w:basedOn w:val="UserInterfaceFabio"/>
    <w:link w:val="BalloonTextChar"/>
    <w:uiPriority w:val="99"/>
    <w:semiHidden/>
    <w:unhideWhenUsed/>
    <w:rsid w:val="006E24DF"/>
    <w:rPr>
      <w:rFonts w:cs="Segoe UI"/>
      <w:szCs w:val="18"/>
    </w:rPr>
  </w:style>
  <w:style w:type="character" w:customStyle="1" w:styleId="BalloonTextChar">
    <w:name w:val="Balloon Text Char"/>
    <w:basedOn w:val="DefaultParagraphFont"/>
    <w:link w:val="BalloonText"/>
    <w:uiPriority w:val="99"/>
    <w:semiHidden/>
    <w:rsid w:val="006E24DF"/>
    <w:rPr>
      <w:rFonts w:ascii="Noto Sans Disp Med" w:hAnsi="Noto Sans Disp Med" w:cs="Segoe UI"/>
      <w:sz w:val="16"/>
      <w:szCs w:val="18"/>
    </w:rPr>
  </w:style>
  <w:style w:type="paragraph" w:styleId="Bibliography">
    <w:name w:val="Bibliography"/>
    <w:basedOn w:val="Normal"/>
    <w:uiPriority w:val="37"/>
    <w:unhideWhenUsed/>
    <w:qFormat/>
    <w:rsid w:val="00E35333"/>
    <w:pPr>
      <w:adjustRightInd w:val="0"/>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nhideWhenUsed/>
    <w:rsid w:val="003E3E25"/>
  </w:style>
  <w:style w:type="character" w:customStyle="1" w:styleId="BodyTextChar">
    <w:name w:val="Body Text Char"/>
    <w:basedOn w:val="DefaultParagraphFont"/>
    <w:link w:val="BodyText"/>
    <w:rsid w:val="003E3E25"/>
    <w:rPr>
      <w:kern w:val="24"/>
    </w:rPr>
  </w:style>
  <w:style w:type="paragraph" w:styleId="BodyText2">
    <w:name w:val="Body Text 2"/>
    <w:basedOn w:val="Normal"/>
    <w:link w:val="BodyText2Char"/>
    <w:uiPriority w:val="99"/>
    <w:semiHidden/>
    <w:unhideWhenUsed/>
    <w:rsid w:val="004A4FC5"/>
  </w:style>
  <w:style w:type="character" w:customStyle="1" w:styleId="BodyText2Char">
    <w:name w:val="Body Text 2 Char"/>
    <w:basedOn w:val="DefaultParagraphFont"/>
    <w:link w:val="BodyText2"/>
    <w:uiPriority w:val="99"/>
    <w:semiHidden/>
    <w:rsid w:val="004A4FC5"/>
    <w:rPr>
      <w:kern w:val="24"/>
    </w:rPr>
  </w:style>
  <w:style w:type="paragraph" w:styleId="BodyText3">
    <w:name w:val="Body Text 3"/>
    <w:basedOn w:val="Normal"/>
    <w:link w:val="BodyText3Char"/>
    <w:uiPriority w:val="99"/>
    <w:semiHidden/>
    <w:unhideWhenUsed/>
    <w:rsid w:val="004A4FC5"/>
    <w:rPr>
      <w:szCs w:val="16"/>
    </w:rPr>
  </w:style>
  <w:style w:type="character" w:customStyle="1" w:styleId="BodyText3Char">
    <w:name w:val="Body Text 3 Char"/>
    <w:basedOn w:val="DefaultParagraphFont"/>
    <w:link w:val="BodyText3"/>
    <w:uiPriority w:val="99"/>
    <w:semiHidden/>
    <w:rsid w:val="004A4FC5"/>
    <w:rPr>
      <w:kern w:val="24"/>
      <w:szCs w:val="16"/>
    </w:rPr>
  </w:style>
  <w:style w:type="paragraph" w:styleId="BodyTextFirstIndent">
    <w:name w:val="Body Text First Indent"/>
    <w:basedOn w:val="BodyText"/>
    <w:link w:val="BodyTextFirstIndentChar"/>
    <w:uiPriority w:val="99"/>
    <w:semiHidden/>
    <w:unhideWhenUsed/>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customStyle="1" w:styleId="TableTitle">
    <w:name w:val="Table Title"/>
    <w:basedOn w:val="Normal"/>
    <w:qFormat/>
    <w:rsid w:val="00F22E75"/>
    <w:pPr>
      <w:ind w:firstLine="0"/>
    </w:pPr>
    <w:rPr>
      <w:b/>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UserInterfaceFabio"/>
    <w:link w:val="CommentTextChar"/>
    <w:uiPriority w:val="99"/>
    <w:semiHidden/>
    <w:unhideWhenUsed/>
    <w:rsid w:val="002724E9"/>
    <w:rPr>
      <w:szCs w:val="20"/>
    </w:rPr>
  </w:style>
  <w:style w:type="character" w:customStyle="1" w:styleId="CommentTextChar">
    <w:name w:val="Comment Text Char"/>
    <w:basedOn w:val="DefaultParagraphFont"/>
    <w:link w:val="CommentText"/>
    <w:uiPriority w:val="99"/>
    <w:semiHidden/>
    <w:rsid w:val="002724E9"/>
    <w:rPr>
      <w:rFonts w:ascii="Noto Sans Disp Med" w:hAnsi="Noto Sans Disp Med"/>
      <w:sz w:val="18"/>
      <w:szCs w:val="20"/>
    </w:rPr>
  </w:style>
  <w:style w:type="paragraph" w:styleId="CommentSubject">
    <w:name w:val="annotation subject"/>
    <w:basedOn w:val="CommentText"/>
    <w:next w:val="CommentText"/>
    <w:link w:val="CommentSubjectChar"/>
    <w:uiPriority w:val="99"/>
    <w:semiHidden/>
    <w:unhideWhenUsed/>
    <w:rsid w:val="005B6AF9"/>
    <w:rPr>
      <w:bCs/>
    </w:rPr>
  </w:style>
  <w:style w:type="character" w:customStyle="1" w:styleId="CommentSubjectChar">
    <w:name w:val="Comment Subject Char"/>
    <w:basedOn w:val="CommentTextChar"/>
    <w:link w:val="CommentSubject"/>
    <w:uiPriority w:val="99"/>
    <w:semiHidden/>
    <w:rsid w:val="005B6AF9"/>
    <w:rPr>
      <w:rFonts w:ascii="Segoe UI" w:hAnsi="Segoe UI"/>
      <w:bCs/>
      <w:kern w:val="24"/>
      <w:sz w:val="18"/>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B60298"/>
    <w:rPr>
      <w:rFonts w:asciiTheme="majorHAnsi" w:eastAsiaTheme="majorEastAsia" w:hAnsiTheme="majorHAnsi" w:cstheme="majorBidi"/>
      <w:i/>
      <w:iCs/>
      <w:kern w:val="24"/>
    </w:rPr>
  </w:style>
  <w:style w:type="character" w:customStyle="1" w:styleId="Heading7Char">
    <w:name w:val="Heading 7 Char"/>
    <w:basedOn w:val="DefaultParagraphFont"/>
    <w:link w:val="Heading7"/>
    <w:uiPriority w:val="9"/>
    <w:semiHidden/>
    <w:rsid w:val="00C12B9D"/>
    <w:rPr>
      <w:rFonts w:asciiTheme="majorHAnsi" w:eastAsiaTheme="majorEastAsia" w:hAnsiTheme="majorHAnsi" w:cstheme="majorBidi"/>
      <w:i/>
      <w:kern w:val="24"/>
    </w:rPr>
  </w:style>
  <w:style w:type="character" w:customStyle="1" w:styleId="Heading8Char">
    <w:name w:val="Heading 8 Char"/>
    <w:basedOn w:val="DefaultParagraphFont"/>
    <w:link w:val="Heading8"/>
    <w:uiPriority w:val="9"/>
    <w:semiHidden/>
    <w:rsid w:val="00C12B9D"/>
    <w:rPr>
      <w:rFonts w:asciiTheme="majorHAnsi" w:eastAsiaTheme="majorEastAsia" w:hAnsiTheme="majorHAnsi" w:cstheme="majorBidi"/>
      <w:i/>
      <w:iCs/>
      <w:kern w:val="24"/>
      <w:szCs w:val="21"/>
    </w:rPr>
  </w:style>
  <w:style w:type="character" w:customStyle="1" w:styleId="Heading9Char">
    <w:name w:val="Heading 9 Char"/>
    <w:basedOn w:val="DefaultParagraphFont"/>
    <w:link w:val="Heading9"/>
    <w:uiPriority w:val="9"/>
    <w:semiHidden/>
    <w:rsid w:val="00C12B9D"/>
    <w:rPr>
      <w:rFonts w:asciiTheme="majorHAnsi" w:eastAsiaTheme="majorEastAsia" w:hAnsiTheme="majorHAnsi" w:cstheme="majorBidi"/>
      <w:i/>
      <w:kern w:val="24"/>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
      </w:numPr>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rsid w:val="00B27700"/>
    <w:pPr>
      <w:numPr>
        <w:numId w:val="7"/>
      </w:numPr>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1"/>
      </w:numPr>
      <w:ind w:firstLine="0"/>
      <w:contextualSpacing/>
    </w:pPr>
  </w:style>
  <w:style w:type="paragraph" w:styleId="ListParagraph">
    <w:name w:val="List Paragraph"/>
    <w:basedOn w:val="NoSpacing"/>
    <w:uiPriority w:val="34"/>
    <w:unhideWhenUsed/>
    <w:qFormat/>
    <w:rsid w:val="008728AF"/>
    <w:pPr>
      <w:numPr>
        <w:numId w:val="30"/>
      </w:numPr>
      <w:ind w:left="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Placement">
    <w:name w:val="Table Placement"/>
    <w:basedOn w:val="Normal"/>
    <w:uiPriority w:val="39"/>
    <w:qFormat/>
    <w:rsid w:val="005E4CBE"/>
    <w:pPr>
      <w:keepNext/>
      <w:keepLines/>
      <w:spacing w:after="40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UserInterfaceFabioChar"/>
    <w:uiPriority w:val="99"/>
    <w:semiHidden/>
    <w:unhideWhenUsed/>
    <w:rsid w:val="002724E9"/>
    <w:rPr>
      <w:rFonts w:ascii="Segoe UI" w:hAnsi="Segoe UI"/>
      <w:sz w:val="16"/>
      <w:szCs w:val="16"/>
    </w:rPr>
  </w:style>
  <w:style w:type="paragraph" w:styleId="EndnoteText">
    <w:name w:val="endnote text"/>
    <w:basedOn w:val="Normal"/>
    <w:link w:val="EndnoteTextChar"/>
    <w:uiPriority w:val="99"/>
    <w:semiHidden/>
    <w:unhideWhenUsed/>
    <w:qFormat/>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rsid w:val="004717D3"/>
    <w:rPr>
      <w:color w:val="0000FF"/>
      <w:u w:val="single"/>
    </w:rPr>
  </w:style>
  <w:style w:type="character" w:styleId="PageNumber">
    <w:name w:val="page number"/>
    <w:basedOn w:val="DefaultParagraphFont"/>
    <w:rsid w:val="008951CD"/>
  </w:style>
  <w:style w:type="paragraph" w:styleId="Revision">
    <w:name w:val="Revision"/>
    <w:hidden/>
    <w:uiPriority w:val="99"/>
    <w:semiHidden/>
    <w:rsid w:val="008C0BBF"/>
    <w:pPr>
      <w:spacing w:line="240" w:lineRule="auto"/>
      <w:ind w:firstLine="0"/>
    </w:pPr>
    <w:rPr>
      <w:kern w:val="24"/>
    </w:rPr>
  </w:style>
  <w:style w:type="paragraph" w:customStyle="1" w:styleId="Tablebody">
    <w:name w:val="Table body"/>
    <w:basedOn w:val="TablePlacement"/>
    <w:qFormat/>
    <w:rsid w:val="007C261F"/>
    <w:pPr>
      <w:spacing w:after="0" w:line="240" w:lineRule="auto"/>
    </w:pPr>
  </w:style>
  <w:style w:type="paragraph" w:customStyle="1" w:styleId="Tablenotes">
    <w:name w:val="Table notes"/>
    <w:basedOn w:val="Normal"/>
    <w:link w:val="TablenotesChar"/>
    <w:qFormat/>
    <w:rsid w:val="007C261F"/>
    <w:pPr>
      <w:widowControl w:val="0"/>
      <w:spacing w:before="400"/>
      <w:ind w:firstLine="0"/>
      <w:contextualSpacing/>
    </w:pPr>
  </w:style>
  <w:style w:type="character" w:customStyle="1" w:styleId="TablenotesChar">
    <w:name w:val="Table notes Char"/>
    <w:basedOn w:val="DefaultParagraphFont"/>
    <w:link w:val="Tablenotes"/>
    <w:rsid w:val="007C261F"/>
    <w:rPr>
      <w:rFonts w:ascii="Calibri" w:hAnsi="Calibri"/>
      <w:sz w:val="22"/>
    </w:rPr>
  </w:style>
  <w:style w:type="paragraph" w:customStyle="1" w:styleId="FigurePlacement">
    <w:name w:val="Figure Placement"/>
    <w:basedOn w:val="Normal"/>
    <w:uiPriority w:val="39"/>
    <w:qFormat/>
    <w:rsid w:val="00D218BE"/>
    <w:pPr>
      <w:keepLines/>
      <w:ind w:firstLine="0"/>
    </w:pPr>
  </w:style>
  <w:style w:type="paragraph" w:customStyle="1" w:styleId="UserInterfaceFabio">
    <w:name w:val="User Interface Fabio"/>
    <w:basedOn w:val="NoSpacing"/>
    <w:link w:val="UserInterfaceFabioChar"/>
    <w:qFormat/>
    <w:rsid w:val="00DD3EE6"/>
    <w:pPr>
      <w:widowControl w:val="0"/>
      <w:snapToGrid w:val="0"/>
      <w:spacing w:line="240" w:lineRule="auto"/>
    </w:pPr>
    <w:rPr>
      <w:rFonts w:ascii="Segoe UI" w:hAnsi="Segoe UI"/>
      <w:sz w:val="16"/>
    </w:rPr>
  </w:style>
  <w:style w:type="character" w:customStyle="1" w:styleId="NoSpacingChar">
    <w:name w:val="No Spacing Char"/>
    <w:aliases w:val="No Indent Char"/>
    <w:basedOn w:val="DefaultParagraphFont"/>
    <w:link w:val="NoSpacing"/>
    <w:uiPriority w:val="3"/>
    <w:rsid w:val="0040571E"/>
    <w:rPr>
      <w:rFonts w:ascii="Calibri" w:hAnsi="Calibri"/>
      <w:sz w:val="22"/>
    </w:rPr>
  </w:style>
  <w:style w:type="character" w:customStyle="1" w:styleId="UserInterfaceFabioChar">
    <w:name w:val="User Interface Fabio Char"/>
    <w:basedOn w:val="NoSpacingChar"/>
    <w:link w:val="UserInterfaceFabio"/>
    <w:rsid w:val="00DD3EE6"/>
    <w:rPr>
      <w:rFonts w:ascii="Segoe UI" w:hAnsi="Segoe UI"/>
      <w:sz w:val="16"/>
    </w:rPr>
  </w:style>
  <w:style w:type="paragraph" w:styleId="Caption">
    <w:name w:val="caption"/>
    <w:basedOn w:val="Normal"/>
    <w:next w:val="Tablefiguretitle"/>
    <w:uiPriority w:val="35"/>
    <w:unhideWhenUsed/>
    <w:qFormat/>
    <w:rsid w:val="00BF317D"/>
    <w:pPr>
      <w:keepNext/>
      <w:keepLines/>
      <w:ind w:firstLine="0"/>
    </w:pPr>
    <w:rPr>
      <w:b/>
      <w:iCs/>
      <w:color w:val="000000" w:themeColor="text2"/>
      <w:szCs w:val="18"/>
    </w:rPr>
  </w:style>
  <w:style w:type="paragraph" w:customStyle="1" w:styleId="Tablefiguretitle">
    <w:name w:val="Table figure title"/>
    <w:basedOn w:val="Normal"/>
    <w:link w:val="TablefiguretitleChar"/>
    <w:qFormat/>
    <w:rsid w:val="00BF317D"/>
    <w:pPr>
      <w:keepNext/>
      <w:keepLines/>
      <w:ind w:firstLine="0"/>
    </w:pPr>
    <w:rPr>
      <w:i/>
    </w:rPr>
  </w:style>
  <w:style w:type="character" w:customStyle="1" w:styleId="TablefiguretitleChar">
    <w:name w:val="Table figure title Char"/>
    <w:basedOn w:val="DefaultParagraphFont"/>
    <w:link w:val="Tablefiguretitle"/>
    <w:rsid w:val="00BF317D"/>
    <w:rPr>
      <w:rFonts w:ascii="Calibri" w:hAnsi="Calibri"/>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095112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070455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[SHORTENED TITLE UP TO 50 CHARACTERS]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
    <b:Tag>Ostrom2007ADiagnosticApproachFo</b:Tag>
    <b:SourceType>JournalArticle</b:SourceType>
    <b:Guid>{752a2559-f2ec-4e10-a354-fa75561b12e8}</b:Guid>
    <b:Title>A diagnostic approach for going beyond panaceas</b:Title>
    <b:JournalName>Proceedings of the National Academy of Sciences</b:JournalName>
    <b:Volume>104</b:Volume>
    <b:Issue>39</b:Issue>
    <b:Pages>15181-15187</b:Pages>
    <b:Year>2007</b:Year>
    <b:Month>September</b:Month>
    <b:Publisher>National Academy of Sciences</b:Publisher>
    <b:City>Washington</b:City>
    <b:StateProvince>District of Columbia</b:StateProvince>
    <b:CountryRegion>United States of America</b:CountryRegion>
    <b:Medium>Digital</b:Medium>
    <b:StandardNumber>ISSN: 0027-8424 (print), 1091-6490 (online)</b:StandardNumber>
    <b:DOI>10.1073/pnas.0702288104</b:DOI>
    <b:URL>http://www.pnas.org/content/104/39/15181.full</b:URL>
    <b:YearAccessed>2018</b:YearAccessed>
    <b:MonthAccessed>February</b:MonthAccessed>
    <b:DayAccessed>26</b:DayAccessed>
    <b:Comments>Has female authors
		Keywords: commons, complexity, governance, interdisciplinary research, sustainability science
		Abstract: The articles in this special feature challenge the presumption that scholars can make simple, predictive models of social–ecological systems (SESs) and deduce universal solutions, panaceas, to problems of overuse or destruction of resources. Moving beyond panaceas to develop cumulative capacities to diagnose the problems and potentialities of linked SESs requires serious study of complex, multivariable, nonlinear, cross-scale, and changing systems. Many variables have been identified by researchers as affecting the patterns of interactions and outcomes observed in empirical studies of SESs. A step toward developing a diagnostic method is taken by organizing these variables in a nested, multitier framework. The framework enables scholars to organize analyses of how attributes of (i) a resource system (e.g., fishery, lake, grazing area), (ii) the resource units generated by that system (e.g., fish, water, fodder), (iii) the users of that system, and (iv) the governance system jointly affect and are indirectly affected by interactions and resulting outcomes achieved at a particular time and place. The framework also enables us to organize how these attributes may affect and be affected by larger socioeconomic, political, and ecological settings in which they are embedded, as well as smaller ones. The framework is intended to be a step toward building a strong interdisciplinary science of complex, multilevel systems that will enable future diagnosticians to match governance arrangements to specific problems embedded in a social–ecological context.
		</b:Comments>
    <b:Author>
      <b:Author>
        <b:NameList>
          <b:Person>
            <b:Last>Ostrom</b:Last>
            <b:First>Elinor</b:First>
            <b:Middle>Claire</b:Middle>
          </b:Person>
        </b:NameList>
      </b:Author>
    </b:Author>
    <b:RefOrder>3</b:RefOrder>
  </b:Source>
  <b:Source>
    <b:Tag>Ostrom2009AGeneralFrameworkForA</b:Tag>
    <b:SourceType>JournalArticle</b:SourceType>
    <b:Guid>{b644b63c-de2f-46a5-a87d-1b7ebaf3e962}</b:Guid>
    <b:Title>A General Framework for Analyzing Sustainability of Social-Ecological Systems</b:Title>
    <b:ShortTitle>A General Framework</b:ShortTitle>
    <b:JournalName>Science</b:JournalName>
    <b:Volume>325</b:Volume>
    <b:Issue>5939</b:Issue>
    <b:Pages>419-422</b:Pages>
    <b:Year>2009</b:Year>
    <b:Month>July</b:Month>
    <b:Day>24</b:Day>
    <b:Publisher>American Association for the Advancement of Science</b:Publisher>
    <b:City>Washington</b:City>
    <b:StateProvince>District of Columbia</b:StateProvince>
    <b:CountryRegion>United States of America</b:CountryRegion>
    <b:Medium>Digital</b:Medium>
    <b:StandardNumber>ISSN: 0036-8075 (print), 1095-9203 (online)</b:StandardNumber>
    <b:DOI>10.1126/science.1172133</b:DOI>
    <b:URL>http://science.sciencemag.org/content/325/5939/419.full</b:URL>
    <b:YearAccessed>2018</b:YearAccessed>
    <b:MonthAccessed>March</b:MonthAccessed>
    <b:DayAccessed>26</b:DayAccessed>
    <b:Comments>Has female authors
		Abstract: A major problem worldwide is the potential loss of fisheries, forests, and water resources. Understanding of the processes that lead to improvements in or deterioration of natural resources is limited, because scientific disciplines use different concepts and languages to describe and explain complex social-ecological systems (SESs). Without a common framework to organize findings, isolated knowledge does not cumulate. Until recently, accepted theory has assumed that resource users will never self-organize to maintain their resources and that governments must impose solutions. Research in multiple disciplines, however, has found that some government policies accelerate resource destruction, whereas some resource users have invested their time and energy to achieve sustainability. A general framework is used to identify 10 subsystem variables that affect the likelihood of self-organization in efforts to achieve a sustainable SES.
		</b:Comments>
    <b:Author>
      <b:Author>
        <b:NameList>
          <b:Person>
            <b:Last>Ostrom</b:Last>
            <b:First>Elinor</b:First>
            <b:Middle>Claire</b:Middle>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D3EDC6-2A8F-4812-8813-3E3CEB4D8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[Title Here, up to 12 Words, on One to Two Lines]</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Here, up to 12 Words, on One to Two Lines]</dc:title>
  <dc:subject/>
  <dc:creator>Microsoft Office User</dc:creator>
  <cp:keywords/>
  <dc:description/>
  <cp:lastModifiedBy>Fabio</cp:lastModifiedBy>
  <cp:revision>17</cp:revision>
  <dcterms:created xsi:type="dcterms:W3CDTF">2020-03-20T15:01:00Z</dcterms:created>
  <dcterms:modified xsi:type="dcterms:W3CDTF">2020-03-20T16:10:00Z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id="5gMUpTfd"/&gt;&lt;style id="http://www.zotero.org/styles/apa" locale="en-US" hasBibliography="1" bibliographyStyleHasBeenSet="1"/&gt;&lt;prefs&gt;&lt;pref name="fieldType" value="Field"/&gt;&lt;/prefs&gt;&lt;/data&gt;</vt:lpwstr>
  </property>
</Properties>
</file>