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72"/>
        </w:rPr>
        <w:t>AT225</w:t>
      </w:r>
    </w:p>
    <w:p>
      <w:pPr>
        <w:jc w:val="center"/>
      </w:pPr>
      <w:r>
        <w:rPr>
          <w:color w:val="F07C1E"/>
          <w:sz w:val="28"/>
        </w:rPr>
        <w:t>ASSISTANCE TECHNIQUE 225</w:t>
      </w:r>
    </w:p>
    <w:p>
      <w:pPr>
        <w:spacing w:before="0" w:after="0"/>
      </w:pPr>
      <w:r>
        <w:rPr>
          <w:sz w:val="8"/>
        </w:rPr>
      </w:r>
    </w:p>
    <w:p>
      <w:pPr>
        <w:spacing w:before="0" w:after="0"/>
      </w:pPr>
      <w:r>
        <w:rPr>
          <w:sz w:val="8"/>
        </w:rPr>
      </w:r>
    </w:p>
    <w:p>
      <w:pPr>
        <w:jc w:val="center"/>
      </w:pPr>
      <w:r>
        <w:rPr>
          <w:b/>
          <w:color w:val="1B3A5C"/>
          <w:sz w:val="44"/>
        </w:rPr>
        <w:t>RAPPORT D'ANALYSE FINANCIÈRE</w:t>
        <w:br/>
        <w:t>ET DE VALORISATION</w:t>
      </w:r>
    </w:p>
    <w:p>
      <w:pPr>
        <w:spacing w:before="0" w:after="0"/>
      </w:pPr>
      <w:r>
        <w:rPr>
          <w:sz w:val="8"/>
        </w:rPr>
      </w:r>
    </w:p>
    <w:p>
      <w:pPr>
        <w:jc w:val="center"/>
      </w:pPr>
      <w:r>
        <w:rPr>
          <w:i/>
          <w:color w:val="2E75B6"/>
          <w:sz w:val="26"/>
        </w:rPr>
        <w:t>En vue d'une cession partielle ou totale</w:t>
      </w:r>
    </w:p>
    <w:p>
      <w:pPr>
        <w:spacing w:before="0" w:after="0"/>
      </w:pPr>
      <w:r>
        <w:rPr>
          <w:sz w:val="8"/>
        </w:rPr>
      </w:r>
    </w:p>
    <w:p>
      <w:pPr>
        <w:spacing w:before="0" w:after="0"/>
      </w:pPr>
      <w:r>
        <w:rPr>
          <w:sz w:val="8"/>
        </w:rPr>
      </w:r>
    </w:p>
    <w:p>
      <w:pPr>
        <w:spacing w:before="0" w:after="0"/>
      </w:pPr>
      <w:r>
        <w:rPr>
          <w:sz w:val="8"/>
        </w:rPr>
      </w:r>
    </w:p>
    <w:p>
      <w:pPr>
        <w:jc w:val="center"/>
      </w:pPr>
      <w:r>
        <w:rPr>
          <w:color w:val="808080"/>
          <w:sz w:val="22"/>
        </w:rPr>
        <w:t>Avril 2026  |  Confidentiel</w:t>
      </w:r>
    </w:p>
    <w:p>
      <w:r>
        <w:br w:type="page"/>
      </w:r>
    </w:p>
    <w:p>
      <w:pPr>
        <w:spacing w:before="360" w:after="120"/>
        <w:pBdr>
          <w:bottom w:val="single" w:sz="6" w:space="1" w:color="1B3A5C"/>
        </w:pBdr>
      </w:pPr>
      <w:r>
        <w:rPr>
          <w:b/>
          <w:color w:val="1B3A5C"/>
          <w:sz w:val="32"/>
        </w:rPr>
        <w:t>RÉSUMÉ EXÉCUTIF</w:t>
      </w:r>
    </w:p>
    <w:p>
      <w:pPr>
        <w:spacing w:before="40" w:after="80"/>
      </w:pPr>
      <w:r>
        <w:rPr>
          <w:b w:val="0"/>
          <w:i w:val="0"/>
          <w:color w:val="000000"/>
          <w:sz w:val="20"/>
        </w:rPr>
        <w:t>AT225 (Assistance Technique 225) est une société de services RH fondée en janvier 2020 en Côte d'Ivoire, spécialisée dans la mise à disposition de personnel, le recrutement et le portage salarial. La société affiche une croissance exceptionnelle avec un TCAM (Taux de Croissance Annuel Moyen) de 28,5 % sur la période 2021-2025, adossée à une plateforme technologique propriétaire (Odoo customisé) et un portefeuille de clients de premier rang.</w:t>
      </w:r>
    </w:p>
    <w:tbl>
      <w:tblPr>
        <w:tblStyle w:val="TableGrid"/>
        <w:tblW w:type="auto" w:w="0"/>
        <w:jc w:val="center"/>
        <w:tblLook w:firstColumn="1" w:firstRow="1" w:lastColumn="0" w:lastRow="0" w:noHBand="0" w:noVBand="1" w:val="04A0"/>
      </w:tblPr>
      <w:tblGrid>
        <w:gridCol w:w="9072"/>
      </w:tblGrid>
      <w:tr>
        <w:tc>
          <w:tcPr>
            <w:tcW w:type="dxa" w:w="9072"/>
            <w:shd w:val="clear" w:color="auto" w:fill="1B3A5C"/>
          </w:tcPr>
          <w:p>
            <w:pPr>
              <w:spacing w:before="80" w:after="80"/>
              <w:ind w:left="144"/>
            </w:pPr>
            <w:r>
              <w:rPr>
                <w:b/>
                <w:color w:val="FFFFFF"/>
                <w:sz w:val="20"/>
              </w:rPr>
              <w:t>POINTS CLÉS DE LA VALORISATION</w:t>
            </w:r>
          </w:p>
        </w:tc>
      </w:tr>
      <w:tr>
        <w:tc>
          <w:tcPr>
            <w:tcW w:type="dxa" w:w="9072"/>
            <w:shd w:val="clear" w:color="auto" w:fill="D5E8F0"/>
          </w:tcPr>
          <w:p/>
          <w:p>
            <w:pPr>
              <w:spacing w:before="40" w:after="40"/>
              <w:ind w:left="216"/>
            </w:pPr>
            <w:r>
              <w:rPr>
                <w:sz w:val="19"/>
              </w:rPr>
              <w:t>CA facturation 2025 : 729 M FCFA (~1,11 M EUR)   |   Croissance 2024-2025 : +39,6 %</w:t>
            </w:r>
          </w:p>
          <w:p>
            <w:pPr>
              <w:spacing w:before="40" w:after="40"/>
              <w:ind w:left="216"/>
            </w:pPr>
            <w:r>
              <w:rPr>
                <w:sz w:val="19"/>
              </w:rPr>
              <w:t>EBITDA officiel 2025 : 62,4 M FCFA   |   Marge EBITDA : 25,6 % (comptes officiels)</w:t>
            </w:r>
          </w:p>
          <w:p>
            <w:pPr>
              <w:spacing w:before="40" w:after="40"/>
              <w:ind w:left="216"/>
            </w:pPr>
            <w:r>
              <w:rPr>
                <w:sz w:val="19"/>
              </w:rPr>
              <w:t>Capitaux propres 2025 : 59,3 M FCFA   |   Trésorerie nette : 20,6 M FCFA</w:t>
            </w:r>
          </w:p>
          <w:p>
            <w:pPr>
              <w:spacing w:before="40" w:after="40"/>
              <w:ind w:left="216"/>
            </w:pPr>
            <w:r>
              <w:rPr>
                <w:sz w:val="19"/>
              </w:rPr>
              <w:t>Plan de trésorerie 2026 : 2 235 M FCFA d'encaissements prévus</w:t>
            </w:r>
          </w:p>
          <w:p>
            <w:pPr>
              <w:spacing w:before="40" w:after="40"/>
              <w:ind w:left="216"/>
            </w:pPr>
            <w:r>
              <w:rPr>
                <w:sz w:val="19"/>
              </w:rPr>
              <w:t>Fourchette de valorisation : 440 M – 2 000 M FCFA (671 K – 3,1 M EUR)</w:t>
            </w:r>
          </w:p>
          <w:p>
            <w:pPr>
              <w:spacing w:before="40" w:after="40"/>
              <w:ind w:left="216"/>
            </w:pPr>
            <w:r>
              <w:rPr>
                <w:sz w:val="19"/>
              </w:rPr>
              <w:t>Demande du fondateur : 10 M EUR (6 560 M FCFA) — nécessite la réalisation des projections 2027-2028</w:t>
            </w:r>
          </w:p>
        </w:tc>
      </w:tr>
    </w:tbl>
    <w:p>
      <w:pPr>
        <w:spacing w:before="0" w:after="0"/>
      </w:pPr>
      <w:r>
        <w:rPr>
          <w:sz w:val="8"/>
        </w:rPr>
      </w:r>
    </w:p>
    <w:p>
      <w:pPr>
        <w:spacing w:before="360" w:after="120"/>
        <w:pBdr>
          <w:bottom w:val="single" w:sz="6" w:space="1" w:color="1B3A5C"/>
        </w:pBdr>
      </w:pPr>
      <w:r>
        <w:rPr>
          <w:b/>
          <w:color w:val="1B3A5C"/>
          <w:sz w:val="32"/>
        </w:rPr>
        <w:t>1. PRÉSENTATION DE LA SOCIÉTÉ</w:t>
      </w:r>
    </w:p>
    <w:p>
      <w:pPr>
        <w:spacing w:before="240" w:after="120"/>
      </w:pPr>
      <w:r>
        <w:rPr>
          <w:b/>
          <w:color w:val="2E75B6"/>
          <w:sz w:val="26"/>
        </w:rPr>
        <w:t>1.1 Informations générales</w:t>
      </w:r>
    </w:p>
    <w:tbl>
      <w:tblPr>
        <w:tblStyle w:val="TableGrid"/>
        <w:tblW w:type="auto" w:w="0"/>
        <w:jc w:val="center"/>
        <w:tblLook w:firstColumn="1" w:firstRow="1" w:lastColumn="0" w:lastRow="0" w:noHBand="0" w:noVBand="1" w:val="04A0"/>
      </w:tblPr>
      <w:tblGrid>
        <w:gridCol w:w="4536"/>
        <w:gridCol w:w="4536"/>
      </w:tblGrid>
      <w:tr>
        <w:tc>
          <w:tcPr>
            <w:tcW w:type="dxa" w:w="4320"/>
            <w:shd w:val="clear" w:color="auto" w:fill="1B3A5C"/>
            <w:vAlign w:val="center"/>
          </w:tcPr>
          <w:p>
            <w:pPr>
              <w:spacing w:before="80" w:after="80"/>
              <w:jc w:val="center"/>
            </w:pPr>
            <w:r>
              <w:rPr>
                <w:b/>
                <w:color w:val="FFFFFF"/>
                <w:sz w:val="18"/>
              </w:rPr>
              <w:t>Élément</w:t>
            </w:r>
          </w:p>
        </w:tc>
        <w:tc>
          <w:tcPr>
            <w:tcW w:type="dxa" w:w="5040"/>
            <w:shd w:val="clear" w:color="auto" w:fill="1B3A5C"/>
            <w:vAlign w:val="center"/>
          </w:tcPr>
          <w:p>
            <w:pPr>
              <w:spacing w:before="80" w:after="80"/>
              <w:jc w:val="center"/>
            </w:pPr>
            <w:r>
              <w:rPr>
                <w:b/>
                <w:color w:val="FFFFFF"/>
                <w:sz w:val="18"/>
              </w:rPr>
              <w:t>Détail</w:t>
            </w:r>
          </w:p>
        </w:tc>
      </w:tr>
      <w:tr>
        <w:tc>
          <w:tcPr>
            <w:tcW w:type="dxa" w:w="4320"/>
            <w:shd w:val="clear" w:color="auto" w:fill="F2F2F2"/>
          </w:tcPr>
          <w:p>
            <w:pPr>
              <w:spacing w:before="60" w:after="60"/>
              <w:ind w:left="72"/>
              <w:jc w:val="left"/>
            </w:pPr>
            <w:r>
              <w:rPr>
                <w:sz w:val="18"/>
              </w:rPr>
              <w:t>Dénomination sociale</w:t>
            </w:r>
          </w:p>
        </w:tc>
        <w:tc>
          <w:tcPr>
            <w:tcW w:type="dxa" w:w="5040"/>
            <w:shd w:val="clear" w:color="auto" w:fill="F2F2F2"/>
          </w:tcPr>
          <w:p>
            <w:pPr>
              <w:spacing w:before="60" w:after="60"/>
              <w:ind w:left="72"/>
              <w:jc w:val="right"/>
            </w:pPr>
            <w:r>
              <w:rPr>
                <w:sz w:val="18"/>
              </w:rPr>
              <w:t>Assistance Technique 225 (AT225)</w:t>
            </w:r>
          </w:p>
        </w:tc>
      </w:tr>
      <w:tr>
        <w:tc>
          <w:tcPr>
            <w:tcW w:type="dxa" w:w="4320"/>
            <w:shd w:val="clear" w:color="auto" w:fill="FFFFFF"/>
          </w:tcPr>
          <w:p>
            <w:pPr>
              <w:spacing w:before="60" w:after="60"/>
              <w:ind w:left="72"/>
              <w:jc w:val="left"/>
            </w:pPr>
            <w:r>
              <w:rPr>
                <w:sz w:val="18"/>
              </w:rPr>
              <w:t>Date de création</w:t>
            </w:r>
          </w:p>
        </w:tc>
        <w:tc>
          <w:tcPr>
            <w:tcW w:type="dxa" w:w="5040"/>
            <w:shd w:val="clear" w:color="auto" w:fill="FFFFFF"/>
          </w:tcPr>
          <w:p>
            <w:pPr>
              <w:spacing w:before="60" w:after="60"/>
              <w:ind w:left="72"/>
              <w:jc w:val="right"/>
            </w:pPr>
            <w:r>
              <w:rPr>
                <w:sz w:val="18"/>
              </w:rPr>
              <w:t>Janvier 2020</w:t>
            </w:r>
          </w:p>
        </w:tc>
      </w:tr>
      <w:tr>
        <w:tc>
          <w:tcPr>
            <w:tcW w:type="dxa" w:w="4320"/>
            <w:shd w:val="clear" w:color="auto" w:fill="F2F2F2"/>
          </w:tcPr>
          <w:p>
            <w:pPr>
              <w:spacing w:before="60" w:after="60"/>
              <w:ind w:left="72"/>
              <w:jc w:val="left"/>
            </w:pPr>
            <w:r>
              <w:rPr>
                <w:sz w:val="18"/>
              </w:rPr>
              <w:t>Siège social</w:t>
            </w:r>
          </w:p>
        </w:tc>
        <w:tc>
          <w:tcPr>
            <w:tcW w:type="dxa" w:w="5040"/>
            <w:shd w:val="clear" w:color="auto" w:fill="F2F2F2"/>
          </w:tcPr>
          <w:p>
            <w:pPr>
              <w:spacing w:before="60" w:after="60"/>
              <w:ind w:left="72"/>
              <w:jc w:val="right"/>
            </w:pPr>
            <w:r>
              <w:rPr>
                <w:sz w:val="18"/>
              </w:rPr>
              <w:t>Zone 4, Perusia, Abidjan, Côte d'Ivoire</w:t>
            </w:r>
          </w:p>
        </w:tc>
      </w:tr>
      <w:tr>
        <w:tc>
          <w:tcPr>
            <w:tcW w:type="dxa" w:w="4320"/>
            <w:shd w:val="clear" w:color="auto" w:fill="FFFFFF"/>
          </w:tcPr>
          <w:p>
            <w:pPr>
              <w:spacing w:before="60" w:after="60"/>
              <w:ind w:left="72"/>
              <w:jc w:val="left"/>
            </w:pPr>
            <w:r>
              <w:rPr>
                <w:sz w:val="18"/>
              </w:rPr>
              <w:t>Adresse légale</w:t>
            </w:r>
          </w:p>
        </w:tc>
        <w:tc>
          <w:tcPr>
            <w:tcW w:type="dxa" w:w="5040"/>
            <w:shd w:val="clear" w:color="auto" w:fill="FFFFFF"/>
          </w:tcPr>
          <w:p>
            <w:pPr>
              <w:spacing w:before="60" w:after="60"/>
              <w:ind w:left="72"/>
              <w:jc w:val="right"/>
            </w:pPr>
            <w:r>
              <w:rPr>
                <w:sz w:val="18"/>
              </w:rPr>
              <w:t>BP 250, Grand Bassam</w:t>
            </w:r>
          </w:p>
        </w:tc>
      </w:tr>
      <w:tr>
        <w:tc>
          <w:tcPr>
            <w:tcW w:type="dxa" w:w="4320"/>
            <w:shd w:val="clear" w:color="auto" w:fill="F2F2F2"/>
          </w:tcPr>
          <w:p>
            <w:pPr>
              <w:spacing w:before="60" w:after="60"/>
              <w:ind w:left="72"/>
              <w:jc w:val="left"/>
            </w:pPr>
            <w:r>
              <w:rPr>
                <w:sz w:val="18"/>
              </w:rPr>
              <w:t>N° Compte Contribuable</w:t>
            </w:r>
          </w:p>
        </w:tc>
        <w:tc>
          <w:tcPr>
            <w:tcW w:type="dxa" w:w="5040"/>
            <w:shd w:val="clear" w:color="auto" w:fill="F2F2F2"/>
          </w:tcPr>
          <w:p>
            <w:pPr>
              <w:spacing w:before="60" w:after="60"/>
              <w:ind w:left="72"/>
              <w:jc w:val="right"/>
            </w:pPr>
            <w:r>
              <w:rPr>
                <w:sz w:val="18"/>
              </w:rPr>
              <w:t>2007015R</w:t>
            </w:r>
          </w:p>
        </w:tc>
      </w:tr>
      <w:tr>
        <w:tc>
          <w:tcPr>
            <w:tcW w:type="dxa" w:w="4320"/>
            <w:shd w:val="clear" w:color="auto" w:fill="FFFFFF"/>
          </w:tcPr>
          <w:p>
            <w:pPr>
              <w:spacing w:before="60" w:after="60"/>
              <w:ind w:left="72"/>
              <w:jc w:val="left"/>
            </w:pPr>
            <w:r>
              <w:rPr>
                <w:sz w:val="18"/>
              </w:rPr>
              <w:t>Capital social</w:t>
            </w:r>
          </w:p>
        </w:tc>
        <w:tc>
          <w:tcPr>
            <w:tcW w:type="dxa" w:w="5040"/>
            <w:shd w:val="clear" w:color="auto" w:fill="FFFFFF"/>
          </w:tcPr>
          <w:p>
            <w:pPr>
              <w:spacing w:before="60" w:after="60"/>
              <w:ind w:left="72"/>
              <w:jc w:val="right"/>
            </w:pPr>
            <w:r>
              <w:rPr>
                <w:sz w:val="18"/>
              </w:rPr>
              <w:t>1 000 000 FCFA</w:t>
            </w:r>
          </w:p>
        </w:tc>
      </w:tr>
      <w:tr>
        <w:tc>
          <w:tcPr>
            <w:tcW w:type="dxa" w:w="4320"/>
            <w:shd w:val="clear" w:color="auto" w:fill="F2F2F2"/>
          </w:tcPr>
          <w:p>
            <w:pPr>
              <w:spacing w:before="60" w:after="60"/>
              <w:ind w:left="72"/>
              <w:jc w:val="left"/>
            </w:pPr>
            <w:r>
              <w:rPr>
                <w:sz w:val="18"/>
              </w:rPr>
              <w:t>Effectifs internes</w:t>
            </w:r>
          </w:p>
        </w:tc>
        <w:tc>
          <w:tcPr>
            <w:tcW w:type="dxa" w:w="5040"/>
            <w:shd w:val="clear" w:color="auto" w:fill="F2F2F2"/>
          </w:tcPr>
          <w:p>
            <w:pPr>
              <w:spacing w:before="60" w:after="60"/>
              <w:ind w:left="72"/>
              <w:jc w:val="right"/>
            </w:pPr>
            <w:r>
              <w:rPr>
                <w:sz w:val="18"/>
              </w:rPr>
              <w:t>6 personnes</w:t>
            </w:r>
          </w:p>
        </w:tc>
      </w:tr>
      <w:tr>
        <w:tc>
          <w:tcPr>
            <w:tcW w:type="dxa" w:w="4320"/>
            <w:shd w:val="clear" w:color="auto" w:fill="FFFFFF"/>
          </w:tcPr>
          <w:p>
            <w:pPr>
              <w:spacing w:before="60" w:after="60"/>
              <w:ind w:left="72"/>
              <w:jc w:val="left"/>
            </w:pPr>
            <w:r>
              <w:rPr>
                <w:sz w:val="18"/>
              </w:rPr>
              <w:t>Régime fiscal 2025</w:t>
            </w:r>
          </w:p>
        </w:tc>
        <w:tc>
          <w:tcPr>
            <w:tcW w:type="dxa" w:w="5040"/>
            <w:shd w:val="clear" w:color="auto" w:fill="FFFFFF"/>
          </w:tcPr>
          <w:p>
            <w:pPr>
              <w:spacing w:before="60" w:after="60"/>
              <w:ind w:left="72"/>
              <w:jc w:val="right"/>
            </w:pPr>
            <w:r>
              <w:rPr>
                <w:sz w:val="18"/>
              </w:rPr>
              <w:t>Micro-entreprise (passage au RNI en 2026)</w:t>
            </w:r>
          </w:p>
        </w:tc>
      </w:tr>
      <w:tr>
        <w:tc>
          <w:tcPr>
            <w:tcW w:type="dxa" w:w="4320"/>
            <w:shd w:val="clear" w:color="auto" w:fill="F2F2F2"/>
          </w:tcPr>
          <w:p>
            <w:pPr>
              <w:spacing w:before="60" w:after="60"/>
              <w:ind w:left="72"/>
              <w:jc w:val="left"/>
            </w:pPr>
            <w:r>
              <w:rPr>
                <w:sz w:val="18"/>
              </w:rPr>
              <w:t>Site web</w:t>
            </w:r>
          </w:p>
        </w:tc>
        <w:tc>
          <w:tcPr>
            <w:tcW w:type="dxa" w:w="5040"/>
            <w:shd w:val="clear" w:color="auto" w:fill="F2F2F2"/>
          </w:tcPr>
          <w:p>
            <w:pPr>
              <w:spacing w:before="60" w:after="60"/>
              <w:ind w:left="72"/>
              <w:jc w:val="right"/>
            </w:pPr>
            <w:r>
              <w:rPr>
                <w:sz w:val="18"/>
              </w:rPr>
              <w:t>assistancetechnique225.com</w:t>
            </w:r>
          </w:p>
        </w:tc>
      </w:tr>
    </w:tbl>
    <w:p>
      <w:pPr>
        <w:spacing w:before="0" w:after="0"/>
      </w:pPr>
      <w:r>
        <w:rPr>
          <w:sz w:val="8"/>
        </w:rPr>
      </w:r>
    </w:p>
    <w:p>
      <w:pPr>
        <w:spacing w:before="240" w:after="120"/>
      </w:pPr>
      <w:r>
        <w:rPr>
          <w:b/>
          <w:color w:val="2E75B6"/>
          <w:sz w:val="26"/>
        </w:rPr>
        <w:t>1.2 Activités</w:t>
      </w:r>
    </w:p>
    <w:p>
      <w:pPr>
        <w:spacing w:before="40" w:after="80"/>
      </w:pPr>
      <w:r>
        <w:rPr>
          <w:b w:val="0"/>
          <w:i w:val="0"/>
          <w:color w:val="000000"/>
          <w:sz w:val="20"/>
        </w:rPr>
        <w:t>AT225 opère dans trois segments complémentaires :</w:t>
      </w:r>
    </w:p>
    <w:p>
      <w:pPr>
        <w:pStyle w:val="ListBullet"/>
        <w:spacing w:before="20" w:after="40"/>
        <w:ind w:left="432"/>
      </w:pPr>
      <w:r>
        <w:rPr>
          <w:sz w:val="20"/>
        </w:rPr>
        <w:t>Mise à disposition de personnel (environ 90 % du CA) — gestion externalisée de la paie, des contrats, CNPS, FDFP, CMU, avec une réactivité de paiement de 2 à 3 heures contre 8 à 10 jours pour les concurrents.</w:t>
      </w:r>
    </w:p>
    <w:p>
      <w:pPr>
        <w:pStyle w:val="ListBullet"/>
        <w:spacing w:before="20" w:after="40"/>
        <w:ind w:left="432"/>
      </w:pPr>
      <w:r>
        <w:rPr>
          <w:sz w:val="20"/>
        </w:rPr>
        <w:t>Recrutement direct (environ 10 % du CA) — pour les secteurs BTP, pétrole/gaz, mines, industrie, ONG, maritime et logistique.</w:t>
      </w:r>
    </w:p>
    <w:p>
      <w:pPr>
        <w:pStyle w:val="ListBullet"/>
        <w:spacing w:before="20" w:after="40"/>
        <w:ind w:left="432"/>
      </w:pPr>
      <w:r>
        <w:rPr>
          <w:sz w:val="20"/>
        </w:rPr>
        <w:t>Portage salarial — solution pour experts indépendants souhaitant travailler sous contrat local conforme.</w:t>
      </w:r>
    </w:p>
    <w:p>
      <w:pPr>
        <w:spacing w:before="240" w:after="120"/>
      </w:pPr>
      <w:r>
        <w:rPr>
          <w:b/>
          <w:color w:val="2E75B6"/>
          <w:sz w:val="26"/>
        </w:rPr>
        <w:t>1.3 Présence géographique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Entité</w:t>
            </w:r>
          </w:p>
        </w:tc>
        <w:tc>
          <w:tcPr>
            <w:tcW w:type="dxa" w:w="2160"/>
            <w:shd w:val="clear" w:color="auto" w:fill="1B3A5C"/>
            <w:vAlign w:val="center"/>
          </w:tcPr>
          <w:p>
            <w:pPr>
              <w:spacing w:before="80" w:after="80"/>
              <w:jc w:val="center"/>
            </w:pPr>
            <w:r>
              <w:rPr>
                <w:b/>
                <w:color w:val="FFFFFF"/>
                <w:sz w:val="18"/>
              </w:rPr>
              <w:t>Pays</w:t>
            </w:r>
          </w:p>
        </w:tc>
        <w:tc>
          <w:tcPr>
            <w:tcW w:type="dxa" w:w="2160"/>
            <w:shd w:val="clear" w:color="auto" w:fill="1B3A5C"/>
            <w:vAlign w:val="center"/>
          </w:tcPr>
          <w:p>
            <w:pPr>
              <w:spacing w:before="80" w:after="80"/>
              <w:jc w:val="center"/>
            </w:pPr>
            <w:r>
              <w:rPr>
                <w:b/>
                <w:color w:val="FFFFFF"/>
                <w:sz w:val="18"/>
              </w:rPr>
              <w:t>Lancement</w:t>
            </w:r>
          </w:p>
        </w:tc>
        <w:tc>
          <w:tcPr>
            <w:tcW w:type="dxa" w:w="3600"/>
            <w:shd w:val="clear" w:color="auto" w:fill="1B3A5C"/>
            <w:vAlign w:val="center"/>
          </w:tcPr>
          <w:p>
            <w:pPr>
              <w:spacing w:before="80" w:after="80"/>
              <w:jc w:val="center"/>
            </w:pPr>
            <w:r>
              <w:rPr>
                <w:b/>
                <w:color w:val="FFFFFF"/>
                <w:sz w:val="18"/>
              </w:rPr>
              <w:t>Statut</w:t>
            </w:r>
          </w:p>
        </w:tc>
      </w:tr>
      <w:tr>
        <w:tc>
          <w:tcPr>
            <w:tcW w:type="dxa" w:w="2160"/>
            <w:shd w:val="clear" w:color="auto" w:fill="F2F2F2"/>
          </w:tcPr>
          <w:p>
            <w:pPr>
              <w:spacing w:before="60" w:after="60"/>
              <w:ind w:left="72"/>
              <w:jc w:val="left"/>
            </w:pPr>
            <w:r>
              <w:rPr>
                <w:sz w:val="18"/>
              </w:rPr>
              <w:t>AT225</w:t>
            </w:r>
          </w:p>
        </w:tc>
        <w:tc>
          <w:tcPr>
            <w:tcW w:type="dxa" w:w="2160"/>
            <w:shd w:val="clear" w:color="auto" w:fill="F2F2F2"/>
          </w:tcPr>
          <w:p>
            <w:pPr>
              <w:spacing w:before="60" w:after="60"/>
              <w:ind w:left="72"/>
              <w:jc w:val="right"/>
            </w:pPr>
            <w:r>
              <w:rPr>
                <w:sz w:val="18"/>
              </w:rPr>
              <w:t>Côte d'Ivoire</w:t>
            </w:r>
          </w:p>
        </w:tc>
        <w:tc>
          <w:tcPr>
            <w:tcW w:type="dxa" w:w="2160"/>
            <w:shd w:val="clear" w:color="auto" w:fill="F2F2F2"/>
          </w:tcPr>
          <w:p>
            <w:pPr>
              <w:spacing w:before="60" w:after="60"/>
              <w:ind w:left="72"/>
              <w:jc w:val="right"/>
            </w:pPr>
            <w:r>
              <w:rPr>
                <w:sz w:val="18"/>
              </w:rPr>
              <w:t>Janvier 2020</w:t>
            </w:r>
          </w:p>
        </w:tc>
        <w:tc>
          <w:tcPr>
            <w:tcW w:type="dxa" w:w="3600"/>
            <w:shd w:val="clear" w:color="auto" w:fill="F2F2F2"/>
          </w:tcPr>
          <w:p>
            <w:pPr>
              <w:spacing w:before="60" w:after="60"/>
              <w:ind w:left="72"/>
              <w:jc w:val="right"/>
            </w:pPr>
            <w:r>
              <w:rPr>
                <w:sz w:val="18"/>
              </w:rPr>
              <w:t>Opérationnel — entité principale</w:t>
            </w:r>
          </w:p>
        </w:tc>
      </w:tr>
      <w:tr>
        <w:tc>
          <w:tcPr>
            <w:tcW w:type="dxa" w:w="2160"/>
            <w:shd w:val="clear" w:color="auto" w:fill="FFFFFF"/>
          </w:tcPr>
          <w:p>
            <w:pPr>
              <w:spacing w:before="60" w:after="60"/>
              <w:ind w:left="72"/>
              <w:jc w:val="left"/>
            </w:pPr>
            <w:r>
              <w:rPr>
                <w:sz w:val="18"/>
              </w:rPr>
              <w:t>AT230</w:t>
            </w:r>
          </w:p>
        </w:tc>
        <w:tc>
          <w:tcPr>
            <w:tcW w:type="dxa" w:w="2160"/>
            <w:shd w:val="clear" w:color="auto" w:fill="FFFFFF"/>
          </w:tcPr>
          <w:p>
            <w:pPr>
              <w:spacing w:before="60" w:after="60"/>
              <w:ind w:left="72"/>
              <w:jc w:val="right"/>
            </w:pPr>
            <w:r>
              <w:rPr>
                <w:sz w:val="18"/>
              </w:rPr>
              <w:t>Île Maurice</w:t>
            </w:r>
          </w:p>
        </w:tc>
        <w:tc>
          <w:tcPr>
            <w:tcW w:type="dxa" w:w="2160"/>
            <w:shd w:val="clear" w:color="auto" w:fill="FFFFFF"/>
          </w:tcPr>
          <w:p>
            <w:pPr>
              <w:spacing w:before="60" w:after="60"/>
              <w:ind w:left="72"/>
              <w:jc w:val="right"/>
            </w:pPr>
            <w:r>
              <w:rPr>
                <w:sz w:val="18"/>
              </w:rPr>
              <w:t>Janvier 2025</w:t>
            </w:r>
          </w:p>
        </w:tc>
        <w:tc>
          <w:tcPr>
            <w:tcW w:type="dxa" w:w="3600"/>
            <w:shd w:val="clear" w:color="auto" w:fill="FFFFFF"/>
          </w:tcPr>
          <w:p>
            <w:pPr>
              <w:spacing w:before="60" w:after="60"/>
              <w:ind w:left="72"/>
              <w:jc w:val="right"/>
            </w:pPr>
            <w:r>
              <w:rPr>
                <w:sz w:val="18"/>
              </w:rPr>
              <w:t>Démarrage — cabinet conseil</w:t>
            </w:r>
          </w:p>
        </w:tc>
      </w:tr>
      <w:tr>
        <w:tc>
          <w:tcPr>
            <w:tcW w:type="dxa" w:w="2160"/>
            <w:shd w:val="clear" w:color="auto" w:fill="F2F2F2"/>
          </w:tcPr>
          <w:p>
            <w:pPr>
              <w:spacing w:before="60" w:after="60"/>
              <w:ind w:left="72"/>
              <w:jc w:val="left"/>
            </w:pPr>
            <w:r>
              <w:rPr>
                <w:sz w:val="18"/>
              </w:rPr>
              <w:t>AT228</w:t>
            </w:r>
          </w:p>
        </w:tc>
        <w:tc>
          <w:tcPr>
            <w:tcW w:type="dxa" w:w="2160"/>
            <w:shd w:val="clear" w:color="auto" w:fill="F2F2F2"/>
          </w:tcPr>
          <w:p>
            <w:pPr>
              <w:spacing w:before="60" w:after="60"/>
              <w:ind w:left="72"/>
              <w:jc w:val="right"/>
            </w:pPr>
            <w:r>
              <w:rPr>
                <w:sz w:val="18"/>
              </w:rPr>
              <w:t>Togo</w:t>
            </w:r>
          </w:p>
        </w:tc>
        <w:tc>
          <w:tcPr>
            <w:tcW w:type="dxa" w:w="2160"/>
            <w:shd w:val="clear" w:color="auto" w:fill="F2F2F2"/>
          </w:tcPr>
          <w:p>
            <w:pPr>
              <w:spacing w:before="60" w:after="60"/>
              <w:ind w:left="72"/>
              <w:jc w:val="right"/>
            </w:pPr>
            <w:r>
              <w:rPr>
                <w:sz w:val="18"/>
              </w:rPr>
              <w:t>Novembre 2025</w:t>
            </w:r>
          </w:p>
        </w:tc>
        <w:tc>
          <w:tcPr>
            <w:tcW w:type="dxa" w:w="3600"/>
            <w:shd w:val="clear" w:color="auto" w:fill="F2F2F2"/>
          </w:tcPr>
          <w:p>
            <w:pPr>
              <w:spacing w:before="60" w:after="60"/>
              <w:ind w:left="72"/>
              <w:jc w:val="right"/>
            </w:pPr>
            <w:r>
              <w:rPr>
                <w:sz w:val="18"/>
              </w:rPr>
              <w:t>Démarrage — 1 personne en place</w:t>
            </w:r>
          </w:p>
        </w:tc>
      </w:tr>
    </w:tbl>
    <w:p>
      <w:pPr>
        <w:spacing w:before="0" w:after="0"/>
      </w:pPr>
      <w:r>
        <w:rPr>
          <w:sz w:val="8"/>
        </w:rPr>
      </w:r>
    </w:p>
    <w:p>
      <w:pPr>
        <w:spacing w:before="240" w:after="120"/>
      </w:pPr>
      <w:r>
        <w:rPr>
          <w:b/>
          <w:color w:val="2E75B6"/>
          <w:sz w:val="26"/>
        </w:rPr>
        <w:t>1.4 Atouts concurrentiels</w:t>
      </w:r>
    </w:p>
    <w:p>
      <w:pPr>
        <w:pStyle w:val="ListBullet"/>
        <w:spacing w:before="20" w:after="40"/>
        <w:ind w:left="432"/>
      </w:pPr>
      <w:r>
        <w:rPr>
          <w:b/>
          <w:color w:val="1B3A5C"/>
          <w:sz w:val="20"/>
        </w:rPr>
        <w:t xml:space="preserve">Plateforme Odoo customisée depuis 3 ans — automatisation de la paie, facturation, contrats, rapports et portail client. </w:t>
      </w:r>
      <w:r>
        <w:rPr>
          <w:sz w:val="20"/>
        </w:rPr>
        <w:t>Technologie propriétaire</w:t>
      </w:r>
    </w:p>
    <w:p>
      <w:pPr>
        <w:pStyle w:val="ListBullet"/>
        <w:spacing w:before="20" w:after="40"/>
        <w:ind w:left="432"/>
      </w:pPr>
      <w:r>
        <w:rPr>
          <w:b/>
          <w:color w:val="1B3A5C"/>
          <w:sz w:val="20"/>
        </w:rPr>
        <w:t xml:space="preserve">Paiement des agents dans les 2-3 heures suivant la réception du pointage (vs 8-10 jours pour les concurrents). </w:t>
      </w:r>
      <w:r>
        <w:rPr>
          <w:sz w:val="20"/>
        </w:rPr>
        <w:t>Rapidité</w:t>
      </w:r>
    </w:p>
    <w:p>
      <w:pPr>
        <w:pStyle w:val="ListBullet"/>
        <w:spacing w:before="20" w:after="40"/>
        <w:ind w:left="432"/>
      </w:pPr>
      <w:r>
        <w:rPr>
          <w:b/>
          <w:color w:val="1B3A5C"/>
          <w:sz w:val="20"/>
        </w:rPr>
        <w:t xml:space="preserve">100 % des agents déclarés aux organismes sociaux (CNPS) et passés par la médecine du travail. </w:t>
      </w:r>
      <w:r>
        <w:rPr>
          <w:sz w:val="20"/>
        </w:rPr>
        <w:t>Conformité</w:t>
      </w:r>
    </w:p>
    <w:p>
      <w:pPr>
        <w:pStyle w:val="ListBullet"/>
        <w:spacing w:before="20" w:after="40"/>
        <w:ind w:left="432"/>
      </w:pPr>
      <w:r>
        <w:rPr>
          <w:b/>
          <w:color w:val="1B3A5C"/>
          <w:sz w:val="20"/>
        </w:rPr>
        <w:t xml:space="preserve">Clients fidèles, partenariats à long terme, portefeuille clients de renommée (Bouygues, Veolia, SICMA Métro, Bessac, NMSI, AGL…). </w:t>
      </w:r>
      <w:r>
        <w:rPr>
          <w:sz w:val="20"/>
        </w:rPr>
        <w:t>Réputation</w:t>
      </w:r>
    </w:p>
    <w:p>
      <w:pPr>
        <w:pStyle w:val="ListBullet"/>
        <w:spacing w:before="20" w:after="40"/>
        <w:ind w:left="432"/>
      </w:pPr>
      <w:r>
        <w:rPr>
          <w:b/>
          <w:color w:val="1B3A5C"/>
          <w:sz w:val="20"/>
        </w:rPr>
        <w:t xml:space="preserve">TCAM de 28,5 % sur 4 ans, accélération en 2024 (+51,0 %) et 2025 (+39,6 %).</w:t>
      </w:r>
      <w:r>
        <w:rPr>
          <w:sz w:val="20"/>
        </w:rPr>
        <w:t>Croissance</w:t>
      </w:r>
    </w:p>
    <w:p>
      <w:r>
        <w:br w:type="page"/>
      </w:r>
    </w:p>
    <w:p>
      <w:pPr>
        <w:spacing w:before="360" w:after="120"/>
        <w:pBdr>
          <w:bottom w:val="single" w:sz="6" w:space="1" w:color="1B3A5C"/>
        </w:pBdr>
      </w:pPr>
      <w:r>
        <w:rPr>
          <w:b/>
          <w:color w:val="1B3A5C"/>
          <w:sz w:val="32"/>
        </w:rPr>
        <w:t>2. ANALYSE FINANCIÈRE</w:t>
      </w:r>
    </w:p>
    <w:p>
      <w:pPr>
        <w:spacing w:before="240" w:after="120"/>
      </w:pPr>
      <w:r>
        <w:rPr>
          <w:b/>
          <w:color w:val="2E75B6"/>
          <w:sz w:val="26"/>
        </w:rPr>
        <w:t>2.1 Évolution du chiffre d'affaires</w:t>
      </w:r>
    </w:p>
    <w:p>
      <w:pPr>
        <w:spacing w:before="40" w:after="80"/>
      </w:pPr>
      <w:r>
        <w:rPr>
          <w:b w:val="0"/>
          <w:i/>
          <w:color w:val="804000"/>
          <w:sz w:val="20"/>
        </w:rPr>
        <w:t>Note préalable : la société était en régime de micro-entreprise de 2020 à 2025 et ses états financiers officiels ne reflétaient pas l'intégralité du chiffre d'affaires réellement facturé. À compter de 2025, AT225 a fait appel à un cabinet comptable pour un suivi rigoureux, et basculera au Régime Normal d'Imposition (RNI) en 2026. L'analyse ci-dessous distingue le CA officiel (déclaré aux impôts) et le CA réel (facturation Odoo).</w:t>
      </w:r>
    </w:p>
    <w:p>
      <w:pPr>
        <w:spacing w:before="0" w:after="0"/>
      </w:pPr>
      <w:r>
        <w:rPr>
          <w:sz w:val="8"/>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1B3A5C"/>
            <w:vAlign w:val="center"/>
          </w:tcPr>
          <w:p>
            <w:pPr>
              <w:spacing w:before="80" w:after="80"/>
              <w:jc w:val="center"/>
            </w:pPr>
            <w:r>
              <w:rPr>
                <w:b/>
                <w:color w:val="FFFFFF"/>
                <w:sz w:val="18"/>
              </w:rPr>
              <w:t>Exercice</w:t>
            </w:r>
          </w:p>
        </w:tc>
        <w:tc>
          <w:tcPr>
            <w:tcW w:type="dxa" w:w="3168"/>
            <w:shd w:val="clear" w:color="auto" w:fill="1B3A5C"/>
            <w:vAlign w:val="center"/>
          </w:tcPr>
          <w:p>
            <w:pPr>
              <w:spacing w:before="80" w:after="80"/>
              <w:jc w:val="center"/>
            </w:pPr>
            <w:r>
              <w:rPr>
                <w:b/>
                <w:color w:val="FFFFFF"/>
                <w:sz w:val="18"/>
              </w:rPr>
              <w:t>CA Officiel (FCFA)</w:t>
            </w:r>
          </w:p>
        </w:tc>
        <w:tc>
          <w:tcPr>
            <w:tcW w:type="dxa" w:w="3600"/>
            <w:shd w:val="clear" w:color="auto" w:fill="1B3A5C"/>
            <w:vAlign w:val="center"/>
          </w:tcPr>
          <w:p>
            <w:pPr>
              <w:spacing w:before="80" w:after="80"/>
              <w:jc w:val="center"/>
            </w:pPr>
            <w:r>
              <w:rPr>
                <w:b/>
                <w:color w:val="FFFFFF"/>
                <w:sz w:val="18"/>
              </w:rPr>
              <w:t>CA Réel Facturation (FCFA)</w:t>
            </w:r>
          </w:p>
        </w:tc>
        <w:tc>
          <w:tcPr>
            <w:tcW w:type="dxa" w:w="2160"/>
            <w:shd w:val="clear" w:color="auto" w:fill="1B3A5C"/>
            <w:vAlign w:val="center"/>
          </w:tcPr>
          <w:p>
            <w:pPr>
              <w:spacing w:before="80" w:after="80"/>
              <w:jc w:val="center"/>
            </w:pPr>
            <w:r>
              <w:rPr>
                <w:b/>
                <w:color w:val="FFFFFF"/>
                <w:sz w:val="18"/>
              </w:rPr>
              <w:t>Croissance Réelle</w:t>
            </w:r>
          </w:p>
        </w:tc>
      </w:tr>
      <w:tr>
        <w:tc>
          <w:tcPr>
            <w:tcW w:type="dxa" w:w="1728"/>
            <w:shd w:val="clear" w:color="auto" w:fill="F2F2F2"/>
          </w:tcPr>
          <w:p>
            <w:pPr>
              <w:spacing w:before="60" w:after="60"/>
              <w:ind w:left="72"/>
              <w:jc w:val="left"/>
            </w:pPr>
            <w:r>
              <w:rPr>
                <w:sz w:val="18"/>
              </w:rPr>
              <w:t>2021</w:t>
            </w:r>
          </w:p>
        </w:tc>
        <w:tc>
          <w:tcPr>
            <w:tcW w:type="dxa" w:w="3168"/>
            <w:shd w:val="clear" w:color="auto" w:fill="F2F2F2"/>
          </w:tcPr>
          <w:p>
            <w:pPr>
              <w:spacing w:before="60" w:after="60"/>
              <w:ind w:left="72"/>
              <w:jc w:val="right"/>
            </w:pPr>
            <w:r>
              <w:rPr>
                <w:sz w:val="18"/>
              </w:rPr>
              <w:t>~60 000 000</w:t>
            </w:r>
          </w:p>
        </w:tc>
        <w:tc>
          <w:tcPr>
            <w:tcW w:type="dxa" w:w="3600"/>
            <w:shd w:val="clear" w:color="auto" w:fill="F2F2F2"/>
          </w:tcPr>
          <w:p>
            <w:pPr>
              <w:spacing w:before="60" w:after="60"/>
              <w:ind w:left="72"/>
              <w:jc w:val="right"/>
            </w:pPr>
            <w:r>
              <w:rPr>
                <w:sz w:val="18"/>
              </w:rPr>
              <w:t>267 471 274</w:t>
            </w:r>
          </w:p>
        </w:tc>
        <w:tc>
          <w:tcPr>
            <w:tcW w:type="dxa" w:w="2160"/>
            <w:shd w:val="clear" w:color="auto" w:fill="F2F2F2"/>
          </w:tcPr>
          <w:p>
            <w:pPr>
              <w:spacing w:before="60" w:after="60"/>
              <w:ind w:left="72"/>
              <w:jc w:val="right"/>
            </w:pPr>
            <w:r>
              <w:rPr>
                <w:sz w:val="18"/>
              </w:rPr>
              <w:t>—</w:t>
            </w:r>
          </w:p>
        </w:tc>
      </w:tr>
      <w:tr>
        <w:tc>
          <w:tcPr>
            <w:tcW w:type="dxa" w:w="1728"/>
            <w:shd w:val="clear" w:color="auto" w:fill="FFFFFF"/>
          </w:tcPr>
          <w:p>
            <w:pPr>
              <w:spacing w:before="60" w:after="60"/>
              <w:ind w:left="72"/>
              <w:jc w:val="left"/>
            </w:pPr>
            <w:r>
              <w:rPr>
                <w:sz w:val="18"/>
              </w:rPr>
              <w:t>2022</w:t>
            </w:r>
          </w:p>
        </w:tc>
        <w:tc>
          <w:tcPr>
            <w:tcW w:type="dxa" w:w="3168"/>
            <w:shd w:val="clear" w:color="auto" w:fill="FFFFFF"/>
          </w:tcPr>
          <w:p>
            <w:pPr>
              <w:spacing w:before="60" w:after="60"/>
              <w:ind w:left="72"/>
              <w:jc w:val="right"/>
            </w:pPr>
            <w:r>
              <w:rPr>
                <w:sz w:val="18"/>
              </w:rPr>
              <w:t>~60 000 000</w:t>
            </w:r>
          </w:p>
        </w:tc>
        <w:tc>
          <w:tcPr>
            <w:tcW w:type="dxa" w:w="3600"/>
            <w:shd w:val="clear" w:color="auto" w:fill="FFFFFF"/>
          </w:tcPr>
          <w:p>
            <w:pPr>
              <w:spacing w:before="60" w:after="60"/>
              <w:ind w:left="72"/>
              <w:jc w:val="right"/>
            </w:pPr>
            <w:r>
              <w:rPr>
                <w:sz w:val="18"/>
              </w:rPr>
              <w:t>300 864 619</w:t>
            </w:r>
          </w:p>
        </w:tc>
        <w:tc>
          <w:tcPr>
            <w:tcW w:type="dxa" w:w="2160"/>
            <w:shd w:val="clear" w:color="auto" w:fill="FFFFFF"/>
          </w:tcPr>
          <w:p>
            <w:pPr>
              <w:spacing w:before="60" w:after="60"/>
              <w:ind w:left="72"/>
              <w:jc w:val="right"/>
            </w:pPr>
            <w:r>
              <w:rPr>
                <w:sz w:val="18"/>
              </w:rPr>
              <w:t>+12,5 %</w:t>
            </w:r>
          </w:p>
        </w:tc>
      </w:tr>
      <w:tr>
        <w:tc>
          <w:tcPr>
            <w:tcW w:type="dxa" w:w="1728"/>
            <w:shd w:val="clear" w:color="auto" w:fill="F2F2F2"/>
          </w:tcPr>
          <w:p>
            <w:pPr>
              <w:spacing w:before="60" w:after="60"/>
              <w:ind w:left="72"/>
              <w:jc w:val="left"/>
            </w:pPr>
            <w:r>
              <w:rPr>
                <w:sz w:val="18"/>
              </w:rPr>
              <w:t>2023</w:t>
            </w:r>
          </w:p>
        </w:tc>
        <w:tc>
          <w:tcPr>
            <w:tcW w:type="dxa" w:w="3168"/>
            <w:shd w:val="clear" w:color="auto" w:fill="F2F2F2"/>
          </w:tcPr>
          <w:p>
            <w:pPr>
              <w:spacing w:before="60" w:after="60"/>
              <w:ind w:left="72"/>
              <w:jc w:val="right"/>
            </w:pPr>
            <w:r>
              <w:rPr>
                <w:sz w:val="18"/>
              </w:rPr>
              <w:t>~65 000 000</w:t>
            </w:r>
          </w:p>
        </w:tc>
        <w:tc>
          <w:tcPr>
            <w:tcW w:type="dxa" w:w="3600"/>
            <w:shd w:val="clear" w:color="auto" w:fill="F2F2F2"/>
          </w:tcPr>
          <w:p>
            <w:pPr>
              <w:spacing w:before="60" w:after="60"/>
              <w:ind w:left="72"/>
              <w:jc w:val="right"/>
            </w:pPr>
            <w:r>
              <w:rPr>
                <w:sz w:val="18"/>
              </w:rPr>
              <w:t>345 802 106</w:t>
            </w:r>
          </w:p>
        </w:tc>
        <w:tc>
          <w:tcPr>
            <w:tcW w:type="dxa" w:w="2160"/>
            <w:shd w:val="clear" w:color="auto" w:fill="F2F2F2"/>
          </w:tcPr>
          <w:p>
            <w:pPr>
              <w:spacing w:before="60" w:after="60"/>
              <w:ind w:left="72"/>
              <w:jc w:val="right"/>
            </w:pPr>
            <w:r>
              <w:rPr>
                <w:sz w:val="18"/>
              </w:rPr>
              <w:t>+14,9 %</w:t>
            </w:r>
          </w:p>
        </w:tc>
      </w:tr>
      <w:tr>
        <w:tc>
          <w:tcPr>
            <w:tcW w:type="dxa" w:w="1728"/>
            <w:shd w:val="clear" w:color="auto" w:fill="FFFFFF"/>
          </w:tcPr>
          <w:p>
            <w:pPr>
              <w:spacing w:before="60" w:after="60"/>
              <w:ind w:left="72"/>
              <w:jc w:val="left"/>
            </w:pPr>
            <w:r>
              <w:rPr>
                <w:sz w:val="18"/>
              </w:rPr>
              <w:t>2024</w:t>
            </w:r>
          </w:p>
        </w:tc>
        <w:tc>
          <w:tcPr>
            <w:tcW w:type="dxa" w:w="3168"/>
            <w:shd w:val="clear" w:color="auto" w:fill="FFFFFF"/>
          </w:tcPr>
          <w:p>
            <w:pPr>
              <w:spacing w:before="60" w:after="60"/>
              <w:ind w:left="72"/>
              <w:jc w:val="right"/>
            </w:pPr>
            <w:r>
              <w:rPr>
                <w:sz w:val="18"/>
              </w:rPr>
              <w:t>~80 000 000</w:t>
            </w:r>
          </w:p>
        </w:tc>
        <w:tc>
          <w:tcPr>
            <w:tcW w:type="dxa" w:w="3600"/>
            <w:shd w:val="clear" w:color="auto" w:fill="FFFFFF"/>
          </w:tcPr>
          <w:p>
            <w:pPr>
              <w:spacing w:before="60" w:after="60"/>
              <w:ind w:left="72"/>
              <w:jc w:val="right"/>
            </w:pPr>
            <w:r>
              <w:rPr>
                <w:sz w:val="18"/>
              </w:rPr>
              <w:t>522 177 898</w:t>
            </w:r>
          </w:p>
        </w:tc>
        <w:tc>
          <w:tcPr>
            <w:tcW w:type="dxa" w:w="2160"/>
            <w:shd w:val="clear" w:color="auto" w:fill="FFFFFF"/>
          </w:tcPr>
          <w:p>
            <w:pPr>
              <w:spacing w:before="60" w:after="60"/>
              <w:ind w:left="72"/>
              <w:jc w:val="right"/>
            </w:pPr>
            <w:r>
              <w:rPr>
                <w:sz w:val="18"/>
              </w:rPr>
              <w:t>+51,0 %</w:t>
            </w:r>
          </w:p>
        </w:tc>
      </w:tr>
      <w:tr>
        <w:tc>
          <w:tcPr>
            <w:tcW w:type="dxa" w:w="1728"/>
            <w:shd w:val="clear" w:color="auto" w:fill="F2F2F2"/>
          </w:tcPr>
          <w:p>
            <w:pPr>
              <w:spacing w:before="60" w:after="60"/>
              <w:ind w:left="72"/>
              <w:jc w:val="left"/>
            </w:pPr>
            <w:r>
              <w:rPr>
                <w:sz w:val="18"/>
              </w:rPr>
              <w:t>2025</w:t>
            </w:r>
          </w:p>
        </w:tc>
        <w:tc>
          <w:tcPr>
            <w:tcW w:type="dxa" w:w="3168"/>
            <w:shd w:val="clear" w:color="auto" w:fill="F2F2F2"/>
          </w:tcPr>
          <w:p>
            <w:pPr>
              <w:spacing w:before="60" w:after="60"/>
              <w:ind w:left="72"/>
              <w:jc w:val="right"/>
            </w:pPr>
            <w:r>
              <w:rPr>
                <w:sz w:val="18"/>
              </w:rPr>
              <w:t>243 879 644 *</w:t>
            </w:r>
          </w:p>
        </w:tc>
        <w:tc>
          <w:tcPr>
            <w:tcW w:type="dxa" w:w="3600"/>
            <w:shd w:val="clear" w:color="auto" w:fill="F2F2F2"/>
          </w:tcPr>
          <w:p>
            <w:pPr>
              <w:spacing w:before="60" w:after="60"/>
              <w:ind w:left="72"/>
              <w:jc w:val="right"/>
            </w:pPr>
            <w:r>
              <w:rPr>
                <w:sz w:val="18"/>
              </w:rPr>
              <w:t>729 117 844</w:t>
            </w:r>
          </w:p>
        </w:tc>
        <w:tc>
          <w:tcPr>
            <w:tcW w:type="dxa" w:w="2160"/>
            <w:shd w:val="clear" w:color="auto" w:fill="F2F2F2"/>
          </w:tcPr>
          <w:p>
            <w:pPr>
              <w:spacing w:before="60" w:after="60"/>
              <w:ind w:left="72"/>
              <w:jc w:val="right"/>
            </w:pPr>
            <w:r>
              <w:rPr>
                <w:sz w:val="18"/>
              </w:rPr>
              <w:t>+39,6 %</w:t>
            </w:r>
          </w:p>
        </w:tc>
      </w:tr>
    </w:tbl>
    <w:p>
      <w:pPr>
        <w:spacing w:before="0" w:after="0"/>
      </w:pPr>
      <w:r>
        <w:rPr>
          <w:sz w:val="8"/>
        </w:rPr>
      </w:r>
    </w:p>
    <w:p>
      <w:pPr>
        <w:spacing w:before="40" w:after="80"/>
      </w:pPr>
      <w:r>
        <w:rPr>
          <w:b w:val="0"/>
          <w:i/>
          <w:color w:val="606060"/>
          <w:sz w:val="17"/>
        </w:rPr>
        <w:t>* CA officiel 2025 selon les états financiers produits par le cabinet comptable.</w:t>
      </w:r>
    </w:p>
    <w:p>
      <w:pPr>
        <w:spacing w:before="0" w:after="0"/>
      </w:pPr>
      <w:r>
        <w:rPr>
          <w:sz w:val="8"/>
        </w:rPr>
      </w:r>
    </w:p>
    <w:p>
      <w:pPr>
        <w:spacing w:before="40" w:after="80"/>
      </w:pPr>
      <w:r>
        <w:rPr>
          <w:b/>
          <w:i w:val="0"/>
          <w:color w:val="000000"/>
          <w:sz w:val="20"/>
        </w:rPr>
        <w:t>TCAM (Taux de Croissance Annuel Moyen) 2021-2025 : 28,5 % sur la base du CA facturation.</w:t>
      </w:r>
    </w:p>
    <w:p>
      <w:pPr>
        <w:spacing w:before="240" w:after="120"/>
      </w:pPr>
      <w:r>
        <w:rPr>
          <w:b/>
          <w:color w:val="2E75B6"/>
          <w:sz w:val="26"/>
        </w:rPr>
        <w:t>2.2 Compte de résultat 2025 (états financiers officiels)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032"/>
            <w:shd w:val="clear" w:color="auto" w:fill="1B3A5C"/>
            <w:vAlign w:val="center"/>
          </w:tcPr>
          <w:p>
            <w:pPr>
              <w:spacing w:before="80" w:after="80"/>
              <w:jc w:val="center"/>
            </w:pPr>
            <w:r>
              <w:rPr>
                <w:b/>
                <w:color w:val="FFFFFF"/>
                <w:sz w:val="18"/>
              </w:rPr>
              <w:t>Poste</w:t>
            </w:r>
          </w:p>
        </w:tc>
        <w:tc>
          <w:tcPr>
            <w:tcW w:type="dxa" w:w="2592"/>
            <w:shd w:val="clear" w:color="auto" w:fill="1B3A5C"/>
            <w:vAlign w:val="center"/>
          </w:tcPr>
          <w:p>
            <w:pPr>
              <w:spacing w:before="80" w:after="80"/>
              <w:jc w:val="center"/>
            </w:pPr>
            <w:r>
              <w:rPr>
                <w:b/>
                <w:color w:val="FFFFFF"/>
                <w:sz w:val="18"/>
              </w:rPr>
              <w:t>Exercice 2025 (FCFA)</w:t>
            </w:r>
          </w:p>
        </w:tc>
        <w:tc>
          <w:tcPr>
            <w:tcW w:type="dxa" w:w="2592"/>
            <w:shd w:val="clear" w:color="auto" w:fill="1B3A5C"/>
            <w:vAlign w:val="center"/>
          </w:tcPr>
          <w:p>
            <w:pPr>
              <w:spacing w:before="80" w:after="80"/>
              <w:jc w:val="center"/>
            </w:pPr>
            <w:r>
              <w:rPr>
                <w:b/>
                <w:color w:val="FFFFFF"/>
                <w:sz w:val="18"/>
              </w:rPr>
              <w:t>Exercice 2024 (FCFA)</w:t>
            </w:r>
          </w:p>
        </w:tc>
        <w:tc>
          <w:tcPr>
            <w:tcW w:type="dxa" w:w="2880"/>
            <w:shd w:val="clear" w:color="auto" w:fill="1B3A5C"/>
            <w:vAlign w:val="center"/>
          </w:tcPr>
          <w:p>
            <w:pPr>
              <w:spacing w:before="80" w:after="80"/>
              <w:jc w:val="center"/>
            </w:pPr>
            <w:r>
              <w:rPr>
                <w:b/>
                <w:color w:val="FFFFFF"/>
                <w:sz w:val="18"/>
              </w:rPr>
              <w:t>Commentaire</w:t>
            </w:r>
          </w:p>
        </w:tc>
      </w:tr>
      <w:tr>
        <w:tc>
          <w:tcPr>
            <w:tcW w:type="dxa" w:w="4032"/>
            <w:shd w:val="clear" w:color="auto" w:fill="F2F2F2"/>
          </w:tcPr>
          <w:p>
            <w:pPr>
              <w:spacing w:before="60" w:after="60"/>
              <w:ind w:left="72"/>
              <w:jc w:val="left"/>
            </w:pPr>
            <w:r>
              <w:rPr>
                <w:sz w:val="18"/>
              </w:rPr>
              <w:t>Chiffre d'affaires</w:t>
            </w:r>
          </w:p>
        </w:tc>
        <w:tc>
          <w:tcPr>
            <w:tcW w:type="dxa" w:w="2592"/>
            <w:shd w:val="clear" w:color="auto" w:fill="F2F2F2"/>
          </w:tcPr>
          <w:p>
            <w:pPr>
              <w:spacing w:before="60" w:after="60"/>
              <w:ind w:left="72"/>
              <w:jc w:val="right"/>
            </w:pPr>
            <w:r>
              <w:rPr>
                <w:sz w:val="18"/>
              </w:rPr>
              <w:t>243 879 644</w:t>
            </w:r>
          </w:p>
        </w:tc>
        <w:tc>
          <w:tcPr>
            <w:tcW w:type="dxa" w:w="2592"/>
            <w:shd w:val="clear" w:color="auto" w:fill="F2F2F2"/>
          </w:tcPr>
          <w:p>
            <w:pPr>
              <w:spacing w:before="60" w:after="60"/>
              <w:ind w:left="72"/>
              <w:jc w:val="right"/>
            </w:pPr>
            <w:r>
              <w:rPr>
                <w:sz w:val="18"/>
              </w:rPr>
              <w:t>86 540 000</w:t>
            </w:r>
          </w:p>
        </w:tc>
        <w:tc>
          <w:tcPr>
            <w:tcW w:type="dxa" w:w="2880"/>
            <w:shd w:val="clear" w:color="auto" w:fill="F2F2F2"/>
          </w:tcPr>
          <w:p>
            <w:pPr>
              <w:spacing w:before="60" w:after="60"/>
              <w:ind w:left="72"/>
              <w:jc w:val="right"/>
            </w:pPr>
            <w:r>
              <w:rPr>
                <w:sz w:val="18"/>
              </w:rPr>
              <w:t>Hausse de +181,9 %</w:t>
            </w:r>
          </w:p>
        </w:tc>
      </w:tr>
      <w:tr>
        <w:tc>
          <w:tcPr>
            <w:tcW w:type="dxa" w:w="4032"/>
            <w:shd w:val="clear" w:color="auto" w:fill="FFFFFF"/>
          </w:tcPr>
          <w:p>
            <w:pPr>
              <w:spacing w:before="60" w:after="60"/>
              <w:ind w:left="72"/>
              <w:jc w:val="left"/>
            </w:pPr>
            <w:r>
              <w:rPr>
                <w:sz w:val="18"/>
              </w:rPr>
              <w:t>Autres produits</w:t>
            </w:r>
          </w:p>
        </w:tc>
        <w:tc>
          <w:tcPr>
            <w:tcW w:type="dxa" w:w="2592"/>
            <w:shd w:val="clear" w:color="auto" w:fill="FFFFFF"/>
          </w:tcPr>
          <w:p>
            <w:pPr>
              <w:spacing w:before="60" w:after="60"/>
              <w:ind w:left="72"/>
              <w:jc w:val="right"/>
            </w:pPr>
            <w:r>
              <w:rPr>
                <w:sz w:val="18"/>
              </w:rPr>
              <w:t>3 393 212</w:t>
            </w:r>
          </w:p>
        </w:tc>
        <w:tc>
          <w:tcPr>
            <w:tcW w:type="dxa" w:w="2592"/>
            <w:shd w:val="clear" w:color="auto" w:fill="FFFFFF"/>
          </w:tcPr>
          <w:p>
            <w:pPr>
              <w:spacing w:before="60" w:after="60"/>
              <w:ind w:left="72"/>
              <w:jc w:val="right"/>
            </w:pPr>
            <w:r>
              <w:rPr>
                <w:sz w:val="18"/>
              </w:rPr>
              <w:t>—</w:t>
            </w:r>
          </w:p>
        </w:tc>
        <w:tc>
          <w:tcPr>
            <w:tcW w:type="dxa" w:w="2880"/>
            <w:shd w:val="clear" w:color="auto" w:fill="FFFFFF"/>
          </w:tcPr>
          <w:p>
            <w:pPr>
              <w:spacing w:before="60" w:after="60"/>
              <w:ind w:left="72"/>
              <w:jc w:val="right"/>
            </w:pPr>
            <w:r>
              <w:rPr>
                <w:sz w:val="18"/>
              </w:rPr>
              <w:t>Produits accessoires</w:t>
            </w:r>
          </w:p>
        </w:tc>
      </w:tr>
      <w:tr>
        <w:tc>
          <w:tcPr>
            <w:tcW w:type="dxa" w:w="4032"/>
            <w:shd w:val="clear" w:color="auto" w:fill="F2F2F2"/>
          </w:tcPr>
          <w:p>
            <w:pPr>
              <w:spacing w:before="60" w:after="60"/>
              <w:ind w:left="72"/>
              <w:jc w:val="left"/>
            </w:pPr>
            <w:r>
              <w:rPr>
                <w:sz w:val="18"/>
              </w:rPr>
              <w:t>Services extérieurs</w:t>
            </w:r>
          </w:p>
        </w:tc>
        <w:tc>
          <w:tcPr>
            <w:tcW w:type="dxa" w:w="2592"/>
            <w:shd w:val="clear" w:color="auto" w:fill="F2F2F2"/>
          </w:tcPr>
          <w:p>
            <w:pPr>
              <w:spacing w:before="60" w:after="60"/>
              <w:ind w:left="72"/>
              <w:jc w:val="right"/>
            </w:pPr>
            <w:r>
              <w:rPr>
                <w:sz w:val="18"/>
              </w:rPr>
              <w:t>-152 101 459</w:t>
            </w:r>
          </w:p>
        </w:tc>
        <w:tc>
          <w:tcPr>
            <w:tcW w:type="dxa" w:w="2592"/>
            <w:shd w:val="clear" w:color="auto" w:fill="F2F2F2"/>
          </w:tcPr>
          <w:p>
            <w:pPr>
              <w:spacing w:before="60" w:after="60"/>
              <w:ind w:left="72"/>
              <w:jc w:val="right"/>
            </w:pPr>
            <w:r>
              <w:rPr>
                <w:sz w:val="18"/>
              </w:rPr>
              <w:t>—</w:t>
            </w:r>
          </w:p>
        </w:tc>
        <w:tc>
          <w:tcPr>
            <w:tcW w:type="dxa" w:w="2880"/>
            <w:shd w:val="clear" w:color="auto" w:fill="F2F2F2"/>
          </w:tcPr>
          <w:p>
            <w:pPr>
              <w:spacing w:before="60" w:after="60"/>
              <w:ind w:left="72"/>
              <w:jc w:val="right"/>
            </w:pPr>
            <w:r>
              <w:rPr>
                <w:sz w:val="18"/>
              </w:rPr>
              <w:t>Inclut main-d'œuvre externalisée</w:t>
            </w:r>
          </w:p>
        </w:tc>
      </w:tr>
      <w:tr>
        <w:tc>
          <w:tcPr>
            <w:tcW w:type="dxa" w:w="4032"/>
            <w:shd w:val="clear" w:color="auto" w:fill="FFFFFF"/>
          </w:tcPr>
          <w:p>
            <w:pPr>
              <w:spacing w:before="60" w:after="60"/>
              <w:ind w:left="72"/>
              <w:jc w:val="left"/>
            </w:pPr>
            <w:r>
              <w:rPr>
                <w:sz w:val="18"/>
              </w:rPr>
              <w:t>Impôts et taxes</w:t>
            </w:r>
          </w:p>
        </w:tc>
        <w:tc>
          <w:tcPr>
            <w:tcW w:type="dxa" w:w="2592"/>
            <w:shd w:val="clear" w:color="auto" w:fill="FFFFFF"/>
          </w:tcPr>
          <w:p>
            <w:pPr>
              <w:spacing w:before="60" w:after="60"/>
              <w:ind w:left="72"/>
              <w:jc w:val="right"/>
            </w:pPr>
            <w:r>
              <w:rPr>
                <w:sz w:val="18"/>
              </w:rPr>
              <w:t>-5 980 832</w:t>
            </w:r>
          </w:p>
        </w:tc>
        <w:tc>
          <w:tcPr>
            <w:tcW w:type="dxa" w:w="2592"/>
            <w:shd w:val="clear" w:color="auto" w:fill="FFFFFF"/>
          </w:tcPr>
          <w:p>
            <w:pPr>
              <w:spacing w:before="60" w:after="60"/>
              <w:ind w:left="72"/>
              <w:jc w:val="right"/>
            </w:pPr>
            <w:r>
              <w:rPr>
                <w:sz w:val="18"/>
              </w:rPr>
              <w:t>-8 896 060</w:t>
            </w:r>
          </w:p>
        </w:tc>
        <w:tc>
          <w:tcPr>
            <w:tcW w:type="dxa" w:w="2880"/>
            <w:shd w:val="clear" w:color="auto" w:fill="FFFFFF"/>
          </w:tcPr>
          <w:p>
            <w:pPr>
              <w:spacing w:before="60" w:after="60"/>
              <w:ind w:left="72"/>
              <w:jc w:val="right"/>
            </w:pPr>
            <w:r>
              <w:rPr>
                <w:sz w:val="18"/>
              </w:rPr>
            </w:r>
          </w:p>
        </w:tc>
      </w:tr>
      <w:tr>
        <w:tc>
          <w:tcPr>
            <w:tcW w:type="dxa" w:w="4032"/>
            <w:shd w:val="clear" w:color="auto" w:fill="F2F2F2"/>
          </w:tcPr>
          <w:p>
            <w:pPr>
              <w:spacing w:before="60" w:after="60"/>
              <w:ind w:left="72"/>
              <w:jc w:val="left"/>
            </w:pPr>
            <w:r>
              <w:rPr>
                <w:sz w:val="18"/>
              </w:rPr>
              <w:t>Autres charges</w:t>
            </w:r>
          </w:p>
        </w:tc>
        <w:tc>
          <w:tcPr>
            <w:tcW w:type="dxa" w:w="2592"/>
            <w:shd w:val="clear" w:color="auto" w:fill="F2F2F2"/>
          </w:tcPr>
          <w:p>
            <w:pPr>
              <w:spacing w:before="60" w:after="60"/>
              <w:ind w:left="72"/>
              <w:jc w:val="right"/>
            </w:pPr>
            <w:r>
              <w:rPr>
                <w:sz w:val="18"/>
              </w:rPr>
              <w:t>-4 671 930</w:t>
            </w:r>
          </w:p>
        </w:tc>
        <w:tc>
          <w:tcPr>
            <w:tcW w:type="dxa" w:w="2592"/>
            <w:shd w:val="clear" w:color="auto" w:fill="F2F2F2"/>
          </w:tcPr>
          <w:p>
            <w:pPr>
              <w:spacing w:before="60" w:after="60"/>
              <w:ind w:left="72"/>
              <w:jc w:val="right"/>
            </w:pPr>
            <w:r>
              <w:rPr>
                <w:sz w:val="18"/>
              </w:rPr>
              <w:t>-29 768 429</w:t>
            </w:r>
          </w:p>
        </w:tc>
        <w:tc>
          <w:tcPr>
            <w:tcW w:type="dxa" w:w="2880"/>
            <w:shd w:val="clear" w:color="auto" w:fill="F2F2F2"/>
          </w:tcPr>
          <w:p>
            <w:pPr>
              <w:spacing w:before="60" w:after="60"/>
              <w:ind w:left="72"/>
              <w:jc w:val="right"/>
            </w:pPr>
            <w:r>
              <w:rPr>
                <w:sz w:val="18"/>
              </w:rPr>
            </w:r>
          </w:p>
        </w:tc>
      </w:tr>
      <w:tr>
        <w:tc>
          <w:tcPr>
            <w:tcW w:type="dxa" w:w="4032"/>
            <w:shd w:val="clear" w:color="auto" w:fill="FFFFFF"/>
          </w:tcPr>
          <w:p>
            <w:pPr>
              <w:spacing w:before="60" w:after="60"/>
              <w:ind w:left="72"/>
              <w:jc w:val="left"/>
            </w:pPr>
            <w:r>
              <w:rPr>
                <w:sz w:val="18"/>
              </w:rPr>
              <w:t>VALEUR AJOUTÉE (VA)</w:t>
            </w:r>
          </w:p>
        </w:tc>
        <w:tc>
          <w:tcPr>
            <w:tcW w:type="dxa" w:w="2592"/>
            <w:shd w:val="clear" w:color="auto" w:fill="FFFFFF"/>
          </w:tcPr>
          <w:p>
            <w:pPr>
              <w:spacing w:before="60" w:after="60"/>
              <w:ind w:left="72"/>
              <w:jc w:val="right"/>
            </w:pPr>
            <w:r>
              <w:rPr>
                <w:sz w:val="18"/>
              </w:rPr>
              <w:t>83 518 635</w:t>
            </w:r>
          </w:p>
        </w:tc>
        <w:tc>
          <w:tcPr>
            <w:tcW w:type="dxa" w:w="2592"/>
            <w:shd w:val="clear" w:color="auto" w:fill="FFFFFF"/>
          </w:tcPr>
          <w:p>
            <w:pPr>
              <w:spacing w:before="60" w:after="60"/>
              <w:ind w:left="72"/>
              <w:jc w:val="right"/>
            </w:pPr>
            <w:r>
              <w:rPr>
                <w:sz w:val="18"/>
              </w:rPr>
              <w:t>47 875 511</w:t>
            </w:r>
          </w:p>
        </w:tc>
        <w:tc>
          <w:tcPr>
            <w:tcW w:type="dxa" w:w="2880"/>
            <w:shd w:val="clear" w:color="auto" w:fill="FFFFFF"/>
          </w:tcPr>
          <w:p>
            <w:pPr>
              <w:spacing w:before="60" w:after="60"/>
              <w:ind w:left="72"/>
              <w:jc w:val="right"/>
            </w:pPr>
            <w:r>
              <w:rPr>
                <w:sz w:val="18"/>
              </w:rPr>
              <w:t>Marge VA : 34,2 %</w:t>
            </w:r>
          </w:p>
        </w:tc>
      </w:tr>
      <w:tr>
        <w:tc>
          <w:tcPr>
            <w:tcW w:type="dxa" w:w="4032"/>
            <w:shd w:val="clear" w:color="auto" w:fill="F2F2F2"/>
          </w:tcPr>
          <w:p>
            <w:pPr>
              <w:spacing w:before="60" w:after="60"/>
              <w:ind w:left="72"/>
              <w:jc w:val="left"/>
            </w:pPr>
            <w:r>
              <w:rPr>
                <w:sz w:val="18"/>
              </w:rPr>
              <w:t>Charges de personnel internes</w:t>
            </w:r>
          </w:p>
        </w:tc>
        <w:tc>
          <w:tcPr>
            <w:tcW w:type="dxa" w:w="2592"/>
            <w:shd w:val="clear" w:color="auto" w:fill="F2F2F2"/>
          </w:tcPr>
          <w:p>
            <w:pPr>
              <w:spacing w:before="60" w:after="60"/>
              <w:ind w:left="72"/>
              <w:jc w:val="right"/>
            </w:pPr>
            <w:r>
              <w:rPr>
                <w:sz w:val="18"/>
              </w:rPr>
              <w:t>-21 113 299</w:t>
            </w:r>
          </w:p>
        </w:tc>
        <w:tc>
          <w:tcPr>
            <w:tcW w:type="dxa" w:w="2592"/>
            <w:shd w:val="clear" w:color="auto" w:fill="F2F2F2"/>
          </w:tcPr>
          <w:p>
            <w:pPr>
              <w:spacing w:before="60" w:after="60"/>
              <w:ind w:left="72"/>
              <w:jc w:val="right"/>
            </w:pPr>
            <w:r>
              <w:rPr>
                <w:sz w:val="18"/>
              </w:rPr>
              <w:t>-63 175 511</w:t>
            </w:r>
          </w:p>
        </w:tc>
        <w:tc>
          <w:tcPr>
            <w:tcW w:type="dxa" w:w="2880"/>
            <w:shd w:val="clear" w:color="auto" w:fill="F2F2F2"/>
          </w:tcPr>
          <w:p>
            <w:pPr>
              <w:spacing w:before="60" w:after="60"/>
              <w:ind w:left="72"/>
              <w:jc w:val="right"/>
            </w:pPr>
            <w:r>
              <w:rPr>
                <w:sz w:val="18"/>
              </w:rPr>
              <w:t>Équipe AT225 (6 pers.)</w:t>
            </w:r>
          </w:p>
        </w:tc>
      </w:tr>
      <w:tr>
        <w:tc>
          <w:tcPr>
            <w:tcW w:type="dxa" w:w="4032"/>
            <w:shd w:val="clear" w:color="auto" w:fill="FFFFFF"/>
          </w:tcPr>
          <w:p>
            <w:pPr>
              <w:spacing w:before="60" w:after="60"/>
              <w:ind w:left="72"/>
              <w:jc w:val="left"/>
            </w:pPr>
            <w:r>
              <w:rPr>
                <w:sz w:val="18"/>
              </w:rPr>
              <w:t>EBITDA / EBE</w:t>
            </w:r>
          </w:p>
        </w:tc>
        <w:tc>
          <w:tcPr>
            <w:tcW w:type="dxa" w:w="2592"/>
            <w:shd w:val="clear" w:color="auto" w:fill="FFFFFF"/>
          </w:tcPr>
          <w:p>
            <w:pPr>
              <w:spacing w:before="60" w:after="60"/>
              <w:ind w:left="72"/>
              <w:jc w:val="right"/>
            </w:pPr>
            <w:r>
              <w:rPr>
                <w:sz w:val="18"/>
              </w:rPr>
              <w:t>62 405 336</w:t>
            </w:r>
          </w:p>
        </w:tc>
        <w:tc>
          <w:tcPr>
            <w:tcW w:type="dxa" w:w="2592"/>
            <w:shd w:val="clear" w:color="auto" w:fill="FFFFFF"/>
          </w:tcPr>
          <w:p>
            <w:pPr>
              <w:spacing w:before="60" w:after="60"/>
              <w:ind w:left="72"/>
              <w:jc w:val="right"/>
            </w:pPr>
            <w:r>
              <w:rPr>
                <w:sz w:val="18"/>
              </w:rPr>
              <w:t>-15 300 000</w:t>
            </w:r>
          </w:p>
        </w:tc>
        <w:tc>
          <w:tcPr>
            <w:tcW w:type="dxa" w:w="2880"/>
            <w:shd w:val="clear" w:color="auto" w:fill="FFFFFF"/>
          </w:tcPr>
          <w:p>
            <w:pPr>
              <w:spacing w:before="60" w:after="60"/>
              <w:ind w:left="72"/>
              <w:jc w:val="right"/>
            </w:pPr>
            <w:r>
              <w:rPr>
                <w:sz w:val="18"/>
              </w:rPr>
              <w:t>Marge EBITDA : 25,6 %</w:t>
            </w:r>
          </w:p>
        </w:tc>
      </w:tr>
      <w:tr>
        <w:tc>
          <w:tcPr>
            <w:tcW w:type="dxa" w:w="4032"/>
            <w:shd w:val="clear" w:color="auto" w:fill="F2F2F2"/>
          </w:tcPr>
          <w:p>
            <w:pPr>
              <w:spacing w:before="60" w:after="60"/>
              <w:ind w:left="72"/>
              <w:jc w:val="left"/>
            </w:pPr>
            <w:r>
              <w:rPr>
                <w:sz w:val="18"/>
              </w:rPr>
              <w:t>Dotations amortissements</w:t>
            </w:r>
          </w:p>
        </w:tc>
        <w:tc>
          <w:tcPr>
            <w:tcW w:type="dxa" w:w="2592"/>
            <w:shd w:val="clear" w:color="auto" w:fill="F2F2F2"/>
          </w:tcPr>
          <w:p>
            <w:pPr>
              <w:spacing w:before="60" w:after="60"/>
              <w:ind w:left="72"/>
              <w:jc w:val="right"/>
            </w:pPr>
            <w:r>
              <w:rPr>
                <w:sz w:val="18"/>
              </w:rPr>
              <w:t>0</w:t>
            </w:r>
          </w:p>
        </w:tc>
        <w:tc>
          <w:tcPr>
            <w:tcW w:type="dxa" w:w="2592"/>
            <w:shd w:val="clear" w:color="auto" w:fill="F2F2F2"/>
          </w:tcPr>
          <w:p>
            <w:pPr>
              <w:spacing w:before="60" w:after="60"/>
              <w:ind w:left="72"/>
              <w:jc w:val="right"/>
            </w:pPr>
            <w:r>
              <w:rPr>
                <w:sz w:val="18"/>
              </w:rPr>
              <w:t>0</w:t>
            </w:r>
          </w:p>
        </w:tc>
        <w:tc>
          <w:tcPr>
            <w:tcW w:type="dxa" w:w="2880"/>
            <w:shd w:val="clear" w:color="auto" w:fill="F2F2F2"/>
          </w:tcPr>
          <w:p>
            <w:pPr>
              <w:spacing w:before="60" w:after="60"/>
              <w:ind w:left="72"/>
              <w:jc w:val="right"/>
            </w:pPr>
            <w:r>
              <w:rPr>
                <w:sz w:val="18"/>
              </w:rPr>
              <w:t>Non constatées en 2025</w:t>
            </w:r>
          </w:p>
        </w:tc>
      </w:tr>
      <w:tr>
        <w:tc>
          <w:tcPr>
            <w:tcW w:type="dxa" w:w="4032"/>
            <w:shd w:val="clear" w:color="auto" w:fill="FFFFFF"/>
          </w:tcPr>
          <w:p>
            <w:pPr>
              <w:spacing w:before="60" w:after="60"/>
              <w:ind w:left="72"/>
              <w:jc w:val="left"/>
            </w:pPr>
            <w:r>
              <w:rPr>
                <w:sz w:val="18"/>
              </w:rPr>
              <w:t>Résultat financier</w:t>
            </w:r>
          </w:p>
        </w:tc>
        <w:tc>
          <w:tcPr>
            <w:tcW w:type="dxa" w:w="2592"/>
            <w:shd w:val="clear" w:color="auto" w:fill="FFFFFF"/>
          </w:tcPr>
          <w:p>
            <w:pPr>
              <w:spacing w:before="60" w:after="60"/>
              <w:ind w:left="72"/>
              <w:jc w:val="right"/>
            </w:pPr>
            <w:r>
              <w:rPr>
                <w:sz w:val="18"/>
              </w:rPr>
              <w:t>0</w:t>
            </w:r>
          </w:p>
        </w:tc>
        <w:tc>
          <w:tcPr>
            <w:tcW w:type="dxa" w:w="2592"/>
            <w:shd w:val="clear" w:color="auto" w:fill="FFFFFF"/>
          </w:tcPr>
          <w:p>
            <w:pPr>
              <w:spacing w:before="60" w:after="60"/>
              <w:ind w:left="72"/>
              <w:jc w:val="right"/>
            </w:pPr>
            <w:r>
              <w:rPr>
                <w:sz w:val="18"/>
              </w:rPr>
              <w:t>0</w:t>
            </w:r>
          </w:p>
        </w:tc>
        <w:tc>
          <w:tcPr>
            <w:tcW w:type="dxa" w:w="2880"/>
            <w:shd w:val="clear" w:color="auto" w:fill="FFFFFF"/>
          </w:tcPr>
          <w:p>
            <w:pPr>
              <w:spacing w:before="60" w:after="60"/>
              <w:ind w:left="72"/>
              <w:jc w:val="right"/>
            </w:pPr>
            <w:r>
              <w:rPr>
                <w:sz w:val="18"/>
              </w:rPr>
            </w:r>
          </w:p>
        </w:tc>
      </w:tr>
      <w:tr>
        <w:tc>
          <w:tcPr>
            <w:tcW w:type="dxa" w:w="4032"/>
            <w:shd w:val="clear" w:color="auto" w:fill="F2F2F2"/>
          </w:tcPr>
          <w:p>
            <w:pPr>
              <w:spacing w:before="60" w:after="60"/>
              <w:ind w:left="72"/>
              <w:jc w:val="left"/>
            </w:pPr>
            <w:r>
              <w:rPr>
                <w:sz w:val="18"/>
              </w:rPr>
              <w:t>RÉSULTAT NET</w:t>
            </w:r>
          </w:p>
        </w:tc>
        <w:tc>
          <w:tcPr>
            <w:tcW w:type="dxa" w:w="2592"/>
            <w:shd w:val="clear" w:color="auto" w:fill="F2F2F2"/>
          </w:tcPr>
          <w:p>
            <w:pPr>
              <w:spacing w:before="60" w:after="60"/>
              <w:ind w:left="72"/>
              <w:jc w:val="right"/>
            </w:pPr>
            <w:r>
              <w:rPr>
                <w:sz w:val="18"/>
              </w:rPr>
              <w:t>62 405 336</w:t>
            </w:r>
          </w:p>
        </w:tc>
        <w:tc>
          <w:tcPr>
            <w:tcW w:type="dxa" w:w="2592"/>
            <w:shd w:val="clear" w:color="auto" w:fill="F2F2F2"/>
          </w:tcPr>
          <w:p>
            <w:pPr>
              <w:spacing w:before="60" w:after="60"/>
              <w:ind w:left="72"/>
              <w:jc w:val="right"/>
            </w:pPr>
            <w:r>
              <w:rPr>
                <w:sz w:val="18"/>
              </w:rPr>
              <w:t>-15 300 000</w:t>
            </w:r>
          </w:p>
        </w:tc>
        <w:tc>
          <w:tcPr>
            <w:tcW w:type="dxa" w:w="2880"/>
            <w:shd w:val="clear" w:color="auto" w:fill="F2F2F2"/>
          </w:tcPr>
          <w:p>
            <w:pPr>
              <w:spacing w:before="60" w:after="60"/>
              <w:ind w:left="72"/>
              <w:jc w:val="right"/>
            </w:pPr>
            <w:r>
              <w:rPr>
                <w:sz w:val="18"/>
              </w:rPr>
              <w:t>Retour à la rentabilité</w:t>
            </w:r>
          </w:p>
        </w:tc>
      </w:tr>
    </w:tbl>
    <w:p>
      <w:pPr>
        <w:spacing w:before="0" w:after="0"/>
      </w:pPr>
      <w:r>
        <w:rPr>
          <w:sz w:val="8"/>
        </w:rPr>
      </w:r>
    </w:p>
    <w:p>
      <w:pPr>
        <w:spacing w:before="240" w:after="120"/>
      </w:pPr>
      <w:r>
        <w:rPr>
          <w:b/>
          <w:color w:val="2E75B6"/>
          <w:sz w:val="26"/>
        </w:rPr>
        <w:t>2.3 Bilan au 31/12/2025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00"/>
            <w:shd w:val="clear" w:color="auto" w:fill="1B3A5C"/>
            <w:vAlign w:val="center"/>
          </w:tcPr>
          <w:p>
            <w:pPr>
              <w:spacing w:before="80" w:after="80"/>
              <w:jc w:val="center"/>
            </w:pPr>
            <w:r>
              <w:rPr>
                <w:b/>
                <w:color w:val="FFFFFF"/>
                <w:sz w:val="18"/>
              </w:rPr>
              <w:t>ACTIF (FCFA)</w:t>
            </w:r>
          </w:p>
        </w:tc>
        <w:tc>
          <w:tcPr>
            <w:tcW w:type="dxa" w:w="2160"/>
            <w:shd w:val="clear" w:color="auto" w:fill="1B3A5C"/>
            <w:vAlign w:val="center"/>
          </w:tcPr>
          <w:p>
            <w:pPr>
              <w:spacing w:before="80" w:after="80"/>
              <w:jc w:val="center"/>
            </w:pPr>
            <w:r>
              <w:rPr>
                <w:b/>
                <w:color w:val="FFFFFF"/>
                <w:sz w:val="18"/>
              </w:rPr>
              <w:t>Montant Net</w:t>
            </w:r>
          </w:p>
        </w:tc>
        <w:tc>
          <w:tcPr>
            <w:tcW w:type="dxa" w:w="3600"/>
            <w:shd w:val="clear" w:color="auto" w:fill="1B3A5C"/>
            <w:vAlign w:val="center"/>
          </w:tcPr>
          <w:p>
            <w:pPr>
              <w:spacing w:before="80" w:after="80"/>
              <w:jc w:val="center"/>
            </w:pPr>
            <w:r>
              <w:rPr>
                <w:b/>
                <w:color w:val="FFFFFF"/>
                <w:sz w:val="18"/>
              </w:rPr>
              <w:t>PASSIF (FCFA)</w:t>
            </w:r>
          </w:p>
        </w:tc>
        <w:tc>
          <w:tcPr>
            <w:tcW w:type="dxa" w:w="2160"/>
            <w:shd w:val="clear" w:color="auto" w:fill="1B3A5C"/>
            <w:vAlign w:val="center"/>
          </w:tcPr>
          <w:p>
            <w:pPr>
              <w:spacing w:before="80" w:after="80"/>
              <w:jc w:val="center"/>
            </w:pPr>
            <w:r>
              <w:rPr>
                <w:b/>
                <w:color w:val="FFFFFF"/>
                <w:sz w:val="18"/>
              </w:rPr>
              <w:t>Montant Net</w:t>
            </w:r>
          </w:p>
        </w:tc>
      </w:tr>
      <w:tr>
        <w:tc>
          <w:tcPr>
            <w:tcW w:type="dxa" w:w="3600"/>
            <w:shd w:val="clear" w:color="auto" w:fill="F2F2F2"/>
          </w:tcPr>
          <w:p>
            <w:pPr>
              <w:spacing w:before="60" w:after="60"/>
              <w:ind w:left="72"/>
              <w:jc w:val="left"/>
            </w:pPr>
            <w:r>
              <w:rPr>
                <w:sz w:val="18"/>
              </w:rPr>
              <w:t>Immos incorporelles (logiciels)</w:t>
            </w:r>
          </w:p>
        </w:tc>
        <w:tc>
          <w:tcPr>
            <w:tcW w:type="dxa" w:w="2160"/>
            <w:shd w:val="clear" w:color="auto" w:fill="F2F2F2"/>
          </w:tcPr>
          <w:p>
            <w:pPr>
              <w:spacing w:before="60" w:after="60"/>
              <w:ind w:left="72"/>
              <w:jc w:val="right"/>
            </w:pPr>
            <w:r>
              <w:rPr>
                <w:sz w:val="18"/>
              </w:rPr>
              <w:t>9 015 464</w:t>
            </w:r>
          </w:p>
        </w:tc>
        <w:tc>
          <w:tcPr>
            <w:tcW w:type="dxa" w:w="3600"/>
            <w:shd w:val="clear" w:color="auto" w:fill="F2F2F2"/>
          </w:tcPr>
          <w:p>
            <w:pPr>
              <w:spacing w:before="60" w:after="60"/>
              <w:ind w:left="72"/>
              <w:jc w:val="right"/>
            </w:pPr>
            <w:r>
              <w:rPr>
                <w:sz w:val="18"/>
              </w:rPr>
              <w:t>Capital social</w:t>
            </w:r>
          </w:p>
        </w:tc>
        <w:tc>
          <w:tcPr>
            <w:tcW w:type="dxa" w:w="2160"/>
            <w:shd w:val="clear" w:color="auto" w:fill="F2F2F2"/>
          </w:tcPr>
          <w:p>
            <w:pPr>
              <w:spacing w:before="60" w:after="60"/>
              <w:ind w:left="72"/>
              <w:jc w:val="right"/>
            </w:pPr>
            <w:r>
              <w:rPr>
                <w:sz w:val="18"/>
              </w:rPr>
              <w:t>1 000 000</w:t>
            </w:r>
          </w:p>
        </w:tc>
      </w:tr>
      <w:tr>
        <w:tc>
          <w:tcPr>
            <w:tcW w:type="dxa" w:w="3600"/>
            <w:shd w:val="clear" w:color="auto" w:fill="FFFFFF"/>
          </w:tcPr>
          <w:p>
            <w:pPr>
              <w:spacing w:before="60" w:after="60"/>
              <w:ind w:left="72"/>
              <w:jc w:val="left"/>
            </w:pPr>
            <w:r>
              <w:rPr>
                <w:sz w:val="18"/>
              </w:rPr>
              <w:t>Immos corporelles (mat./transport)</w:t>
            </w:r>
          </w:p>
        </w:tc>
        <w:tc>
          <w:tcPr>
            <w:tcW w:type="dxa" w:w="2160"/>
            <w:shd w:val="clear" w:color="auto" w:fill="FFFFFF"/>
          </w:tcPr>
          <w:p>
            <w:pPr>
              <w:spacing w:before="60" w:after="60"/>
              <w:ind w:left="72"/>
              <w:jc w:val="right"/>
            </w:pPr>
            <w:r>
              <w:rPr>
                <w:sz w:val="18"/>
              </w:rPr>
              <w:t>13 181 973</w:t>
            </w:r>
          </w:p>
        </w:tc>
        <w:tc>
          <w:tcPr>
            <w:tcW w:type="dxa" w:w="3600"/>
            <w:shd w:val="clear" w:color="auto" w:fill="FFFFFF"/>
          </w:tcPr>
          <w:p>
            <w:pPr>
              <w:spacing w:before="60" w:after="60"/>
              <w:ind w:left="72"/>
              <w:jc w:val="right"/>
            </w:pPr>
            <w:r>
              <w:rPr>
                <w:sz w:val="18"/>
              </w:rPr>
              <w:t>Report à nouveau</w:t>
            </w:r>
          </w:p>
        </w:tc>
        <w:tc>
          <w:tcPr>
            <w:tcW w:type="dxa" w:w="2160"/>
            <w:shd w:val="clear" w:color="auto" w:fill="FFFFFF"/>
          </w:tcPr>
          <w:p>
            <w:pPr>
              <w:spacing w:before="60" w:after="60"/>
              <w:ind w:left="72"/>
              <w:jc w:val="right"/>
            </w:pPr>
            <w:r>
              <w:rPr>
                <w:sz w:val="18"/>
              </w:rPr>
              <w:t>-4 100 000</w:t>
            </w:r>
          </w:p>
        </w:tc>
      </w:tr>
      <w:tr>
        <w:tc>
          <w:tcPr>
            <w:tcW w:type="dxa" w:w="3600"/>
            <w:shd w:val="clear" w:color="auto" w:fill="F2F2F2"/>
          </w:tcPr>
          <w:p>
            <w:pPr>
              <w:spacing w:before="60" w:after="60"/>
              <w:ind w:left="72"/>
              <w:jc w:val="left"/>
            </w:pPr>
            <w:r>
              <w:rPr>
                <w:sz w:val="18"/>
              </w:rPr>
              <w:t>Immos financières</w:t>
            </w:r>
          </w:p>
        </w:tc>
        <w:tc>
          <w:tcPr>
            <w:tcW w:type="dxa" w:w="2160"/>
            <w:shd w:val="clear" w:color="auto" w:fill="F2F2F2"/>
          </w:tcPr>
          <w:p>
            <w:pPr>
              <w:spacing w:before="60" w:after="60"/>
              <w:ind w:left="72"/>
              <w:jc w:val="right"/>
            </w:pPr>
            <w:r>
              <w:rPr>
                <w:sz w:val="18"/>
              </w:rPr>
              <w:t>3 200 000</w:t>
            </w:r>
          </w:p>
        </w:tc>
        <w:tc>
          <w:tcPr>
            <w:tcW w:type="dxa" w:w="3600"/>
            <w:shd w:val="clear" w:color="auto" w:fill="F2F2F2"/>
          </w:tcPr>
          <w:p>
            <w:pPr>
              <w:spacing w:before="60" w:after="60"/>
              <w:ind w:left="72"/>
              <w:jc w:val="right"/>
            </w:pPr>
            <w:r>
              <w:rPr>
                <w:sz w:val="18"/>
              </w:rPr>
              <w:t>Résultat net 2025</w:t>
            </w:r>
          </w:p>
        </w:tc>
        <w:tc>
          <w:tcPr>
            <w:tcW w:type="dxa" w:w="2160"/>
            <w:shd w:val="clear" w:color="auto" w:fill="F2F2F2"/>
          </w:tcPr>
          <w:p>
            <w:pPr>
              <w:spacing w:before="60" w:after="60"/>
              <w:ind w:left="72"/>
              <w:jc w:val="right"/>
            </w:pPr>
            <w:r>
              <w:rPr>
                <w:sz w:val="18"/>
              </w:rPr>
              <w:t>62 405 336</w:t>
            </w:r>
          </w:p>
        </w:tc>
      </w:tr>
      <w:tr>
        <w:tc>
          <w:tcPr>
            <w:tcW w:type="dxa" w:w="3600"/>
            <w:shd w:val="clear" w:color="auto" w:fill="FFFFFF"/>
          </w:tcPr>
          <w:p>
            <w:pPr>
              <w:spacing w:before="60" w:after="60"/>
              <w:ind w:left="72"/>
              <w:jc w:val="left"/>
            </w:pPr>
            <w:r>
              <w:rPr>
                <w:sz w:val="18"/>
              </w:rPr>
              <w:t>TOTAL ACTIF IMMOBILISÉ</w:t>
            </w:r>
          </w:p>
        </w:tc>
        <w:tc>
          <w:tcPr>
            <w:tcW w:type="dxa" w:w="2160"/>
            <w:shd w:val="clear" w:color="auto" w:fill="FFFFFF"/>
          </w:tcPr>
          <w:p>
            <w:pPr>
              <w:spacing w:before="60" w:after="60"/>
              <w:ind w:left="72"/>
              <w:jc w:val="right"/>
            </w:pPr>
            <w:r>
              <w:rPr>
                <w:sz w:val="18"/>
              </w:rPr>
              <w:t>25 397 437</w:t>
            </w:r>
          </w:p>
        </w:tc>
        <w:tc>
          <w:tcPr>
            <w:tcW w:type="dxa" w:w="3600"/>
            <w:shd w:val="clear" w:color="auto" w:fill="FFFFFF"/>
          </w:tcPr>
          <w:p>
            <w:pPr>
              <w:spacing w:before="60" w:after="60"/>
              <w:ind w:left="72"/>
              <w:jc w:val="right"/>
            </w:pPr>
            <w:r>
              <w:rPr>
                <w:sz w:val="18"/>
              </w:rPr>
              <w:t>TOTAL CAPITAUX PROPRES</w:t>
            </w:r>
          </w:p>
        </w:tc>
        <w:tc>
          <w:tcPr>
            <w:tcW w:type="dxa" w:w="2160"/>
            <w:shd w:val="clear" w:color="auto" w:fill="FFFFFF"/>
          </w:tcPr>
          <w:p>
            <w:pPr>
              <w:spacing w:before="60" w:after="60"/>
              <w:ind w:left="72"/>
              <w:jc w:val="right"/>
            </w:pPr>
            <w:r>
              <w:rPr>
                <w:sz w:val="18"/>
              </w:rPr>
              <w:t>59 305 336</w:t>
            </w:r>
          </w:p>
        </w:tc>
      </w:tr>
      <w:tr>
        <w:tc>
          <w:tcPr>
            <w:tcW w:type="dxa" w:w="3600"/>
            <w:shd w:val="clear" w:color="auto" w:fill="F2F2F2"/>
          </w:tcPr>
          <w:p>
            <w:pPr>
              <w:spacing w:before="60" w:after="60"/>
              <w:ind w:left="72"/>
              <w:jc w:val="left"/>
            </w:pPr>
            <w:r>
              <w:rPr>
                <w:sz w:val="18"/>
              </w:rPr>
              <w:t>Créances clients</w:t>
            </w:r>
          </w:p>
        </w:tc>
        <w:tc>
          <w:tcPr>
            <w:tcW w:type="dxa" w:w="2160"/>
            <w:shd w:val="clear" w:color="auto" w:fill="F2F2F2"/>
          </w:tcPr>
          <w:p>
            <w:pPr>
              <w:spacing w:before="60" w:after="60"/>
              <w:ind w:left="72"/>
              <w:jc w:val="right"/>
            </w:pPr>
            <w:r>
              <w:rPr>
                <w:sz w:val="18"/>
              </w:rPr>
              <w:t>26 108 540</w:t>
            </w:r>
          </w:p>
        </w:tc>
        <w:tc>
          <w:tcPr>
            <w:tcW w:type="dxa" w:w="3600"/>
            <w:shd w:val="clear" w:color="auto" w:fill="F2F2F2"/>
          </w:tcPr>
          <w:p>
            <w:pPr>
              <w:spacing w:before="60" w:after="60"/>
              <w:ind w:left="72"/>
              <w:jc w:val="right"/>
            </w:pPr>
            <w:r>
              <w:rPr>
                <w:sz w:val="18"/>
              </w:rPr>
              <w:t>Dettes fiscales et sociales</w:t>
            </w:r>
          </w:p>
        </w:tc>
        <w:tc>
          <w:tcPr>
            <w:tcW w:type="dxa" w:w="2160"/>
            <w:shd w:val="clear" w:color="auto" w:fill="F2F2F2"/>
          </w:tcPr>
          <w:p>
            <w:pPr>
              <w:spacing w:before="60" w:after="60"/>
              <w:ind w:left="72"/>
              <w:jc w:val="right"/>
            </w:pPr>
            <w:r>
              <w:rPr>
                <w:sz w:val="18"/>
              </w:rPr>
              <w:t>12 795 599</w:t>
            </w:r>
          </w:p>
        </w:tc>
      </w:tr>
      <w:tr>
        <w:tc>
          <w:tcPr>
            <w:tcW w:type="dxa" w:w="3600"/>
            <w:shd w:val="clear" w:color="auto" w:fill="FFFFFF"/>
          </w:tcPr>
          <w:p>
            <w:pPr>
              <w:spacing w:before="60" w:after="60"/>
              <w:ind w:left="72"/>
              <w:jc w:val="left"/>
            </w:pPr>
            <w:r>
              <w:rPr>
                <w:sz w:val="18"/>
              </w:rPr>
              <w:t>Trésorerie</w:t>
            </w:r>
          </w:p>
        </w:tc>
        <w:tc>
          <w:tcPr>
            <w:tcW w:type="dxa" w:w="2160"/>
            <w:shd w:val="clear" w:color="auto" w:fill="FFFFFF"/>
          </w:tcPr>
          <w:p>
            <w:pPr>
              <w:spacing w:before="60" w:after="60"/>
              <w:ind w:left="72"/>
              <w:jc w:val="right"/>
            </w:pPr>
            <w:r>
              <w:rPr>
                <w:sz w:val="18"/>
              </w:rPr>
              <w:t>20 594 958</w:t>
            </w:r>
          </w:p>
        </w:tc>
        <w:tc>
          <w:tcPr>
            <w:tcW w:type="dxa" w:w="3600"/>
            <w:shd w:val="clear" w:color="auto" w:fill="FFFFFF"/>
          </w:tcPr>
          <w:p>
            <w:pPr>
              <w:spacing w:before="60" w:after="60"/>
              <w:ind w:left="72"/>
              <w:jc w:val="right"/>
            </w:pPr>
            <w:r>
              <w:rPr>
                <w:sz w:val="18"/>
              </w:rPr>
              <w:t>Autres dettes</w:t>
            </w:r>
          </w:p>
        </w:tc>
        <w:tc>
          <w:tcPr>
            <w:tcW w:type="dxa" w:w="2160"/>
            <w:shd w:val="clear" w:color="auto" w:fill="FFFFFF"/>
          </w:tcPr>
          <w:p>
            <w:pPr>
              <w:spacing w:before="60" w:after="60"/>
              <w:ind w:left="72"/>
              <w:jc w:val="right"/>
            </w:pPr>
            <w:r>
              <w:rPr>
                <w:sz w:val="18"/>
              </w:rPr>
              <w:t>0</w:t>
            </w:r>
          </w:p>
        </w:tc>
      </w:tr>
      <w:tr>
        <w:tc>
          <w:tcPr>
            <w:tcW w:type="dxa" w:w="3600"/>
            <w:shd w:val="clear" w:color="auto" w:fill="F2F2F2"/>
          </w:tcPr>
          <w:p>
            <w:pPr>
              <w:spacing w:before="60" w:after="60"/>
              <w:ind w:left="72"/>
              <w:jc w:val="left"/>
            </w:pPr>
            <w:r>
              <w:rPr>
                <w:sz w:val="18"/>
              </w:rPr>
              <w:t>TOTAL ACTIF CIRCULANT</w:t>
            </w:r>
          </w:p>
        </w:tc>
        <w:tc>
          <w:tcPr>
            <w:tcW w:type="dxa" w:w="2160"/>
            <w:shd w:val="clear" w:color="auto" w:fill="F2F2F2"/>
          </w:tcPr>
          <w:p>
            <w:pPr>
              <w:spacing w:before="60" w:after="60"/>
              <w:ind w:left="72"/>
              <w:jc w:val="right"/>
            </w:pPr>
            <w:r>
              <w:rPr>
                <w:sz w:val="18"/>
              </w:rPr>
              <w:t>46 703 498</w:t>
            </w:r>
          </w:p>
        </w:tc>
        <w:tc>
          <w:tcPr>
            <w:tcW w:type="dxa" w:w="3600"/>
            <w:shd w:val="clear" w:color="auto" w:fill="F2F2F2"/>
          </w:tcPr>
          <w:p>
            <w:pPr>
              <w:spacing w:before="60" w:after="60"/>
              <w:ind w:left="72"/>
              <w:jc w:val="right"/>
            </w:pPr>
            <w:r>
              <w:rPr>
                <w:sz w:val="18"/>
              </w:rPr>
              <w:t>TOTAL DETTES</w:t>
            </w:r>
          </w:p>
        </w:tc>
        <w:tc>
          <w:tcPr>
            <w:tcW w:type="dxa" w:w="2160"/>
            <w:shd w:val="clear" w:color="auto" w:fill="F2F2F2"/>
          </w:tcPr>
          <w:p>
            <w:pPr>
              <w:spacing w:before="60" w:after="60"/>
              <w:ind w:left="72"/>
              <w:jc w:val="right"/>
            </w:pPr>
            <w:r>
              <w:rPr>
                <w:sz w:val="18"/>
              </w:rPr>
              <w:t>12 795 599</w:t>
            </w:r>
          </w:p>
        </w:tc>
      </w:tr>
      <w:tr>
        <w:tc>
          <w:tcPr>
            <w:tcW w:type="dxa" w:w="3600"/>
            <w:shd w:val="clear" w:color="auto" w:fill="FFFFFF"/>
          </w:tcPr>
          <w:p>
            <w:pPr>
              <w:spacing w:before="60" w:after="60"/>
              <w:ind w:left="72"/>
              <w:jc w:val="left"/>
            </w:pPr>
            <w:r>
              <w:rPr>
                <w:sz w:val="18"/>
              </w:rPr>
              <w:t>TOTAL ACTIF</w:t>
            </w:r>
          </w:p>
        </w:tc>
        <w:tc>
          <w:tcPr>
            <w:tcW w:type="dxa" w:w="2160"/>
            <w:shd w:val="clear" w:color="auto" w:fill="FFFFFF"/>
          </w:tcPr>
          <w:p>
            <w:pPr>
              <w:spacing w:before="60" w:after="60"/>
              <w:ind w:left="72"/>
              <w:jc w:val="right"/>
            </w:pPr>
            <w:r>
              <w:rPr>
                <w:sz w:val="18"/>
              </w:rPr>
              <w:t>72 100 935</w:t>
            </w:r>
          </w:p>
        </w:tc>
        <w:tc>
          <w:tcPr>
            <w:tcW w:type="dxa" w:w="3600"/>
            <w:shd w:val="clear" w:color="auto" w:fill="FFFFFF"/>
          </w:tcPr>
          <w:p>
            <w:pPr>
              <w:spacing w:before="60" w:after="60"/>
              <w:ind w:left="72"/>
              <w:jc w:val="right"/>
            </w:pPr>
            <w:r>
              <w:rPr>
                <w:sz w:val="18"/>
              </w:rPr>
              <w:t>TOTAL PASSIF</w:t>
            </w:r>
          </w:p>
        </w:tc>
        <w:tc>
          <w:tcPr>
            <w:tcW w:type="dxa" w:w="2160"/>
            <w:shd w:val="clear" w:color="auto" w:fill="FFFFFF"/>
          </w:tcPr>
          <w:p>
            <w:pPr>
              <w:spacing w:before="60" w:after="60"/>
              <w:ind w:left="72"/>
              <w:jc w:val="right"/>
            </w:pPr>
            <w:r>
              <w:rPr>
                <w:sz w:val="18"/>
              </w:rPr>
              <w:t>72 100 935</w:t>
            </w:r>
          </w:p>
        </w:tc>
      </w:tr>
    </w:tbl>
    <w:p>
      <w:pPr>
        <w:spacing w:before="0" w:after="0"/>
      </w:pPr>
      <w:r>
        <w:rPr>
          <w:sz w:val="8"/>
        </w:rPr>
      </w:r>
    </w:p>
    <w:p>
      <w:pPr>
        <w:spacing w:before="240" w:after="120"/>
      </w:pPr>
      <w:r>
        <w:rPr>
          <w:b/>
          <w:color w:val="2E75B6"/>
          <w:sz w:val="26"/>
        </w:rPr>
        <w:t>2.4 Flux de trésorerie 2025</w:t>
      </w:r>
    </w:p>
    <w:tbl>
      <w:tblPr>
        <w:tblStyle w:val="TableGrid"/>
        <w:tblW w:type="auto" w:w="0"/>
        <w:jc w:val="center"/>
        <w:tblLook w:firstColumn="1" w:firstRow="1" w:lastColumn="0" w:lastRow="0" w:noHBand="0" w:noVBand="1" w:val="04A0"/>
      </w:tblPr>
      <w:tblGrid>
        <w:gridCol w:w="3024"/>
        <w:gridCol w:w="3024"/>
        <w:gridCol w:w="3024"/>
      </w:tblGrid>
      <w:tr>
        <w:tc>
          <w:tcPr>
            <w:tcW w:type="dxa" w:w="5040"/>
            <w:shd w:val="clear" w:color="auto" w:fill="1B3A5C"/>
            <w:vAlign w:val="center"/>
          </w:tcPr>
          <w:p>
            <w:pPr>
              <w:spacing w:before="80" w:after="80"/>
              <w:jc w:val="center"/>
            </w:pPr>
            <w:r>
              <w:rPr>
                <w:b/>
                <w:color w:val="FFFFFF"/>
                <w:sz w:val="18"/>
              </w:rPr>
              <w:t>Flux</w:t>
            </w:r>
          </w:p>
        </w:tc>
        <w:tc>
          <w:tcPr>
            <w:tcW w:type="dxa" w:w="2880"/>
            <w:shd w:val="clear" w:color="auto" w:fill="1B3A5C"/>
            <w:vAlign w:val="center"/>
          </w:tcPr>
          <w:p>
            <w:pPr>
              <w:spacing w:before="80" w:after="80"/>
              <w:jc w:val="center"/>
            </w:pPr>
            <w:r>
              <w:rPr>
                <w:b/>
                <w:color w:val="FFFFFF"/>
                <w:sz w:val="18"/>
              </w:rPr>
              <w:t>Montant (FCFA)</w:t>
            </w:r>
          </w:p>
        </w:tc>
        <w:tc>
          <w:tcPr>
            <w:tcW w:type="dxa" w:w="4320"/>
            <w:shd w:val="clear" w:color="auto" w:fill="1B3A5C"/>
            <w:vAlign w:val="center"/>
          </w:tcPr>
          <w:p>
            <w:pPr>
              <w:spacing w:before="80" w:after="80"/>
              <w:jc w:val="center"/>
            </w:pPr>
            <w:r>
              <w:rPr>
                <w:b/>
                <w:color w:val="FFFFFF"/>
                <w:sz w:val="18"/>
              </w:rPr>
              <w:t>Commentaire</w:t>
            </w:r>
          </w:p>
        </w:tc>
      </w:tr>
      <w:tr>
        <w:tc>
          <w:tcPr>
            <w:tcW w:type="dxa" w:w="5040"/>
            <w:shd w:val="clear" w:color="auto" w:fill="F2F2F2"/>
          </w:tcPr>
          <w:p>
            <w:pPr>
              <w:spacing w:before="60" w:after="60"/>
              <w:ind w:left="72"/>
              <w:jc w:val="left"/>
            </w:pPr>
            <w:r>
              <w:rPr>
                <w:sz w:val="18"/>
              </w:rPr>
              <w:t>Trésorerie au 01/01/2025</w:t>
            </w:r>
          </w:p>
        </w:tc>
        <w:tc>
          <w:tcPr>
            <w:tcW w:type="dxa" w:w="2880"/>
            <w:shd w:val="clear" w:color="auto" w:fill="F2F2F2"/>
          </w:tcPr>
          <w:p>
            <w:pPr>
              <w:spacing w:before="60" w:after="60"/>
              <w:ind w:left="72"/>
              <w:jc w:val="right"/>
            </w:pPr>
            <w:r>
              <w:rPr>
                <w:sz w:val="18"/>
              </w:rPr>
              <w:t>6 285 553</w:t>
            </w:r>
          </w:p>
        </w:tc>
        <w:tc>
          <w:tcPr>
            <w:tcW w:type="dxa" w:w="4320"/>
            <w:shd w:val="clear" w:color="auto" w:fill="F2F2F2"/>
          </w:tcPr>
          <w:p>
            <w:pPr>
              <w:spacing w:before="60" w:after="60"/>
              <w:ind w:left="72"/>
              <w:jc w:val="right"/>
            </w:pPr>
            <w:r>
              <w:rPr>
                <w:sz w:val="18"/>
              </w:rPr>
              <w:t>Solde ouverture</w:t>
            </w:r>
          </w:p>
        </w:tc>
      </w:tr>
      <w:tr>
        <w:tc>
          <w:tcPr>
            <w:tcW w:type="dxa" w:w="5040"/>
            <w:shd w:val="clear" w:color="auto" w:fill="FFFFFF"/>
          </w:tcPr>
          <w:p>
            <w:pPr>
              <w:spacing w:before="60" w:after="60"/>
              <w:ind w:left="72"/>
              <w:jc w:val="left"/>
            </w:pPr>
            <w:r>
              <w:rPr>
                <w:sz w:val="18"/>
              </w:rPr>
              <w:t>Flux opérationnels</w:t>
            </w:r>
          </w:p>
        </w:tc>
        <w:tc>
          <w:tcPr>
            <w:tcW w:type="dxa" w:w="2880"/>
            <w:shd w:val="clear" w:color="auto" w:fill="FFFFFF"/>
          </w:tcPr>
          <w:p>
            <w:pPr>
              <w:spacing w:before="60" w:after="60"/>
              <w:ind w:left="72"/>
              <w:jc w:val="right"/>
            </w:pPr>
            <w:r>
              <w:rPr>
                <w:sz w:val="18"/>
              </w:rPr>
              <w:t>-1 522 823</w:t>
            </w:r>
          </w:p>
        </w:tc>
        <w:tc>
          <w:tcPr>
            <w:tcW w:type="dxa" w:w="4320"/>
            <w:shd w:val="clear" w:color="auto" w:fill="FFFFFF"/>
          </w:tcPr>
          <w:p>
            <w:pPr>
              <w:spacing w:before="60" w:after="60"/>
              <w:ind w:left="72"/>
              <w:jc w:val="right"/>
            </w:pPr>
            <w:r>
              <w:rPr>
                <w:sz w:val="18"/>
              </w:rPr>
              <w:t>CAFG moins variation BFR</w:t>
            </w:r>
          </w:p>
        </w:tc>
      </w:tr>
      <w:tr>
        <w:tc>
          <w:tcPr>
            <w:tcW w:type="dxa" w:w="5040"/>
            <w:shd w:val="clear" w:color="auto" w:fill="F2F2F2"/>
          </w:tcPr>
          <w:p>
            <w:pPr>
              <w:spacing w:before="60" w:after="60"/>
              <w:ind w:left="72"/>
              <w:jc w:val="left"/>
            </w:pPr>
            <w:r>
              <w:rPr>
                <w:sz w:val="18"/>
              </w:rPr>
              <w:t>Flux d'investissements</w:t>
            </w:r>
          </w:p>
        </w:tc>
        <w:tc>
          <w:tcPr>
            <w:tcW w:type="dxa" w:w="2880"/>
            <w:shd w:val="clear" w:color="auto" w:fill="F2F2F2"/>
          </w:tcPr>
          <w:p>
            <w:pPr>
              <w:spacing w:before="60" w:after="60"/>
              <w:ind w:left="72"/>
              <w:jc w:val="right"/>
            </w:pPr>
            <w:r>
              <w:rPr>
                <w:sz w:val="18"/>
              </w:rPr>
              <w:t>-4 064 600</w:t>
            </w:r>
          </w:p>
        </w:tc>
        <w:tc>
          <w:tcPr>
            <w:tcW w:type="dxa" w:w="4320"/>
            <w:shd w:val="clear" w:color="auto" w:fill="F2F2F2"/>
          </w:tcPr>
          <w:p>
            <w:pPr>
              <w:spacing w:before="60" w:after="60"/>
              <w:ind w:left="72"/>
              <w:jc w:val="right"/>
            </w:pPr>
            <w:r>
              <w:rPr>
                <w:sz w:val="18"/>
              </w:rPr>
              <w:t>Acquisitions immos corporelles</w:t>
            </w:r>
          </w:p>
        </w:tc>
      </w:tr>
      <w:tr>
        <w:tc>
          <w:tcPr>
            <w:tcW w:type="dxa" w:w="5040"/>
            <w:shd w:val="clear" w:color="auto" w:fill="FFFFFF"/>
          </w:tcPr>
          <w:p>
            <w:pPr>
              <w:spacing w:before="60" w:after="60"/>
              <w:ind w:left="72"/>
              <w:jc w:val="left"/>
            </w:pPr>
            <w:r>
              <w:rPr>
                <w:sz w:val="18"/>
              </w:rPr>
              <w:t>Flux de financement</w:t>
            </w:r>
          </w:p>
        </w:tc>
        <w:tc>
          <w:tcPr>
            <w:tcW w:type="dxa" w:w="2880"/>
            <w:shd w:val="clear" w:color="auto" w:fill="FFFFFF"/>
          </w:tcPr>
          <w:p>
            <w:pPr>
              <w:spacing w:before="60" w:after="60"/>
              <w:ind w:left="72"/>
              <w:jc w:val="right"/>
            </w:pPr>
            <w:r>
              <w:rPr>
                <w:sz w:val="18"/>
              </w:rPr>
              <w:t>+19 896 828</w:t>
            </w:r>
          </w:p>
        </w:tc>
        <w:tc>
          <w:tcPr>
            <w:tcW w:type="dxa" w:w="4320"/>
            <w:shd w:val="clear" w:color="auto" w:fill="FFFFFF"/>
          </w:tcPr>
          <w:p>
            <w:pPr>
              <w:spacing w:before="60" w:after="60"/>
              <w:ind w:left="72"/>
              <w:jc w:val="right"/>
            </w:pPr>
            <w:r>
              <w:rPr>
                <w:sz w:val="18"/>
              </w:rPr>
              <w:t>Capital + remb. dettes</w:t>
            </w:r>
          </w:p>
        </w:tc>
      </w:tr>
      <w:tr>
        <w:tc>
          <w:tcPr>
            <w:tcW w:type="dxa" w:w="5040"/>
            <w:shd w:val="clear" w:color="auto" w:fill="F2F2F2"/>
          </w:tcPr>
          <w:p>
            <w:pPr>
              <w:spacing w:before="60" w:after="60"/>
              <w:ind w:left="72"/>
              <w:jc w:val="left"/>
            </w:pPr>
            <w:r>
              <w:rPr>
                <w:sz w:val="18"/>
              </w:rPr>
              <w:t>VARIATION TRÉSORERIE</w:t>
            </w:r>
          </w:p>
        </w:tc>
        <w:tc>
          <w:tcPr>
            <w:tcW w:type="dxa" w:w="2880"/>
            <w:shd w:val="clear" w:color="auto" w:fill="F2F2F2"/>
          </w:tcPr>
          <w:p>
            <w:pPr>
              <w:spacing w:before="60" w:after="60"/>
              <w:ind w:left="72"/>
              <w:jc w:val="right"/>
            </w:pPr>
            <w:r>
              <w:rPr>
                <w:sz w:val="18"/>
              </w:rPr>
              <w:t>+14 309 405</w:t>
            </w:r>
          </w:p>
        </w:tc>
        <w:tc>
          <w:tcPr>
            <w:tcW w:type="dxa" w:w="4320"/>
            <w:shd w:val="clear" w:color="auto" w:fill="F2F2F2"/>
          </w:tcPr>
          <w:p>
            <w:pPr>
              <w:spacing w:before="60" w:after="60"/>
              <w:ind w:left="72"/>
              <w:jc w:val="right"/>
            </w:pPr>
            <w:r>
              <w:rPr>
                <w:sz w:val="18"/>
              </w:rPr>
            </w:r>
          </w:p>
        </w:tc>
      </w:tr>
      <w:tr>
        <w:tc>
          <w:tcPr>
            <w:tcW w:type="dxa" w:w="5040"/>
            <w:shd w:val="clear" w:color="auto" w:fill="FFFFFF"/>
          </w:tcPr>
          <w:p>
            <w:pPr>
              <w:spacing w:before="60" w:after="60"/>
              <w:ind w:left="72"/>
              <w:jc w:val="left"/>
            </w:pPr>
            <w:r>
              <w:rPr>
                <w:sz w:val="18"/>
              </w:rPr>
              <w:t>Trésorerie au 31/12/2025</w:t>
            </w:r>
          </w:p>
        </w:tc>
        <w:tc>
          <w:tcPr>
            <w:tcW w:type="dxa" w:w="2880"/>
            <w:shd w:val="clear" w:color="auto" w:fill="FFFFFF"/>
          </w:tcPr>
          <w:p>
            <w:pPr>
              <w:spacing w:before="60" w:after="60"/>
              <w:ind w:left="72"/>
              <w:jc w:val="right"/>
            </w:pPr>
            <w:r>
              <w:rPr>
                <w:sz w:val="18"/>
              </w:rPr>
              <w:t>20 594 958</w:t>
            </w:r>
          </w:p>
        </w:tc>
        <w:tc>
          <w:tcPr>
            <w:tcW w:type="dxa" w:w="4320"/>
            <w:shd w:val="clear" w:color="auto" w:fill="FFFFFF"/>
          </w:tcPr>
          <w:p>
            <w:pPr>
              <w:spacing w:before="60" w:after="60"/>
              <w:ind w:left="72"/>
              <w:jc w:val="right"/>
            </w:pPr>
            <w:r>
              <w:rPr>
                <w:sz w:val="18"/>
              </w:rPr>
              <w:t>Nette positive</w:t>
            </w:r>
          </w:p>
        </w:tc>
      </w:tr>
    </w:tbl>
    <w:p>
      <w:pPr>
        <w:spacing w:before="0" w:after="0"/>
      </w:pPr>
      <w:r>
        <w:rPr>
          <w:sz w:val="8"/>
        </w:rPr>
      </w:r>
    </w:p>
    <w:p>
      <w:pPr>
        <w:spacing w:before="240" w:after="120"/>
      </w:pPr>
      <w:r>
        <w:rPr>
          <w:b/>
          <w:color w:val="2E75B6"/>
          <w:sz w:val="26"/>
        </w:rPr>
        <w:t>2.5 Analyse de la concentration clients (2024)</w:t>
      </w:r>
    </w:p>
    <w:p>
      <w:pPr>
        <w:spacing w:before="40" w:after="80"/>
      </w:pPr>
      <w:r>
        <w:rPr>
          <w:b w:val="0"/>
          <w:i w:val="0"/>
          <w:color w:val="000000"/>
          <w:sz w:val="20"/>
        </w:rPr>
        <w:t>La société présente une concentration clients significative, facteur de risque pour un acquéreur :</w:t>
      </w:r>
    </w:p>
    <w:tbl>
      <w:tblPr>
        <w:tblStyle w:val="TableGrid"/>
        <w:tblW w:type="auto" w:w="0"/>
        <w:jc w:val="center"/>
        <w:tblLook w:firstColumn="1" w:firstRow="1" w:lastColumn="0" w:lastRow="0" w:noHBand="0" w:noVBand="1" w:val="04A0"/>
      </w:tblPr>
      <w:tblGrid>
        <w:gridCol w:w="3024"/>
        <w:gridCol w:w="3024"/>
        <w:gridCol w:w="3024"/>
      </w:tblGrid>
      <w:tr>
        <w:tc>
          <w:tcPr>
            <w:tcW w:type="dxa" w:w="4320"/>
            <w:shd w:val="clear" w:color="auto" w:fill="1B3A5C"/>
            <w:vAlign w:val="center"/>
          </w:tcPr>
          <w:p>
            <w:pPr>
              <w:spacing w:before="80" w:after="80"/>
              <w:jc w:val="center"/>
            </w:pPr>
            <w:r>
              <w:rPr>
                <w:b/>
                <w:color w:val="FFFFFF"/>
                <w:sz w:val="18"/>
              </w:rPr>
              <w:t>Client</w:t>
            </w:r>
          </w:p>
        </w:tc>
        <w:tc>
          <w:tcPr>
            <w:tcW w:type="dxa" w:w="3600"/>
            <w:shd w:val="clear" w:color="auto" w:fill="1B3A5C"/>
            <w:vAlign w:val="center"/>
          </w:tcPr>
          <w:p>
            <w:pPr>
              <w:spacing w:before="80" w:after="80"/>
              <w:jc w:val="center"/>
            </w:pPr>
            <w:r>
              <w:rPr>
                <w:b/>
                <w:color w:val="FFFFFF"/>
                <w:sz w:val="18"/>
              </w:rPr>
              <w:t>CA 2024 (FCFA)</w:t>
            </w:r>
          </w:p>
        </w:tc>
        <w:tc>
          <w:tcPr>
            <w:tcW w:type="dxa" w:w="2160"/>
            <w:shd w:val="clear" w:color="auto" w:fill="1B3A5C"/>
            <w:vAlign w:val="center"/>
          </w:tcPr>
          <w:p>
            <w:pPr>
              <w:spacing w:before="80" w:after="80"/>
              <w:jc w:val="center"/>
            </w:pPr>
            <w:r>
              <w:rPr>
                <w:b/>
                <w:color w:val="FFFFFF"/>
                <w:sz w:val="18"/>
              </w:rPr>
              <w:t>Part du CA</w:t>
            </w:r>
          </w:p>
        </w:tc>
      </w:tr>
      <w:tr>
        <w:tc>
          <w:tcPr>
            <w:tcW w:type="dxa" w:w="4320"/>
            <w:shd w:val="clear" w:color="auto" w:fill="F2F2F2"/>
          </w:tcPr>
          <w:p>
            <w:pPr>
              <w:spacing w:before="60" w:after="60"/>
              <w:ind w:left="72"/>
              <w:jc w:val="left"/>
            </w:pPr>
            <w:r>
              <w:rPr>
                <w:sz w:val="18"/>
              </w:rPr>
              <w:t>Bessac Afrique</w:t>
            </w:r>
          </w:p>
        </w:tc>
        <w:tc>
          <w:tcPr>
            <w:tcW w:type="dxa" w:w="3600"/>
            <w:shd w:val="clear" w:color="auto" w:fill="F2F2F2"/>
          </w:tcPr>
          <w:p>
            <w:pPr>
              <w:spacing w:before="60" w:after="60"/>
              <w:ind w:left="72"/>
              <w:jc w:val="right"/>
            </w:pPr>
            <w:r>
              <w:rPr>
                <w:sz w:val="18"/>
              </w:rPr>
              <w:t>142 177 070</w:t>
            </w:r>
          </w:p>
        </w:tc>
        <w:tc>
          <w:tcPr>
            <w:tcW w:type="dxa" w:w="2160"/>
            <w:shd w:val="clear" w:color="auto" w:fill="F2F2F2"/>
          </w:tcPr>
          <w:p>
            <w:pPr>
              <w:spacing w:before="60" w:after="60"/>
              <w:ind w:left="72"/>
              <w:jc w:val="right"/>
            </w:pPr>
            <w:r>
              <w:rPr>
                <w:sz w:val="18"/>
              </w:rPr>
              <w:t>27,2 %</w:t>
            </w:r>
          </w:p>
        </w:tc>
      </w:tr>
      <w:tr>
        <w:tc>
          <w:tcPr>
            <w:tcW w:type="dxa" w:w="4320"/>
            <w:shd w:val="clear" w:color="auto" w:fill="FFFFFF"/>
          </w:tcPr>
          <w:p>
            <w:pPr>
              <w:spacing w:before="60" w:after="60"/>
              <w:ind w:left="72"/>
              <w:jc w:val="left"/>
            </w:pPr>
            <w:r>
              <w:rPr>
                <w:sz w:val="18"/>
              </w:rPr>
              <w:t>SOCATRA</w:t>
            </w:r>
          </w:p>
        </w:tc>
        <w:tc>
          <w:tcPr>
            <w:tcW w:type="dxa" w:w="3600"/>
            <w:shd w:val="clear" w:color="auto" w:fill="FFFFFF"/>
          </w:tcPr>
          <w:p>
            <w:pPr>
              <w:spacing w:before="60" w:after="60"/>
              <w:ind w:left="72"/>
              <w:jc w:val="right"/>
            </w:pPr>
            <w:r>
              <w:rPr>
                <w:sz w:val="18"/>
              </w:rPr>
              <w:t>81 431 813</w:t>
            </w:r>
          </w:p>
        </w:tc>
        <w:tc>
          <w:tcPr>
            <w:tcW w:type="dxa" w:w="2160"/>
            <w:shd w:val="clear" w:color="auto" w:fill="FFFFFF"/>
          </w:tcPr>
          <w:p>
            <w:pPr>
              <w:spacing w:before="60" w:after="60"/>
              <w:ind w:left="72"/>
              <w:jc w:val="right"/>
            </w:pPr>
            <w:r>
              <w:rPr>
                <w:sz w:val="18"/>
              </w:rPr>
              <w:t>15,6 %</w:t>
            </w:r>
          </w:p>
        </w:tc>
      </w:tr>
      <w:tr>
        <w:tc>
          <w:tcPr>
            <w:tcW w:type="dxa" w:w="4320"/>
            <w:shd w:val="clear" w:color="auto" w:fill="F2F2F2"/>
          </w:tcPr>
          <w:p>
            <w:pPr>
              <w:spacing w:before="60" w:after="60"/>
              <w:ind w:left="72"/>
              <w:jc w:val="left"/>
            </w:pPr>
            <w:r>
              <w:rPr>
                <w:sz w:val="18"/>
              </w:rPr>
              <w:t>NMSI</w:t>
            </w:r>
          </w:p>
        </w:tc>
        <w:tc>
          <w:tcPr>
            <w:tcW w:type="dxa" w:w="3600"/>
            <w:shd w:val="clear" w:color="auto" w:fill="F2F2F2"/>
          </w:tcPr>
          <w:p>
            <w:pPr>
              <w:spacing w:before="60" w:after="60"/>
              <w:ind w:left="72"/>
              <w:jc w:val="right"/>
            </w:pPr>
            <w:r>
              <w:rPr>
                <w:sz w:val="18"/>
              </w:rPr>
              <w:t>58 782 773</w:t>
            </w:r>
          </w:p>
        </w:tc>
        <w:tc>
          <w:tcPr>
            <w:tcW w:type="dxa" w:w="2160"/>
            <w:shd w:val="clear" w:color="auto" w:fill="F2F2F2"/>
          </w:tcPr>
          <w:p>
            <w:pPr>
              <w:spacing w:before="60" w:after="60"/>
              <w:ind w:left="72"/>
              <w:jc w:val="right"/>
            </w:pPr>
            <w:r>
              <w:rPr>
                <w:sz w:val="18"/>
              </w:rPr>
              <w:t>11,3 %</w:t>
            </w:r>
          </w:p>
        </w:tc>
      </w:tr>
      <w:tr>
        <w:tc>
          <w:tcPr>
            <w:tcW w:type="dxa" w:w="4320"/>
            <w:shd w:val="clear" w:color="auto" w:fill="FFFFFF"/>
          </w:tcPr>
          <w:p>
            <w:pPr>
              <w:spacing w:before="60" w:after="60"/>
              <w:ind w:left="72"/>
              <w:jc w:val="left"/>
            </w:pPr>
            <w:r>
              <w:rPr>
                <w:sz w:val="18"/>
              </w:rPr>
              <w:t>Seureca CI</w:t>
            </w:r>
          </w:p>
        </w:tc>
        <w:tc>
          <w:tcPr>
            <w:tcW w:type="dxa" w:w="3600"/>
            <w:shd w:val="clear" w:color="auto" w:fill="FFFFFF"/>
          </w:tcPr>
          <w:p>
            <w:pPr>
              <w:spacing w:before="60" w:after="60"/>
              <w:ind w:left="72"/>
              <w:jc w:val="right"/>
            </w:pPr>
            <w:r>
              <w:rPr>
                <w:sz w:val="18"/>
              </w:rPr>
              <w:t>48 757 033</w:t>
            </w:r>
          </w:p>
        </w:tc>
        <w:tc>
          <w:tcPr>
            <w:tcW w:type="dxa" w:w="2160"/>
            <w:shd w:val="clear" w:color="auto" w:fill="FFFFFF"/>
          </w:tcPr>
          <w:p>
            <w:pPr>
              <w:spacing w:before="60" w:after="60"/>
              <w:ind w:left="72"/>
              <w:jc w:val="right"/>
            </w:pPr>
            <w:r>
              <w:rPr>
                <w:sz w:val="18"/>
              </w:rPr>
              <w:t>9,3 %</w:t>
            </w:r>
          </w:p>
        </w:tc>
      </w:tr>
      <w:tr>
        <w:tc>
          <w:tcPr>
            <w:tcW w:type="dxa" w:w="4320"/>
            <w:shd w:val="clear" w:color="auto" w:fill="F2F2F2"/>
          </w:tcPr>
          <w:p>
            <w:pPr>
              <w:spacing w:before="60" w:after="60"/>
              <w:ind w:left="72"/>
              <w:jc w:val="left"/>
            </w:pPr>
            <w:r>
              <w:rPr>
                <w:sz w:val="18"/>
              </w:rPr>
              <w:t>FORTIL I.S Limited</w:t>
            </w:r>
          </w:p>
        </w:tc>
        <w:tc>
          <w:tcPr>
            <w:tcW w:type="dxa" w:w="3600"/>
            <w:shd w:val="clear" w:color="auto" w:fill="F2F2F2"/>
          </w:tcPr>
          <w:p>
            <w:pPr>
              <w:spacing w:before="60" w:after="60"/>
              <w:ind w:left="72"/>
              <w:jc w:val="right"/>
            </w:pPr>
            <w:r>
              <w:rPr>
                <w:sz w:val="18"/>
              </w:rPr>
              <w:t>43 063 566</w:t>
            </w:r>
          </w:p>
        </w:tc>
        <w:tc>
          <w:tcPr>
            <w:tcW w:type="dxa" w:w="2160"/>
            <w:shd w:val="clear" w:color="auto" w:fill="F2F2F2"/>
          </w:tcPr>
          <w:p>
            <w:pPr>
              <w:spacing w:before="60" w:after="60"/>
              <w:ind w:left="72"/>
              <w:jc w:val="right"/>
            </w:pPr>
            <w:r>
              <w:rPr>
                <w:sz w:val="18"/>
              </w:rPr>
              <w:t>8,2 %</w:t>
            </w:r>
          </w:p>
        </w:tc>
      </w:tr>
      <w:tr>
        <w:tc>
          <w:tcPr>
            <w:tcW w:type="dxa" w:w="4320"/>
            <w:shd w:val="clear" w:color="auto" w:fill="FFFFFF"/>
          </w:tcPr>
          <w:p>
            <w:pPr>
              <w:spacing w:before="60" w:after="60"/>
              <w:ind w:left="72"/>
              <w:jc w:val="left"/>
            </w:pPr>
            <w:r>
              <w:rPr>
                <w:sz w:val="18"/>
              </w:rPr>
              <w:t>SICMA (Métro d'Abidjan)</w:t>
            </w:r>
          </w:p>
        </w:tc>
        <w:tc>
          <w:tcPr>
            <w:tcW w:type="dxa" w:w="3600"/>
            <w:shd w:val="clear" w:color="auto" w:fill="FFFFFF"/>
          </w:tcPr>
          <w:p>
            <w:pPr>
              <w:spacing w:before="60" w:after="60"/>
              <w:ind w:left="72"/>
              <w:jc w:val="right"/>
            </w:pPr>
            <w:r>
              <w:rPr>
                <w:sz w:val="18"/>
              </w:rPr>
              <w:t>31 791 646</w:t>
            </w:r>
          </w:p>
        </w:tc>
        <w:tc>
          <w:tcPr>
            <w:tcW w:type="dxa" w:w="2160"/>
            <w:shd w:val="clear" w:color="auto" w:fill="FFFFFF"/>
          </w:tcPr>
          <w:p>
            <w:pPr>
              <w:spacing w:before="60" w:after="60"/>
              <w:ind w:left="72"/>
              <w:jc w:val="right"/>
            </w:pPr>
            <w:r>
              <w:rPr>
                <w:sz w:val="18"/>
              </w:rPr>
              <w:t>6,1 %</w:t>
            </w:r>
          </w:p>
        </w:tc>
      </w:tr>
      <w:tr>
        <w:tc>
          <w:tcPr>
            <w:tcW w:type="dxa" w:w="4320"/>
            <w:shd w:val="clear" w:color="auto" w:fill="F2F2F2"/>
          </w:tcPr>
          <w:p>
            <w:pPr>
              <w:spacing w:before="60" w:after="60"/>
              <w:ind w:left="72"/>
              <w:jc w:val="left"/>
            </w:pPr>
            <w:r>
              <w:rPr>
                <w:sz w:val="18"/>
              </w:rPr>
              <w:t>TIPICI</w:t>
            </w:r>
          </w:p>
        </w:tc>
        <w:tc>
          <w:tcPr>
            <w:tcW w:type="dxa" w:w="3600"/>
            <w:shd w:val="clear" w:color="auto" w:fill="F2F2F2"/>
          </w:tcPr>
          <w:p>
            <w:pPr>
              <w:spacing w:before="60" w:after="60"/>
              <w:ind w:left="72"/>
              <w:jc w:val="right"/>
            </w:pPr>
            <w:r>
              <w:rPr>
                <w:sz w:val="18"/>
              </w:rPr>
              <w:t>21 085 917</w:t>
            </w:r>
          </w:p>
        </w:tc>
        <w:tc>
          <w:tcPr>
            <w:tcW w:type="dxa" w:w="2160"/>
            <w:shd w:val="clear" w:color="auto" w:fill="F2F2F2"/>
          </w:tcPr>
          <w:p>
            <w:pPr>
              <w:spacing w:before="60" w:after="60"/>
              <w:ind w:left="72"/>
              <w:jc w:val="right"/>
            </w:pPr>
            <w:r>
              <w:rPr>
                <w:sz w:val="18"/>
              </w:rPr>
              <w:t>4,0 %</w:t>
            </w:r>
          </w:p>
        </w:tc>
      </w:tr>
      <w:tr>
        <w:tc>
          <w:tcPr>
            <w:tcW w:type="dxa" w:w="4320"/>
            <w:shd w:val="clear" w:color="auto" w:fill="FFFFFF"/>
          </w:tcPr>
          <w:p>
            <w:pPr>
              <w:spacing w:before="60" w:after="60"/>
              <w:ind w:left="72"/>
              <w:jc w:val="left"/>
            </w:pPr>
            <w:r>
              <w:rPr>
                <w:sz w:val="18"/>
              </w:rPr>
              <w:t>Autres clients (23)</w:t>
            </w:r>
          </w:p>
        </w:tc>
        <w:tc>
          <w:tcPr>
            <w:tcW w:type="dxa" w:w="3600"/>
            <w:shd w:val="clear" w:color="auto" w:fill="FFFFFF"/>
          </w:tcPr>
          <w:p>
            <w:pPr>
              <w:spacing w:before="60" w:after="60"/>
              <w:ind w:left="72"/>
              <w:jc w:val="right"/>
            </w:pPr>
            <w:r>
              <w:rPr>
                <w:sz w:val="18"/>
              </w:rPr>
              <w:t>95 087 080</w:t>
            </w:r>
          </w:p>
        </w:tc>
        <w:tc>
          <w:tcPr>
            <w:tcW w:type="dxa" w:w="2160"/>
            <w:shd w:val="clear" w:color="auto" w:fill="FFFFFF"/>
          </w:tcPr>
          <w:p>
            <w:pPr>
              <w:spacing w:before="60" w:after="60"/>
              <w:ind w:left="72"/>
              <w:jc w:val="right"/>
            </w:pPr>
            <w:r>
              <w:rPr>
                <w:sz w:val="18"/>
              </w:rPr>
              <w:t>18,2 %</w:t>
            </w:r>
          </w:p>
        </w:tc>
      </w:tr>
      <w:tr>
        <w:tc>
          <w:tcPr>
            <w:tcW w:type="dxa" w:w="4320"/>
            <w:shd w:val="clear" w:color="auto" w:fill="F2F2F2"/>
          </w:tcPr>
          <w:p>
            <w:pPr>
              <w:spacing w:before="60" w:after="60"/>
              <w:ind w:left="72"/>
              <w:jc w:val="left"/>
            </w:pPr>
            <w:r>
              <w:rPr>
                <w:sz w:val="18"/>
              </w:rPr>
              <w:t>TOTAL</w:t>
            </w:r>
          </w:p>
        </w:tc>
        <w:tc>
          <w:tcPr>
            <w:tcW w:type="dxa" w:w="3600"/>
            <w:shd w:val="clear" w:color="auto" w:fill="F2F2F2"/>
          </w:tcPr>
          <w:p>
            <w:pPr>
              <w:spacing w:before="60" w:after="60"/>
              <w:ind w:left="72"/>
              <w:jc w:val="right"/>
            </w:pPr>
            <w:r>
              <w:rPr>
                <w:sz w:val="18"/>
              </w:rPr>
              <w:t>522 177 898</w:t>
            </w:r>
          </w:p>
        </w:tc>
        <w:tc>
          <w:tcPr>
            <w:tcW w:type="dxa" w:w="2160"/>
            <w:shd w:val="clear" w:color="auto" w:fill="F2F2F2"/>
          </w:tcPr>
          <w:p>
            <w:pPr>
              <w:spacing w:before="60" w:after="60"/>
              <w:ind w:left="72"/>
              <w:jc w:val="right"/>
            </w:pPr>
            <w:r>
              <w:rPr>
                <w:sz w:val="18"/>
              </w:rPr>
              <w:t>100 %</w:t>
            </w:r>
          </w:p>
        </w:tc>
      </w:tr>
    </w:tbl>
    <w:p>
      <w:pPr>
        <w:spacing w:before="0" w:after="0"/>
      </w:pPr>
      <w:r>
        <w:rPr>
          <w:sz w:val="8"/>
        </w:rPr>
      </w:r>
    </w:p>
    <w:p>
      <w:pPr>
        <w:spacing w:before="40" w:after="80"/>
      </w:pPr>
      <w:r>
        <w:rPr>
          <w:b/>
          <w:i w:val="0"/>
          <w:color w:val="C0392B"/>
          <w:sz w:val="20"/>
        </w:rPr>
        <w:t>⚠  Top 1 client : 27,2 % — Top 3 clients : 54,1 % — Top 5 clients : 71,7 % du CA 2024.</w:t>
      </w:r>
    </w:p>
    <w:p>
      <w:r>
        <w:br w:type="page"/>
      </w:r>
    </w:p>
    <w:p>
      <w:pPr>
        <w:spacing w:before="360" w:after="120"/>
        <w:pBdr>
          <w:bottom w:val="single" w:sz="6" w:space="1" w:color="1B3A5C"/>
        </w:pBdr>
      </w:pPr>
      <w:r>
        <w:rPr>
          <w:b/>
          <w:color w:val="1B3A5C"/>
          <w:sz w:val="32"/>
        </w:rPr>
        <w:t>3. PROJECTIONS ET PLAN DE TRÉSORERIE 2026</w:t>
      </w:r>
    </w:p>
    <w:p>
      <w:pPr>
        <w:spacing w:before="240" w:after="120"/>
      </w:pPr>
      <w:r>
        <w:rPr>
          <w:b/>
          <w:color w:val="2E75B6"/>
          <w:sz w:val="26"/>
        </w:rPr>
        <w:t>3.1 Plan de trésorerie 2026 (synthèse mensuelle)</w:t>
      </w:r>
    </w:p>
    <w:p>
      <w:pPr>
        <w:spacing w:before="40" w:after="80"/>
      </w:pPr>
      <w:r>
        <w:rPr>
          <w:b w:val="0"/>
          <w:i w:val="0"/>
          <w:color w:val="000000"/>
          <w:sz w:val="20"/>
        </w:rPr>
        <w:t>Le plan de trésorerie établi par la direction pour 2026 reflète une montée en charge progressive, tirée par des contrats structurants : projet BTP Métro (80 M FCFA/mois), contrat AGL (objectif 600-800 agents), secteur agroalimentaire (+1 000 journaliers) et expansion Togo.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Mois</w:t>
            </w:r>
          </w:p>
        </w:tc>
        <w:tc>
          <w:tcPr>
            <w:tcW w:type="dxa" w:w="3168"/>
            <w:shd w:val="clear" w:color="auto" w:fill="1B3A5C"/>
            <w:vAlign w:val="center"/>
          </w:tcPr>
          <w:p>
            <w:pPr>
              <w:spacing w:before="80" w:after="80"/>
              <w:jc w:val="center"/>
            </w:pPr>
            <w:r>
              <w:rPr>
                <w:b/>
                <w:color w:val="FFFFFF"/>
                <w:sz w:val="18"/>
              </w:rPr>
              <w:t>Encaissements (FCFA)</w:t>
            </w:r>
          </w:p>
        </w:tc>
        <w:tc>
          <w:tcPr>
            <w:tcW w:type="dxa" w:w="3168"/>
            <w:shd w:val="clear" w:color="auto" w:fill="1B3A5C"/>
            <w:vAlign w:val="center"/>
          </w:tcPr>
          <w:p>
            <w:pPr>
              <w:spacing w:before="80" w:after="80"/>
              <w:jc w:val="center"/>
            </w:pPr>
            <w:r>
              <w:rPr>
                <w:b/>
                <w:color w:val="FFFFFF"/>
                <w:sz w:val="18"/>
              </w:rPr>
              <w:t>Décaissements (FCFA)</w:t>
            </w:r>
          </w:p>
        </w:tc>
        <w:tc>
          <w:tcPr>
            <w:tcW w:type="dxa" w:w="2880"/>
            <w:shd w:val="clear" w:color="auto" w:fill="1B3A5C"/>
            <w:vAlign w:val="center"/>
          </w:tcPr>
          <w:p>
            <w:pPr>
              <w:spacing w:before="80" w:after="80"/>
              <w:jc w:val="center"/>
            </w:pPr>
            <w:r>
              <w:rPr>
                <w:b/>
                <w:color w:val="FFFFFF"/>
                <w:sz w:val="18"/>
              </w:rPr>
              <w:t>Solde mensuel (FCFA)</w:t>
            </w:r>
          </w:p>
        </w:tc>
      </w:tr>
      <w:tr>
        <w:tc>
          <w:tcPr>
            <w:tcW w:type="dxa" w:w="2160"/>
            <w:shd w:val="clear" w:color="auto" w:fill="F2F2F2"/>
          </w:tcPr>
          <w:p>
            <w:pPr>
              <w:spacing w:before="60" w:after="60"/>
              <w:ind w:left="72"/>
              <w:jc w:val="left"/>
            </w:pPr>
            <w:r>
              <w:rPr>
                <w:sz w:val="18"/>
              </w:rPr>
              <w:t>Janvier</w:t>
            </w:r>
          </w:p>
        </w:tc>
        <w:tc>
          <w:tcPr>
            <w:tcW w:type="dxa" w:w="3168"/>
            <w:shd w:val="clear" w:color="auto" w:fill="F2F2F2"/>
          </w:tcPr>
          <w:p>
            <w:pPr>
              <w:spacing w:before="60" w:after="60"/>
              <w:ind w:left="72"/>
              <w:jc w:val="right"/>
            </w:pPr>
            <w:r>
              <w:rPr>
                <w:sz w:val="18"/>
              </w:rPr>
              <w:t>80 000 000</w:t>
            </w:r>
          </w:p>
        </w:tc>
        <w:tc>
          <w:tcPr>
            <w:tcW w:type="dxa" w:w="3168"/>
            <w:shd w:val="clear" w:color="auto" w:fill="F2F2F2"/>
          </w:tcPr>
          <w:p>
            <w:pPr>
              <w:spacing w:before="60" w:after="60"/>
              <w:ind w:left="72"/>
              <w:jc w:val="right"/>
            </w:pPr>
            <w:r>
              <w:rPr>
                <w:sz w:val="18"/>
              </w:rPr>
              <w:t>56 446 200</w:t>
            </w:r>
          </w:p>
        </w:tc>
        <w:tc>
          <w:tcPr>
            <w:tcW w:type="dxa" w:w="2880"/>
            <w:shd w:val="clear" w:color="auto" w:fill="F2F2F2"/>
          </w:tcPr>
          <w:p>
            <w:pPr>
              <w:spacing w:before="60" w:after="60"/>
              <w:ind w:left="72"/>
              <w:jc w:val="right"/>
            </w:pPr>
            <w:r>
              <w:rPr>
                <w:sz w:val="18"/>
              </w:rPr>
              <w:t>23 553 800</w:t>
            </w:r>
          </w:p>
        </w:tc>
      </w:tr>
      <w:tr>
        <w:tc>
          <w:tcPr>
            <w:tcW w:type="dxa" w:w="2160"/>
            <w:shd w:val="clear" w:color="auto" w:fill="FFFFFF"/>
          </w:tcPr>
          <w:p>
            <w:pPr>
              <w:spacing w:before="60" w:after="60"/>
              <w:ind w:left="72"/>
              <w:jc w:val="left"/>
            </w:pPr>
            <w:r>
              <w:rPr>
                <w:sz w:val="18"/>
              </w:rPr>
              <w:t>Février</w:t>
            </w:r>
          </w:p>
        </w:tc>
        <w:tc>
          <w:tcPr>
            <w:tcW w:type="dxa" w:w="3168"/>
            <w:shd w:val="clear" w:color="auto" w:fill="FFFFFF"/>
          </w:tcPr>
          <w:p>
            <w:pPr>
              <w:spacing w:before="60" w:after="60"/>
              <w:ind w:left="72"/>
              <w:jc w:val="right"/>
            </w:pPr>
            <w:r>
              <w:rPr>
                <w:sz w:val="18"/>
              </w:rPr>
              <w:t>80 000 000</w:t>
            </w:r>
          </w:p>
        </w:tc>
        <w:tc>
          <w:tcPr>
            <w:tcW w:type="dxa" w:w="3168"/>
            <w:shd w:val="clear" w:color="auto" w:fill="FFFFFF"/>
          </w:tcPr>
          <w:p>
            <w:pPr>
              <w:spacing w:before="60" w:after="60"/>
              <w:ind w:left="72"/>
              <w:jc w:val="right"/>
            </w:pPr>
            <w:r>
              <w:rPr>
                <w:sz w:val="18"/>
              </w:rPr>
              <w:t>56 749 000</w:t>
            </w:r>
          </w:p>
        </w:tc>
        <w:tc>
          <w:tcPr>
            <w:tcW w:type="dxa" w:w="2880"/>
            <w:shd w:val="clear" w:color="auto" w:fill="FFFFFF"/>
          </w:tcPr>
          <w:p>
            <w:pPr>
              <w:spacing w:before="60" w:after="60"/>
              <w:ind w:left="72"/>
              <w:jc w:val="right"/>
            </w:pPr>
            <w:r>
              <w:rPr>
                <w:sz w:val="18"/>
              </w:rPr>
              <w:t>23 251 000</w:t>
            </w:r>
          </w:p>
        </w:tc>
      </w:tr>
      <w:tr>
        <w:tc>
          <w:tcPr>
            <w:tcW w:type="dxa" w:w="2160"/>
            <w:shd w:val="clear" w:color="auto" w:fill="F2F2F2"/>
          </w:tcPr>
          <w:p>
            <w:pPr>
              <w:spacing w:before="60" w:after="60"/>
              <w:ind w:left="72"/>
              <w:jc w:val="left"/>
            </w:pPr>
            <w:r>
              <w:rPr>
                <w:sz w:val="18"/>
              </w:rPr>
              <w:t>Mars</w:t>
            </w:r>
          </w:p>
        </w:tc>
        <w:tc>
          <w:tcPr>
            <w:tcW w:type="dxa" w:w="3168"/>
            <w:shd w:val="clear" w:color="auto" w:fill="F2F2F2"/>
          </w:tcPr>
          <w:p>
            <w:pPr>
              <w:spacing w:before="60" w:after="60"/>
              <w:ind w:left="72"/>
              <w:jc w:val="right"/>
            </w:pPr>
            <w:r>
              <w:rPr>
                <w:sz w:val="18"/>
              </w:rPr>
              <w:t>95 000 000</w:t>
            </w:r>
          </w:p>
        </w:tc>
        <w:tc>
          <w:tcPr>
            <w:tcW w:type="dxa" w:w="3168"/>
            <w:shd w:val="clear" w:color="auto" w:fill="F2F2F2"/>
          </w:tcPr>
          <w:p>
            <w:pPr>
              <w:spacing w:before="60" w:after="60"/>
              <w:ind w:left="72"/>
              <w:jc w:val="right"/>
            </w:pPr>
            <w:r>
              <w:rPr>
                <w:sz w:val="18"/>
              </w:rPr>
              <w:t>69 035 000</w:t>
            </w:r>
          </w:p>
        </w:tc>
        <w:tc>
          <w:tcPr>
            <w:tcW w:type="dxa" w:w="2880"/>
            <w:shd w:val="clear" w:color="auto" w:fill="F2F2F2"/>
          </w:tcPr>
          <w:p>
            <w:pPr>
              <w:spacing w:before="60" w:after="60"/>
              <w:ind w:left="72"/>
              <w:jc w:val="right"/>
            </w:pPr>
            <w:r>
              <w:rPr>
                <w:sz w:val="18"/>
              </w:rPr>
              <w:t>25 965 000</w:t>
            </w:r>
          </w:p>
        </w:tc>
      </w:tr>
      <w:tr>
        <w:tc>
          <w:tcPr>
            <w:tcW w:type="dxa" w:w="2160"/>
            <w:shd w:val="clear" w:color="auto" w:fill="FFFFFF"/>
          </w:tcPr>
          <w:p>
            <w:pPr>
              <w:spacing w:before="60" w:after="60"/>
              <w:ind w:left="72"/>
              <w:jc w:val="left"/>
            </w:pPr>
            <w:r>
              <w:rPr>
                <w:sz w:val="18"/>
              </w:rPr>
              <w:t>Avril</w:t>
            </w:r>
          </w:p>
        </w:tc>
        <w:tc>
          <w:tcPr>
            <w:tcW w:type="dxa" w:w="3168"/>
            <w:shd w:val="clear" w:color="auto" w:fill="FFFFFF"/>
          </w:tcPr>
          <w:p>
            <w:pPr>
              <w:spacing w:before="60" w:after="60"/>
              <w:ind w:left="72"/>
              <w:jc w:val="right"/>
            </w:pPr>
            <w:r>
              <w:rPr>
                <w:sz w:val="18"/>
              </w:rPr>
              <w:t>195 000 000</w:t>
            </w:r>
          </w:p>
        </w:tc>
        <w:tc>
          <w:tcPr>
            <w:tcW w:type="dxa" w:w="3168"/>
            <w:shd w:val="clear" w:color="auto" w:fill="FFFFFF"/>
          </w:tcPr>
          <w:p>
            <w:pPr>
              <w:spacing w:before="60" w:after="60"/>
              <w:ind w:left="72"/>
              <w:jc w:val="right"/>
            </w:pPr>
            <w:r>
              <w:rPr>
                <w:sz w:val="18"/>
              </w:rPr>
              <w:t>138 218 000</w:t>
            </w:r>
          </w:p>
        </w:tc>
        <w:tc>
          <w:tcPr>
            <w:tcW w:type="dxa" w:w="2880"/>
            <w:shd w:val="clear" w:color="auto" w:fill="FFFFFF"/>
          </w:tcPr>
          <w:p>
            <w:pPr>
              <w:spacing w:before="60" w:after="60"/>
              <w:ind w:left="72"/>
              <w:jc w:val="right"/>
            </w:pPr>
            <w:r>
              <w:rPr>
                <w:sz w:val="18"/>
              </w:rPr>
              <w:t>56 782 000</w:t>
            </w:r>
          </w:p>
        </w:tc>
      </w:tr>
      <w:tr>
        <w:tc>
          <w:tcPr>
            <w:tcW w:type="dxa" w:w="2160"/>
            <w:shd w:val="clear" w:color="auto" w:fill="F2F2F2"/>
          </w:tcPr>
          <w:p>
            <w:pPr>
              <w:spacing w:before="60" w:after="60"/>
              <w:ind w:left="72"/>
              <w:jc w:val="left"/>
            </w:pPr>
            <w:r>
              <w:rPr>
                <w:sz w:val="18"/>
              </w:rPr>
              <w:t>Mai</w:t>
            </w:r>
          </w:p>
        </w:tc>
        <w:tc>
          <w:tcPr>
            <w:tcW w:type="dxa" w:w="3168"/>
            <w:shd w:val="clear" w:color="auto" w:fill="F2F2F2"/>
          </w:tcPr>
          <w:p>
            <w:pPr>
              <w:spacing w:before="60" w:after="60"/>
              <w:ind w:left="72"/>
              <w:jc w:val="right"/>
            </w:pPr>
            <w:r>
              <w:rPr>
                <w:sz w:val="18"/>
              </w:rPr>
              <w:t>210 000 000</w:t>
            </w:r>
          </w:p>
        </w:tc>
        <w:tc>
          <w:tcPr>
            <w:tcW w:type="dxa" w:w="3168"/>
            <w:shd w:val="clear" w:color="auto" w:fill="F2F2F2"/>
          </w:tcPr>
          <w:p>
            <w:pPr>
              <w:spacing w:before="60" w:after="60"/>
              <w:ind w:left="72"/>
              <w:jc w:val="right"/>
            </w:pPr>
            <w:r>
              <w:rPr>
                <w:sz w:val="18"/>
              </w:rPr>
              <w:t>139 663 000</w:t>
            </w:r>
          </w:p>
        </w:tc>
        <w:tc>
          <w:tcPr>
            <w:tcW w:type="dxa" w:w="2880"/>
            <w:shd w:val="clear" w:color="auto" w:fill="F2F2F2"/>
          </w:tcPr>
          <w:p>
            <w:pPr>
              <w:spacing w:before="60" w:after="60"/>
              <w:ind w:left="72"/>
              <w:jc w:val="right"/>
            </w:pPr>
            <w:r>
              <w:rPr>
                <w:sz w:val="18"/>
              </w:rPr>
              <w:t>70 337 000</w:t>
            </w:r>
          </w:p>
        </w:tc>
      </w:tr>
      <w:tr>
        <w:tc>
          <w:tcPr>
            <w:tcW w:type="dxa" w:w="2160"/>
            <w:shd w:val="clear" w:color="auto" w:fill="FFFFFF"/>
          </w:tcPr>
          <w:p>
            <w:pPr>
              <w:spacing w:before="60" w:after="60"/>
              <w:ind w:left="72"/>
              <w:jc w:val="left"/>
            </w:pPr>
            <w:r>
              <w:rPr>
                <w:sz w:val="18"/>
              </w:rPr>
              <w:t>Juin</w:t>
            </w:r>
          </w:p>
        </w:tc>
        <w:tc>
          <w:tcPr>
            <w:tcW w:type="dxa" w:w="3168"/>
            <w:shd w:val="clear" w:color="auto" w:fill="FFFFFF"/>
          </w:tcPr>
          <w:p>
            <w:pPr>
              <w:spacing w:before="60" w:after="60"/>
              <w:ind w:left="72"/>
              <w:jc w:val="right"/>
            </w:pPr>
            <w:r>
              <w:rPr>
                <w:sz w:val="18"/>
              </w:rPr>
              <w:t>215 000 000</w:t>
            </w:r>
          </w:p>
        </w:tc>
        <w:tc>
          <w:tcPr>
            <w:tcW w:type="dxa" w:w="3168"/>
            <w:shd w:val="clear" w:color="auto" w:fill="FFFFFF"/>
          </w:tcPr>
          <w:p>
            <w:pPr>
              <w:spacing w:before="60" w:after="60"/>
              <w:ind w:left="72"/>
              <w:jc w:val="right"/>
            </w:pPr>
            <w:r>
              <w:rPr>
                <w:sz w:val="18"/>
              </w:rPr>
              <w:t>144 208 000</w:t>
            </w:r>
          </w:p>
        </w:tc>
        <w:tc>
          <w:tcPr>
            <w:tcW w:type="dxa" w:w="2880"/>
            <w:shd w:val="clear" w:color="auto" w:fill="FFFFFF"/>
          </w:tcPr>
          <w:p>
            <w:pPr>
              <w:spacing w:before="60" w:after="60"/>
              <w:ind w:left="72"/>
              <w:jc w:val="right"/>
            </w:pPr>
            <w:r>
              <w:rPr>
                <w:sz w:val="18"/>
              </w:rPr>
              <w:t>70 792 000</w:t>
            </w:r>
          </w:p>
        </w:tc>
      </w:tr>
      <w:tr>
        <w:tc>
          <w:tcPr>
            <w:tcW w:type="dxa" w:w="2160"/>
            <w:shd w:val="clear" w:color="auto" w:fill="F2F2F2"/>
          </w:tcPr>
          <w:p>
            <w:pPr>
              <w:spacing w:before="60" w:after="60"/>
              <w:ind w:left="72"/>
              <w:jc w:val="left"/>
            </w:pPr>
            <w:r>
              <w:rPr>
                <w:sz w:val="18"/>
              </w:rPr>
              <w:t>Juillet</w:t>
            </w:r>
          </w:p>
        </w:tc>
        <w:tc>
          <w:tcPr>
            <w:tcW w:type="dxa" w:w="3168"/>
            <w:shd w:val="clear" w:color="auto" w:fill="F2F2F2"/>
          </w:tcPr>
          <w:p>
            <w:pPr>
              <w:spacing w:before="60" w:after="60"/>
              <w:ind w:left="72"/>
              <w:jc w:val="right"/>
            </w:pPr>
            <w:r>
              <w:rPr>
                <w:sz w:val="18"/>
              </w:rPr>
              <w:t>215 000 000</w:t>
            </w:r>
          </w:p>
        </w:tc>
        <w:tc>
          <w:tcPr>
            <w:tcW w:type="dxa" w:w="3168"/>
            <w:shd w:val="clear" w:color="auto" w:fill="F2F2F2"/>
          </w:tcPr>
          <w:p>
            <w:pPr>
              <w:spacing w:before="60" w:after="60"/>
              <w:ind w:left="72"/>
              <w:jc w:val="right"/>
            </w:pPr>
            <w:r>
              <w:rPr>
                <w:sz w:val="18"/>
              </w:rPr>
              <w:t>143 208 000</w:t>
            </w:r>
          </w:p>
        </w:tc>
        <w:tc>
          <w:tcPr>
            <w:tcW w:type="dxa" w:w="2880"/>
            <w:shd w:val="clear" w:color="auto" w:fill="F2F2F2"/>
          </w:tcPr>
          <w:p>
            <w:pPr>
              <w:spacing w:before="60" w:after="60"/>
              <w:ind w:left="72"/>
              <w:jc w:val="right"/>
            </w:pPr>
            <w:r>
              <w:rPr>
                <w:sz w:val="18"/>
              </w:rPr>
              <w:t>71 792 000</w:t>
            </w:r>
          </w:p>
        </w:tc>
      </w:tr>
      <w:tr>
        <w:tc>
          <w:tcPr>
            <w:tcW w:type="dxa" w:w="2160"/>
            <w:shd w:val="clear" w:color="auto" w:fill="FFFFFF"/>
          </w:tcPr>
          <w:p>
            <w:pPr>
              <w:spacing w:before="60" w:after="60"/>
              <w:ind w:left="72"/>
              <w:jc w:val="left"/>
            </w:pPr>
            <w:r>
              <w:rPr>
                <w:sz w:val="18"/>
              </w:rPr>
              <w:t>Août</w:t>
            </w:r>
          </w:p>
        </w:tc>
        <w:tc>
          <w:tcPr>
            <w:tcW w:type="dxa" w:w="3168"/>
            <w:shd w:val="clear" w:color="auto" w:fill="FFFFFF"/>
          </w:tcPr>
          <w:p>
            <w:pPr>
              <w:spacing w:before="60" w:after="60"/>
              <w:ind w:left="72"/>
              <w:jc w:val="right"/>
            </w:pPr>
            <w:r>
              <w:rPr>
                <w:sz w:val="18"/>
              </w:rPr>
              <w:t>225 000 000</w:t>
            </w:r>
          </w:p>
        </w:tc>
        <w:tc>
          <w:tcPr>
            <w:tcW w:type="dxa" w:w="3168"/>
            <w:shd w:val="clear" w:color="auto" w:fill="FFFFFF"/>
          </w:tcPr>
          <w:p>
            <w:pPr>
              <w:spacing w:before="60" w:after="60"/>
              <w:ind w:left="72"/>
              <w:jc w:val="right"/>
            </w:pPr>
            <w:r>
              <w:rPr>
                <w:sz w:val="18"/>
              </w:rPr>
              <w:t>150 003 000</w:t>
            </w:r>
          </w:p>
        </w:tc>
        <w:tc>
          <w:tcPr>
            <w:tcW w:type="dxa" w:w="2880"/>
            <w:shd w:val="clear" w:color="auto" w:fill="FFFFFF"/>
          </w:tcPr>
          <w:p>
            <w:pPr>
              <w:spacing w:before="60" w:after="60"/>
              <w:ind w:left="72"/>
              <w:jc w:val="right"/>
            </w:pPr>
            <w:r>
              <w:rPr>
                <w:sz w:val="18"/>
              </w:rPr>
              <w:t>74 997 000</w:t>
            </w:r>
          </w:p>
        </w:tc>
      </w:tr>
      <w:tr>
        <w:tc>
          <w:tcPr>
            <w:tcW w:type="dxa" w:w="2160"/>
            <w:shd w:val="clear" w:color="auto" w:fill="F2F2F2"/>
          </w:tcPr>
          <w:p>
            <w:pPr>
              <w:spacing w:before="60" w:after="60"/>
              <w:ind w:left="72"/>
              <w:jc w:val="left"/>
            </w:pPr>
            <w:r>
              <w:rPr>
                <w:sz w:val="18"/>
              </w:rPr>
              <w:t>Septembre</w:t>
            </w:r>
          </w:p>
        </w:tc>
        <w:tc>
          <w:tcPr>
            <w:tcW w:type="dxa" w:w="3168"/>
            <w:shd w:val="clear" w:color="auto" w:fill="F2F2F2"/>
          </w:tcPr>
          <w:p>
            <w:pPr>
              <w:spacing w:before="60" w:after="60"/>
              <w:ind w:left="72"/>
              <w:jc w:val="right"/>
            </w:pPr>
            <w:r>
              <w:rPr>
                <w:sz w:val="18"/>
              </w:rPr>
              <w:t>225 000 000</w:t>
            </w:r>
          </w:p>
        </w:tc>
        <w:tc>
          <w:tcPr>
            <w:tcW w:type="dxa" w:w="3168"/>
            <w:shd w:val="clear" w:color="auto" w:fill="F2F2F2"/>
          </w:tcPr>
          <w:p>
            <w:pPr>
              <w:spacing w:before="60" w:after="60"/>
              <w:ind w:left="72"/>
              <w:jc w:val="right"/>
            </w:pPr>
            <w:r>
              <w:rPr>
                <w:sz w:val="18"/>
              </w:rPr>
              <w:t>150 503 000</w:t>
            </w:r>
          </w:p>
        </w:tc>
        <w:tc>
          <w:tcPr>
            <w:tcW w:type="dxa" w:w="2880"/>
            <w:shd w:val="clear" w:color="auto" w:fill="F2F2F2"/>
          </w:tcPr>
          <w:p>
            <w:pPr>
              <w:spacing w:before="60" w:after="60"/>
              <w:ind w:left="72"/>
              <w:jc w:val="right"/>
            </w:pPr>
            <w:r>
              <w:rPr>
                <w:sz w:val="18"/>
              </w:rPr>
              <w:t>74 497 000</w:t>
            </w:r>
          </w:p>
        </w:tc>
      </w:tr>
      <w:tr>
        <w:tc>
          <w:tcPr>
            <w:tcW w:type="dxa" w:w="2160"/>
            <w:shd w:val="clear" w:color="auto" w:fill="FFFFFF"/>
          </w:tcPr>
          <w:p>
            <w:pPr>
              <w:spacing w:before="60" w:after="60"/>
              <w:ind w:left="72"/>
              <w:jc w:val="left"/>
            </w:pPr>
            <w:r>
              <w:rPr>
                <w:sz w:val="18"/>
              </w:rPr>
              <w:t>Octobre</w:t>
            </w:r>
          </w:p>
        </w:tc>
        <w:tc>
          <w:tcPr>
            <w:tcW w:type="dxa" w:w="3168"/>
            <w:shd w:val="clear" w:color="auto" w:fill="FFFFFF"/>
          </w:tcPr>
          <w:p>
            <w:pPr>
              <w:spacing w:before="60" w:after="60"/>
              <w:ind w:left="72"/>
              <w:jc w:val="right"/>
            </w:pPr>
            <w:r>
              <w:rPr>
                <w:sz w:val="18"/>
              </w:rPr>
              <w:t>225 000 000</w:t>
            </w:r>
          </w:p>
        </w:tc>
        <w:tc>
          <w:tcPr>
            <w:tcW w:type="dxa" w:w="3168"/>
            <w:shd w:val="clear" w:color="auto" w:fill="FFFFFF"/>
          </w:tcPr>
          <w:p>
            <w:pPr>
              <w:spacing w:before="60" w:after="60"/>
              <w:ind w:left="72"/>
              <w:jc w:val="right"/>
            </w:pPr>
            <w:r>
              <w:rPr>
                <w:sz w:val="18"/>
              </w:rPr>
              <w:t>150 103 000</w:t>
            </w:r>
          </w:p>
        </w:tc>
        <w:tc>
          <w:tcPr>
            <w:tcW w:type="dxa" w:w="2880"/>
            <w:shd w:val="clear" w:color="auto" w:fill="FFFFFF"/>
          </w:tcPr>
          <w:p>
            <w:pPr>
              <w:spacing w:before="60" w:after="60"/>
              <w:ind w:left="72"/>
              <w:jc w:val="right"/>
            </w:pPr>
            <w:r>
              <w:rPr>
                <w:sz w:val="18"/>
              </w:rPr>
              <w:t>74 897 000</w:t>
            </w:r>
          </w:p>
        </w:tc>
      </w:tr>
      <w:tr>
        <w:tc>
          <w:tcPr>
            <w:tcW w:type="dxa" w:w="2160"/>
            <w:shd w:val="clear" w:color="auto" w:fill="F2F2F2"/>
          </w:tcPr>
          <w:p>
            <w:pPr>
              <w:spacing w:before="60" w:after="60"/>
              <w:ind w:left="72"/>
              <w:jc w:val="left"/>
            </w:pPr>
            <w:r>
              <w:rPr>
                <w:sz w:val="18"/>
              </w:rPr>
              <w:t>Novembre</w:t>
            </w:r>
          </w:p>
        </w:tc>
        <w:tc>
          <w:tcPr>
            <w:tcW w:type="dxa" w:w="3168"/>
            <w:shd w:val="clear" w:color="auto" w:fill="F2F2F2"/>
          </w:tcPr>
          <w:p>
            <w:pPr>
              <w:spacing w:before="60" w:after="60"/>
              <w:ind w:left="72"/>
              <w:jc w:val="right"/>
            </w:pPr>
            <w:r>
              <w:rPr>
                <w:sz w:val="18"/>
              </w:rPr>
              <w:t>235 000 000</w:t>
            </w:r>
          </w:p>
        </w:tc>
        <w:tc>
          <w:tcPr>
            <w:tcW w:type="dxa" w:w="3168"/>
            <w:shd w:val="clear" w:color="auto" w:fill="F2F2F2"/>
          </w:tcPr>
          <w:p>
            <w:pPr>
              <w:spacing w:before="60" w:after="60"/>
              <w:ind w:left="72"/>
              <w:jc w:val="right"/>
            </w:pPr>
            <w:r>
              <w:rPr>
                <w:sz w:val="18"/>
              </w:rPr>
              <w:t>155 299 000</w:t>
            </w:r>
          </w:p>
        </w:tc>
        <w:tc>
          <w:tcPr>
            <w:tcW w:type="dxa" w:w="2880"/>
            <w:shd w:val="clear" w:color="auto" w:fill="F2F2F2"/>
          </w:tcPr>
          <w:p>
            <w:pPr>
              <w:spacing w:before="60" w:after="60"/>
              <w:ind w:left="72"/>
              <w:jc w:val="right"/>
            </w:pPr>
            <w:r>
              <w:rPr>
                <w:sz w:val="18"/>
              </w:rPr>
              <w:t>79 701 000</w:t>
            </w:r>
          </w:p>
        </w:tc>
      </w:tr>
      <w:tr>
        <w:tc>
          <w:tcPr>
            <w:tcW w:type="dxa" w:w="2160"/>
            <w:shd w:val="clear" w:color="auto" w:fill="FFFFFF"/>
          </w:tcPr>
          <w:p>
            <w:pPr>
              <w:spacing w:before="60" w:after="60"/>
              <w:ind w:left="72"/>
              <w:jc w:val="left"/>
            </w:pPr>
            <w:r>
              <w:rPr>
                <w:sz w:val="18"/>
              </w:rPr>
              <w:t>Décembre</w:t>
            </w:r>
          </w:p>
        </w:tc>
        <w:tc>
          <w:tcPr>
            <w:tcW w:type="dxa" w:w="3168"/>
            <w:shd w:val="clear" w:color="auto" w:fill="FFFFFF"/>
          </w:tcPr>
          <w:p>
            <w:pPr>
              <w:spacing w:before="60" w:after="60"/>
              <w:ind w:left="72"/>
              <w:jc w:val="right"/>
            </w:pPr>
            <w:r>
              <w:rPr>
                <w:sz w:val="18"/>
              </w:rPr>
              <w:t>235 000 000</w:t>
            </w:r>
          </w:p>
        </w:tc>
        <w:tc>
          <w:tcPr>
            <w:tcW w:type="dxa" w:w="3168"/>
            <w:shd w:val="clear" w:color="auto" w:fill="FFFFFF"/>
          </w:tcPr>
          <w:p>
            <w:pPr>
              <w:spacing w:before="60" w:after="60"/>
              <w:ind w:left="72"/>
              <w:jc w:val="right"/>
            </w:pPr>
            <w:r>
              <w:rPr>
                <w:sz w:val="18"/>
              </w:rPr>
              <w:t>156 099 000</w:t>
            </w:r>
          </w:p>
        </w:tc>
        <w:tc>
          <w:tcPr>
            <w:tcW w:type="dxa" w:w="2880"/>
            <w:shd w:val="clear" w:color="auto" w:fill="FFFFFF"/>
          </w:tcPr>
          <w:p>
            <w:pPr>
              <w:spacing w:before="60" w:after="60"/>
              <w:ind w:left="72"/>
              <w:jc w:val="right"/>
            </w:pPr>
            <w:r>
              <w:rPr>
                <w:sz w:val="18"/>
              </w:rPr>
              <w:t>78 901 000</w:t>
            </w:r>
          </w:p>
        </w:tc>
      </w:tr>
      <w:tr>
        <w:tc>
          <w:tcPr>
            <w:tcW w:type="dxa" w:w="2160"/>
            <w:shd w:val="clear" w:color="auto" w:fill="F2F2F2"/>
          </w:tcPr>
          <w:p>
            <w:pPr>
              <w:spacing w:before="60" w:after="60"/>
              <w:ind w:left="72"/>
              <w:jc w:val="left"/>
            </w:pPr>
            <w:r>
              <w:rPr>
                <w:sz w:val="18"/>
              </w:rPr>
              <w:t>TOTAL 2026</w:t>
            </w:r>
          </w:p>
        </w:tc>
        <w:tc>
          <w:tcPr>
            <w:tcW w:type="dxa" w:w="3168"/>
            <w:shd w:val="clear" w:color="auto" w:fill="F2F2F2"/>
          </w:tcPr>
          <w:p>
            <w:pPr>
              <w:spacing w:before="60" w:after="60"/>
              <w:ind w:left="72"/>
              <w:jc w:val="right"/>
            </w:pPr>
            <w:r>
              <w:rPr>
                <w:sz w:val="18"/>
              </w:rPr>
              <w:t>2 235 000 000</w:t>
            </w:r>
          </w:p>
        </w:tc>
        <w:tc>
          <w:tcPr>
            <w:tcW w:type="dxa" w:w="3168"/>
            <w:shd w:val="clear" w:color="auto" w:fill="F2F2F2"/>
          </w:tcPr>
          <w:p>
            <w:pPr>
              <w:spacing w:before="60" w:after="60"/>
              <w:ind w:left="72"/>
              <w:jc w:val="right"/>
            </w:pPr>
            <w:r>
              <w:rPr>
                <w:sz w:val="18"/>
              </w:rPr>
              <w:t>1 509 534 200</w:t>
            </w:r>
          </w:p>
        </w:tc>
        <w:tc>
          <w:tcPr>
            <w:tcW w:type="dxa" w:w="2880"/>
            <w:shd w:val="clear" w:color="auto" w:fill="F2F2F2"/>
          </w:tcPr>
          <w:p>
            <w:pPr>
              <w:spacing w:before="60" w:after="60"/>
              <w:ind w:left="72"/>
              <w:jc w:val="right"/>
            </w:pPr>
            <w:r>
              <w:rPr>
                <w:sz w:val="18"/>
              </w:rPr>
              <w:t>725 465 800</w:t>
            </w:r>
          </w:p>
        </w:tc>
      </w:tr>
    </w:tbl>
    <w:p>
      <w:pPr>
        <w:spacing w:before="0" w:after="0"/>
      </w:pPr>
      <w:r>
        <w:rPr>
          <w:sz w:val="8"/>
        </w:rPr>
      </w:r>
    </w:p>
    <w:p>
      <w:pPr>
        <w:spacing w:before="40" w:after="80"/>
      </w:pPr>
      <w:r>
        <w:rPr>
          <w:b/>
          <w:i w:val="0"/>
          <w:color w:val="000000"/>
          <w:sz w:val="20"/>
        </w:rPr>
        <w:t>Marge nette prévisionnelle 2026 : 32,5 % — dont masse salariale : ~1 268 M FCFA (57 % des encaissements).</w:t>
      </w:r>
    </w:p>
    <w:p>
      <w:pPr>
        <w:spacing w:before="240" w:after="120"/>
      </w:pPr>
      <w:r>
        <w:rPr>
          <w:b/>
          <w:color w:val="2E75B6"/>
          <w:sz w:val="26"/>
        </w:rPr>
        <w:t>3.2 Projections naturelles 2026-2028</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val="clear" w:color="auto" w:fill="1B3A5C"/>
            <w:vAlign w:val="center"/>
          </w:tcPr>
          <w:p>
            <w:pPr>
              <w:spacing w:before="80" w:after="80"/>
              <w:jc w:val="center"/>
            </w:pPr>
            <w:r>
              <w:rPr>
                <w:b/>
                <w:color w:val="FFFFFF"/>
                <w:sz w:val="18"/>
              </w:rPr>
              <w:t>Exercice</w:t>
            </w:r>
          </w:p>
        </w:tc>
        <w:tc>
          <w:tcPr>
            <w:tcW w:type="dxa" w:w="2880"/>
            <w:shd w:val="clear" w:color="auto" w:fill="1B3A5C"/>
            <w:vAlign w:val="center"/>
          </w:tcPr>
          <w:p>
            <w:pPr>
              <w:spacing w:before="80" w:after="80"/>
              <w:jc w:val="center"/>
            </w:pPr>
            <w:r>
              <w:rPr>
                <w:b/>
                <w:color w:val="FFFFFF"/>
                <w:sz w:val="18"/>
              </w:rPr>
              <w:t>CA Prévu (M FCFA)</w:t>
            </w:r>
          </w:p>
        </w:tc>
        <w:tc>
          <w:tcPr>
            <w:tcW w:type="dxa" w:w="2880"/>
            <w:shd w:val="clear" w:color="auto" w:fill="1B3A5C"/>
            <w:vAlign w:val="center"/>
          </w:tcPr>
          <w:p>
            <w:pPr>
              <w:spacing w:before="80" w:after="80"/>
              <w:jc w:val="center"/>
            </w:pPr>
            <w:r>
              <w:rPr>
                <w:b/>
                <w:color w:val="FFFFFF"/>
                <w:sz w:val="18"/>
              </w:rPr>
              <w:t>Résultat Net Prévu (M FCFA)</w:t>
            </w:r>
          </w:p>
        </w:tc>
        <w:tc>
          <w:tcPr>
            <w:tcW w:type="dxa" w:w="1728"/>
            <w:shd w:val="clear" w:color="auto" w:fill="1B3A5C"/>
            <w:vAlign w:val="center"/>
          </w:tcPr>
          <w:p>
            <w:pPr>
              <w:spacing w:before="80" w:after="80"/>
              <w:jc w:val="center"/>
            </w:pPr>
            <w:r>
              <w:rPr>
                <w:b/>
                <w:color w:val="FFFFFF"/>
                <w:sz w:val="18"/>
              </w:rPr>
              <w:t>Marge nette</w:t>
            </w:r>
          </w:p>
        </w:tc>
        <w:tc>
          <w:tcPr>
            <w:tcW w:type="dxa" w:w="3168"/>
            <w:shd w:val="clear" w:color="auto" w:fill="1B3A5C"/>
            <w:vAlign w:val="center"/>
          </w:tcPr>
          <w:p>
            <w:pPr>
              <w:spacing w:before="80" w:after="80"/>
              <w:jc w:val="center"/>
            </w:pPr>
            <w:r>
              <w:rPr>
                <w:b/>
                <w:color w:val="FFFFFF"/>
                <w:sz w:val="18"/>
              </w:rPr>
              <w:t>Facteurs clés</w:t>
            </w:r>
          </w:p>
        </w:tc>
      </w:tr>
      <w:tr>
        <w:tc>
          <w:tcPr>
            <w:tcW w:type="dxa" w:w="1440"/>
            <w:shd w:val="clear" w:color="auto" w:fill="F2F2F2"/>
          </w:tcPr>
          <w:p>
            <w:pPr>
              <w:spacing w:before="60" w:after="60"/>
              <w:ind w:left="72"/>
              <w:jc w:val="left"/>
            </w:pPr>
            <w:r>
              <w:rPr>
                <w:sz w:val="18"/>
              </w:rPr>
              <w:t>2026</w:t>
            </w:r>
          </w:p>
        </w:tc>
        <w:tc>
          <w:tcPr>
            <w:tcW w:type="dxa" w:w="2880"/>
            <w:shd w:val="clear" w:color="auto" w:fill="F2F2F2"/>
          </w:tcPr>
          <w:p>
            <w:pPr>
              <w:spacing w:before="60" w:after="60"/>
              <w:ind w:left="72"/>
              <w:jc w:val="right"/>
            </w:pPr>
            <w:r>
              <w:rPr>
                <w:sz w:val="18"/>
              </w:rPr>
              <w:t>2 000 – 2 235</w:t>
            </w:r>
          </w:p>
        </w:tc>
        <w:tc>
          <w:tcPr>
            <w:tcW w:type="dxa" w:w="2880"/>
            <w:shd w:val="clear" w:color="auto" w:fill="F2F2F2"/>
          </w:tcPr>
          <w:p>
            <w:pPr>
              <w:spacing w:before="60" w:after="60"/>
              <w:ind w:left="72"/>
              <w:jc w:val="right"/>
            </w:pPr>
            <w:r>
              <w:rPr>
                <w:sz w:val="18"/>
              </w:rPr>
              <w:t>400 – 726</w:t>
            </w:r>
          </w:p>
        </w:tc>
        <w:tc>
          <w:tcPr>
            <w:tcW w:type="dxa" w:w="1728"/>
            <w:shd w:val="clear" w:color="auto" w:fill="F2F2F2"/>
          </w:tcPr>
          <w:p>
            <w:pPr>
              <w:spacing w:before="60" w:after="60"/>
              <w:ind w:left="72"/>
              <w:jc w:val="right"/>
            </w:pPr>
            <w:r>
              <w:rPr>
                <w:sz w:val="18"/>
              </w:rPr>
              <w:t>20-32 %</w:t>
            </w:r>
          </w:p>
        </w:tc>
        <w:tc>
          <w:tcPr>
            <w:tcW w:type="dxa" w:w="3168"/>
            <w:shd w:val="clear" w:color="auto" w:fill="F2F2F2"/>
          </w:tcPr>
          <w:p>
            <w:pPr>
              <w:spacing w:before="60" w:after="60"/>
              <w:ind w:left="72"/>
              <w:jc w:val="right"/>
            </w:pPr>
            <w:r>
              <w:rPr>
                <w:sz w:val="18"/>
              </w:rPr>
              <w:t>BTP Métro, AGL, Togo, Agro</w:t>
            </w:r>
          </w:p>
        </w:tc>
      </w:tr>
      <w:tr>
        <w:tc>
          <w:tcPr>
            <w:tcW w:type="dxa" w:w="1440"/>
            <w:shd w:val="clear" w:color="auto" w:fill="FFFFFF"/>
          </w:tcPr>
          <w:p>
            <w:pPr>
              <w:spacing w:before="60" w:after="60"/>
              <w:ind w:left="72"/>
              <w:jc w:val="left"/>
            </w:pPr>
            <w:r>
              <w:rPr>
                <w:sz w:val="18"/>
              </w:rPr>
              <w:t>2027</w:t>
            </w:r>
          </w:p>
        </w:tc>
        <w:tc>
          <w:tcPr>
            <w:tcW w:type="dxa" w:w="2880"/>
            <w:shd w:val="clear" w:color="auto" w:fill="FFFFFF"/>
          </w:tcPr>
          <w:p>
            <w:pPr>
              <w:spacing w:before="60" w:after="60"/>
              <w:ind w:left="72"/>
              <w:jc w:val="right"/>
            </w:pPr>
            <w:r>
              <w:rPr>
                <w:sz w:val="18"/>
              </w:rPr>
              <w:t>4 000</w:t>
            </w:r>
          </w:p>
        </w:tc>
        <w:tc>
          <w:tcPr>
            <w:tcW w:type="dxa" w:w="2880"/>
            <w:shd w:val="clear" w:color="auto" w:fill="FFFFFF"/>
          </w:tcPr>
          <w:p>
            <w:pPr>
              <w:spacing w:before="60" w:after="60"/>
              <w:ind w:left="72"/>
              <w:jc w:val="right"/>
            </w:pPr>
            <w:r>
              <w:rPr>
                <w:sz w:val="18"/>
              </w:rPr>
              <w:t>800</w:t>
            </w:r>
          </w:p>
        </w:tc>
        <w:tc>
          <w:tcPr>
            <w:tcW w:type="dxa" w:w="1728"/>
            <w:shd w:val="clear" w:color="auto" w:fill="FFFFFF"/>
          </w:tcPr>
          <w:p>
            <w:pPr>
              <w:spacing w:before="60" w:after="60"/>
              <w:ind w:left="72"/>
              <w:jc w:val="right"/>
            </w:pPr>
            <w:r>
              <w:rPr>
                <w:sz w:val="18"/>
              </w:rPr>
              <w:t>20 %</w:t>
            </w:r>
          </w:p>
        </w:tc>
        <w:tc>
          <w:tcPr>
            <w:tcW w:type="dxa" w:w="3168"/>
            <w:shd w:val="clear" w:color="auto" w:fill="FFFFFF"/>
          </w:tcPr>
          <w:p>
            <w:pPr>
              <w:spacing w:before="60" w:after="60"/>
              <w:ind w:left="72"/>
              <w:jc w:val="right"/>
            </w:pPr>
            <w:r>
              <w:rPr>
                <w:sz w:val="18"/>
              </w:rPr>
              <w:t>Consolidation + Bénin</w:t>
            </w:r>
          </w:p>
        </w:tc>
      </w:tr>
      <w:tr>
        <w:tc>
          <w:tcPr>
            <w:tcW w:type="dxa" w:w="1440"/>
            <w:shd w:val="clear" w:color="auto" w:fill="F2F2F2"/>
          </w:tcPr>
          <w:p>
            <w:pPr>
              <w:spacing w:before="60" w:after="60"/>
              <w:ind w:left="72"/>
              <w:jc w:val="left"/>
            </w:pPr>
            <w:r>
              <w:rPr>
                <w:sz w:val="18"/>
              </w:rPr>
              <w:t>2028</w:t>
            </w:r>
          </w:p>
        </w:tc>
        <w:tc>
          <w:tcPr>
            <w:tcW w:type="dxa" w:w="2880"/>
            <w:shd w:val="clear" w:color="auto" w:fill="F2F2F2"/>
          </w:tcPr>
          <w:p>
            <w:pPr>
              <w:spacing w:before="60" w:after="60"/>
              <w:ind w:left="72"/>
              <w:jc w:val="right"/>
            </w:pPr>
            <w:r>
              <w:rPr>
                <w:sz w:val="18"/>
              </w:rPr>
              <w:t>8 000</w:t>
            </w:r>
          </w:p>
        </w:tc>
        <w:tc>
          <w:tcPr>
            <w:tcW w:type="dxa" w:w="2880"/>
            <w:shd w:val="clear" w:color="auto" w:fill="F2F2F2"/>
          </w:tcPr>
          <w:p>
            <w:pPr>
              <w:spacing w:before="60" w:after="60"/>
              <w:ind w:left="72"/>
              <w:jc w:val="right"/>
            </w:pPr>
            <w:r>
              <w:rPr>
                <w:sz w:val="18"/>
              </w:rPr>
              <w:t>1 600</w:t>
            </w:r>
          </w:p>
        </w:tc>
        <w:tc>
          <w:tcPr>
            <w:tcW w:type="dxa" w:w="1728"/>
            <w:shd w:val="clear" w:color="auto" w:fill="F2F2F2"/>
          </w:tcPr>
          <w:p>
            <w:pPr>
              <w:spacing w:before="60" w:after="60"/>
              <w:ind w:left="72"/>
              <w:jc w:val="right"/>
            </w:pPr>
            <w:r>
              <w:rPr>
                <w:sz w:val="18"/>
              </w:rPr>
              <w:t>20 %</w:t>
            </w:r>
          </w:p>
        </w:tc>
        <w:tc>
          <w:tcPr>
            <w:tcW w:type="dxa" w:w="3168"/>
            <w:shd w:val="clear" w:color="auto" w:fill="F2F2F2"/>
          </w:tcPr>
          <w:p>
            <w:pPr>
              <w:spacing w:before="60" w:after="60"/>
              <w:ind w:left="72"/>
              <w:jc w:val="right"/>
            </w:pPr>
            <w:r>
              <w:rPr>
                <w:sz w:val="18"/>
              </w:rPr>
              <w:t>Mines, Oil &amp; Gas, expansion</w:t>
            </w:r>
          </w:p>
        </w:tc>
      </w:tr>
    </w:tbl>
    <w:p>
      <w:pPr>
        <w:spacing w:before="0" w:after="0"/>
      </w:pPr>
      <w:r>
        <w:rPr>
          <w:sz w:val="8"/>
        </w:rPr>
      </w:r>
    </w:p>
    <w:p>
      <w:pPr>
        <w:spacing w:before="240" w:after="120"/>
      </w:pPr>
      <w:r>
        <w:rPr>
          <w:b/>
          <w:color w:val="2E75B6"/>
          <w:sz w:val="26"/>
        </w:rPr>
        <w:t>3.3 Projections potentielles 2026-2028 (scenario optimiste)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val="clear" w:color="auto" w:fill="1B3A5C"/>
            <w:vAlign w:val="center"/>
          </w:tcPr>
          <w:p>
            <w:pPr>
              <w:spacing w:before="80" w:after="80"/>
              <w:jc w:val="center"/>
            </w:pPr>
            <w:r>
              <w:rPr>
                <w:b/>
                <w:color w:val="FFFFFF"/>
                <w:sz w:val="18"/>
              </w:rPr>
              <w:t>Exercice</w:t>
            </w:r>
          </w:p>
        </w:tc>
        <w:tc>
          <w:tcPr>
            <w:tcW w:type="dxa" w:w="2880"/>
            <w:shd w:val="clear" w:color="auto" w:fill="1B3A5C"/>
            <w:vAlign w:val="center"/>
          </w:tcPr>
          <w:p>
            <w:pPr>
              <w:spacing w:before="80" w:after="80"/>
              <w:jc w:val="center"/>
            </w:pPr>
            <w:r>
              <w:rPr>
                <w:b/>
                <w:color w:val="FFFFFF"/>
                <w:sz w:val="18"/>
              </w:rPr>
              <w:t>CA Prévu (M FCFA)</w:t>
            </w:r>
          </w:p>
        </w:tc>
        <w:tc>
          <w:tcPr>
            <w:tcW w:type="dxa" w:w="2880"/>
            <w:shd w:val="clear" w:color="auto" w:fill="1B3A5C"/>
            <w:vAlign w:val="center"/>
          </w:tcPr>
          <w:p>
            <w:pPr>
              <w:spacing w:before="80" w:after="80"/>
              <w:jc w:val="center"/>
            </w:pPr>
            <w:r>
              <w:rPr>
                <w:b/>
                <w:color w:val="FFFFFF"/>
                <w:sz w:val="18"/>
              </w:rPr>
              <w:t>Résultat Net Prévu (M FCFA)</w:t>
            </w:r>
          </w:p>
        </w:tc>
        <w:tc>
          <w:tcPr>
            <w:tcW w:type="dxa" w:w="4896"/>
            <w:shd w:val="clear" w:color="auto" w:fill="1B3A5C"/>
            <w:vAlign w:val="center"/>
          </w:tcPr>
          <w:p>
            <w:pPr>
              <w:spacing w:before="80" w:after="80"/>
              <w:jc w:val="center"/>
            </w:pPr>
            <w:r>
              <w:rPr>
                <w:b/>
                <w:color w:val="FFFFFF"/>
                <w:sz w:val="18"/>
              </w:rPr>
              <w:t>Leviers supplémentaires</w:t>
            </w:r>
          </w:p>
        </w:tc>
      </w:tr>
      <w:tr>
        <w:tc>
          <w:tcPr>
            <w:tcW w:type="dxa" w:w="1440"/>
            <w:shd w:val="clear" w:color="auto" w:fill="F2F2F2"/>
          </w:tcPr>
          <w:p>
            <w:pPr>
              <w:spacing w:before="60" w:after="60"/>
              <w:ind w:left="72"/>
              <w:jc w:val="left"/>
            </w:pPr>
            <w:r>
              <w:rPr>
                <w:sz w:val="18"/>
              </w:rPr>
              <w:t>2026</w:t>
            </w:r>
          </w:p>
        </w:tc>
        <w:tc>
          <w:tcPr>
            <w:tcW w:type="dxa" w:w="2880"/>
            <w:shd w:val="clear" w:color="auto" w:fill="F2F2F2"/>
          </w:tcPr>
          <w:p>
            <w:pPr>
              <w:spacing w:before="60" w:after="60"/>
              <w:ind w:left="72"/>
              <w:jc w:val="right"/>
            </w:pPr>
            <w:r>
              <w:rPr>
                <w:sz w:val="18"/>
              </w:rPr>
              <w:t>3 000</w:t>
            </w:r>
          </w:p>
        </w:tc>
        <w:tc>
          <w:tcPr>
            <w:tcW w:type="dxa" w:w="2880"/>
            <w:shd w:val="clear" w:color="auto" w:fill="F2F2F2"/>
          </w:tcPr>
          <w:p>
            <w:pPr>
              <w:spacing w:before="60" w:after="60"/>
              <w:ind w:left="72"/>
              <w:jc w:val="right"/>
            </w:pPr>
            <w:r>
              <w:rPr>
                <w:sz w:val="18"/>
              </w:rPr>
              <w:t>600</w:t>
            </w:r>
          </w:p>
        </w:tc>
        <w:tc>
          <w:tcPr>
            <w:tcW w:type="dxa" w:w="4896"/>
            <w:shd w:val="clear" w:color="auto" w:fill="F2F2F2"/>
          </w:tcPr>
          <w:p>
            <w:pPr>
              <w:spacing w:before="60" w:after="60"/>
              <w:ind w:left="72"/>
              <w:jc w:val="right"/>
            </w:pPr>
            <w:r>
              <w:rPr>
                <w:sz w:val="18"/>
              </w:rPr>
              <w:t>Mines (local content), Oil &amp; Gas offshore SIR</w:t>
            </w:r>
          </w:p>
        </w:tc>
      </w:tr>
      <w:tr>
        <w:tc>
          <w:tcPr>
            <w:tcW w:type="dxa" w:w="1440"/>
            <w:shd w:val="clear" w:color="auto" w:fill="FFFFFF"/>
          </w:tcPr>
          <w:p>
            <w:pPr>
              <w:spacing w:before="60" w:after="60"/>
              <w:ind w:left="72"/>
              <w:jc w:val="left"/>
            </w:pPr>
            <w:r>
              <w:rPr>
                <w:sz w:val="18"/>
              </w:rPr>
              <w:t>2027</w:t>
            </w:r>
          </w:p>
        </w:tc>
        <w:tc>
          <w:tcPr>
            <w:tcW w:type="dxa" w:w="2880"/>
            <w:shd w:val="clear" w:color="auto" w:fill="FFFFFF"/>
          </w:tcPr>
          <w:p>
            <w:pPr>
              <w:spacing w:before="60" w:after="60"/>
              <w:ind w:left="72"/>
              <w:jc w:val="right"/>
            </w:pPr>
            <w:r>
              <w:rPr>
                <w:sz w:val="18"/>
              </w:rPr>
              <w:t>6 000</w:t>
            </w:r>
          </w:p>
        </w:tc>
        <w:tc>
          <w:tcPr>
            <w:tcW w:type="dxa" w:w="2880"/>
            <w:shd w:val="clear" w:color="auto" w:fill="FFFFFF"/>
          </w:tcPr>
          <w:p>
            <w:pPr>
              <w:spacing w:before="60" w:after="60"/>
              <w:ind w:left="72"/>
              <w:jc w:val="right"/>
            </w:pPr>
            <w:r>
              <w:rPr>
                <w:sz w:val="18"/>
              </w:rPr>
              <w:t>1 200</w:t>
            </w:r>
          </w:p>
        </w:tc>
        <w:tc>
          <w:tcPr>
            <w:tcW w:type="dxa" w:w="4896"/>
            <w:shd w:val="clear" w:color="auto" w:fill="FFFFFF"/>
          </w:tcPr>
          <w:p>
            <w:pPr>
              <w:spacing w:before="60" w:after="60"/>
              <w:ind w:left="72"/>
              <w:jc w:val="right"/>
            </w:pPr>
            <w:r>
              <w:rPr>
                <w:sz w:val="18"/>
              </w:rPr>
              <w:t>Ouverture Bénin, partenariats miniers</w:t>
            </w:r>
          </w:p>
        </w:tc>
      </w:tr>
      <w:tr>
        <w:tc>
          <w:tcPr>
            <w:tcW w:type="dxa" w:w="1440"/>
            <w:shd w:val="clear" w:color="auto" w:fill="F2F2F2"/>
          </w:tcPr>
          <w:p>
            <w:pPr>
              <w:spacing w:before="60" w:after="60"/>
              <w:ind w:left="72"/>
              <w:jc w:val="left"/>
            </w:pPr>
            <w:r>
              <w:rPr>
                <w:sz w:val="18"/>
              </w:rPr>
              <w:t>2028</w:t>
            </w:r>
          </w:p>
        </w:tc>
        <w:tc>
          <w:tcPr>
            <w:tcW w:type="dxa" w:w="2880"/>
            <w:shd w:val="clear" w:color="auto" w:fill="F2F2F2"/>
          </w:tcPr>
          <w:p>
            <w:pPr>
              <w:spacing w:before="60" w:after="60"/>
              <w:ind w:left="72"/>
              <w:jc w:val="right"/>
            </w:pPr>
            <w:r>
              <w:rPr>
                <w:sz w:val="18"/>
              </w:rPr>
              <w:t>15 000</w:t>
            </w:r>
          </w:p>
        </w:tc>
        <w:tc>
          <w:tcPr>
            <w:tcW w:type="dxa" w:w="2880"/>
            <w:shd w:val="clear" w:color="auto" w:fill="F2F2F2"/>
          </w:tcPr>
          <w:p>
            <w:pPr>
              <w:spacing w:before="60" w:after="60"/>
              <w:ind w:left="72"/>
              <w:jc w:val="right"/>
            </w:pPr>
            <w:r>
              <w:rPr>
                <w:sz w:val="18"/>
              </w:rPr>
              <w:t>3 000</w:t>
            </w:r>
          </w:p>
        </w:tc>
        <w:tc>
          <w:tcPr>
            <w:tcW w:type="dxa" w:w="4896"/>
            <w:shd w:val="clear" w:color="auto" w:fill="F2F2F2"/>
          </w:tcPr>
          <w:p>
            <w:pPr>
              <w:spacing w:before="60" w:after="60"/>
              <w:ind w:left="72"/>
              <w:jc w:val="right"/>
            </w:pPr>
            <w:r>
              <w:rPr>
                <w:sz w:val="18"/>
              </w:rPr>
              <w:t>Expansion Afrique de l'Ouest complète</w:t>
            </w:r>
          </w:p>
        </w:tc>
      </w:tr>
    </w:tbl>
    <w:p>
      <w:pPr>
        <w:spacing w:before="0" w:after="0"/>
      </w:pPr>
      <w:r>
        <w:rPr>
          <w:sz w:val="8"/>
        </w:rPr>
      </w:r>
    </w:p>
    <w:p>
      <w:pPr>
        <w:spacing w:before="40" w:after="80"/>
      </w:pPr>
      <w:r>
        <w:rPr>
          <w:b w:val="0"/>
          <w:i/>
          <w:color w:val="804000"/>
          <w:sz w:val="20"/>
        </w:rPr>
        <w:t>⚠  Ces projections sont ambitieuses et reposent sur la matérialisation de contrats encore en négociation. Elles constituent le scénario haut, à prendre avec une décote significative.</w:t>
      </w:r>
    </w:p>
    <w:p>
      <w:r>
        <w:br w:type="page"/>
      </w:r>
    </w:p>
    <w:p>
      <w:pPr>
        <w:spacing w:before="360" w:after="120"/>
        <w:pBdr>
          <w:bottom w:val="single" w:sz="6" w:space="1" w:color="1B3A5C"/>
        </w:pBdr>
      </w:pPr>
      <w:r>
        <w:rPr>
          <w:b/>
          <w:color w:val="1B3A5C"/>
          <w:sz w:val="32"/>
        </w:rPr>
        <w:t>4. ANALYSE DES RISQUES</w:t>
      </w:r>
    </w:p>
    <w:p>
      <w:pPr>
        <w:spacing w:before="240" w:after="120"/>
      </w:pPr>
      <w:r>
        <w:rPr>
          <w:b/>
          <w:color w:val="2E75B6"/>
          <w:sz w:val="26"/>
        </w:rPr>
        <w:t>4.1 Risques principaux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val="clear" w:color="auto" w:fill="1B3A5C"/>
            <w:vAlign w:val="center"/>
          </w:tcPr>
          <w:p>
            <w:pPr>
              <w:spacing w:before="80" w:after="80"/>
              <w:jc w:val="center"/>
            </w:pPr>
            <w:r>
              <w:rPr>
                <w:b/>
                <w:color w:val="FFFFFF"/>
                <w:sz w:val="18"/>
              </w:rPr>
              <w:t>Risque</w:t>
            </w:r>
          </w:p>
        </w:tc>
        <w:tc>
          <w:tcPr>
            <w:tcW w:type="dxa" w:w="1440"/>
            <w:shd w:val="clear" w:color="auto" w:fill="1B3A5C"/>
            <w:vAlign w:val="center"/>
          </w:tcPr>
          <w:p>
            <w:pPr>
              <w:spacing w:before="80" w:after="80"/>
              <w:jc w:val="center"/>
            </w:pPr>
            <w:r>
              <w:rPr>
                <w:b/>
                <w:color w:val="FFFFFF"/>
                <w:sz w:val="18"/>
              </w:rPr>
              <w:t>Niveau</w:t>
            </w:r>
          </w:p>
        </w:tc>
        <w:tc>
          <w:tcPr>
            <w:tcW w:type="dxa" w:w="5040"/>
            <w:shd w:val="clear" w:color="auto" w:fill="1B3A5C"/>
            <w:vAlign w:val="center"/>
          </w:tcPr>
          <w:p>
            <w:pPr>
              <w:spacing w:before="80" w:after="80"/>
              <w:jc w:val="center"/>
            </w:pPr>
            <w:r>
              <w:rPr>
                <w:b/>
                <w:color w:val="FFFFFF"/>
                <w:sz w:val="18"/>
              </w:rPr>
              <w:t>Description</w:t>
            </w:r>
          </w:p>
        </w:tc>
        <w:tc>
          <w:tcPr>
            <w:tcW w:type="dxa" w:w="3024"/>
            <w:shd w:val="clear" w:color="auto" w:fill="1B3A5C"/>
            <w:vAlign w:val="center"/>
          </w:tcPr>
          <w:p>
            <w:pPr>
              <w:spacing w:before="80" w:after="80"/>
              <w:jc w:val="center"/>
            </w:pPr>
            <w:r>
              <w:rPr>
                <w:b/>
                <w:color w:val="FFFFFF"/>
                <w:sz w:val="18"/>
              </w:rPr>
              <w:t>Impact sur valorisation</w:t>
            </w:r>
          </w:p>
        </w:tc>
      </w:tr>
      <w:tr>
        <w:tc>
          <w:tcPr>
            <w:tcW w:type="dxa" w:w="2592"/>
            <w:shd w:val="clear" w:color="auto" w:fill="F2F2F2"/>
          </w:tcPr>
          <w:p>
            <w:pPr>
              <w:spacing w:before="60" w:after="60"/>
              <w:ind w:left="72"/>
              <w:jc w:val="left"/>
            </w:pPr>
            <w:r>
              <w:rPr>
                <w:sz w:val="18"/>
              </w:rPr>
              <w:t>Risque fiscal</w:t>
            </w:r>
          </w:p>
        </w:tc>
        <w:tc>
          <w:tcPr>
            <w:tcW w:type="dxa" w:w="1440"/>
            <w:shd w:val="clear" w:color="auto" w:fill="F2F2F2"/>
          </w:tcPr>
          <w:p>
            <w:pPr>
              <w:spacing w:before="60" w:after="60"/>
              <w:ind w:left="72"/>
              <w:jc w:val="right"/>
            </w:pPr>
            <w:r>
              <w:rPr>
                <w:sz w:val="18"/>
              </w:rPr>
              <w:t>ÉLEVÉ</w:t>
            </w:r>
          </w:p>
        </w:tc>
        <w:tc>
          <w:tcPr>
            <w:tcW w:type="dxa" w:w="5040"/>
            <w:shd w:val="clear" w:color="auto" w:fill="F2F2F2"/>
          </w:tcPr>
          <w:p>
            <w:pPr>
              <w:spacing w:before="60" w:after="60"/>
              <w:ind w:left="72"/>
              <w:jc w:val="right"/>
            </w:pPr>
            <w:r>
              <w:rPr>
                <w:sz w:val="18"/>
              </w:rPr>
              <w:t>Écart entre CA déclaré (micro-ent.) et CA réel 2020-2024. Redressement potentiel si un acquéreur ou l'administration fiscale procède à un contrôle.</w:t>
            </w:r>
          </w:p>
        </w:tc>
        <w:tc>
          <w:tcPr>
            <w:tcW w:type="dxa" w:w="3024"/>
            <w:shd w:val="clear" w:color="auto" w:fill="F2F2F2"/>
          </w:tcPr>
          <w:p>
            <w:pPr>
              <w:spacing w:before="60" w:after="60"/>
              <w:ind w:left="72"/>
              <w:jc w:val="right"/>
            </w:pPr>
            <w:r>
              <w:rPr>
                <w:sz w:val="18"/>
              </w:rPr>
              <w:t>Décote de 15-25 % selon exposition</w:t>
            </w:r>
          </w:p>
        </w:tc>
      </w:tr>
      <w:tr>
        <w:tc>
          <w:tcPr>
            <w:tcW w:type="dxa" w:w="2592"/>
            <w:shd w:val="clear" w:color="auto" w:fill="FFFFFF"/>
          </w:tcPr>
          <w:p>
            <w:pPr>
              <w:spacing w:before="60" w:after="60"/>
              <w:ind w:left="72"/>
              <w:jc w:val="left"/>
            </w:pPr>
            <w:r>
              <w:rPr>
                <w:sz w:val="18"/>
              </w:rPr>
              <w:t>Concentration clients</w:t>
            </w:r>
          </w:p>
        </w:tc>
        <w:tc>
          <w:tcPr>
            <w:tcW w:type="dxa" w:w="1440"/>
            <w:shd w:val="clear" w:color="auto" w:fill="FFFFFF"/>
          </w:tcPr>
          <w:p>
            <w:pPr>
              <w:spacing w:before="60" w:after="60"/>
              <w:ind w:left="72"/>
              <w:jc w:val="right"/>
            </w:pPr>
            <w:r>
              <w:rPr>
                <w:sz w:val="18"/>
              </w:rPr>
              <w:t>ÉLEVÉ</w:t>
            </w:r>
          </w:p>
        </w:tc>
        <w:tc>
          <w:tcPr>
            <w:tcW w:type="dxa" w:w="5040"/>
            <w:shd w:val="clear" w:color="auto" w:fill="FFFFFF"/>
          </w:tcPr>
          <w:p>
            <w:pPr>
              <w:spacing w:before="60" w:after="60"/>
              <w:ind w:left="72"/>
              <w:jc w:val="right"/>
            </w:pPr>
            <w:r>
              <w:rPr>
                <w:sz w:val="18"/>
              </w:rPr>
              <w:t>Top 3 clients = 55 % du CA 2024. Perte d'un client majeur réduirait drastiquement le chiffre d'affaires.</w:t>
            </w:r>
          </w:p>
        </w:tc>
        <w:tc>
          <w:tcPr>
            <w:tcW w:type="dxa" w:w="3024"/>
            <w:shd w:val="clear" w:color="auto" w:fill="FFFFFF"/>
          </w:tcPr>
          <w:p>
            <w:pPr>
              <w:spacing w:before="60" w:after="60"/>
              <w:ind w:left="72"/>
              <w:jc w:val="right"/>
            </w:pPr>
            <w:r>
              <w:rPr>
                <w:sz w:val="18"/>
              </w:rPr>
              <w:t>Réduction valeur 10-20 %</w:t>
            </w:r>
          </w:p>
        </w:tc>
      </w:tr>
      <w:tr>
        <w:tc>
          <w:tcPr>
            <w:tcW w:type="dxa" w:w="2592"/>
            <w:shd w:val="clear" w:color="auto" w:fill="F2F2F2"/>
          </w:tcPr>
          <w:p>
            <w:pPr>
              <w:spacing w:before="60" w:after="60"/>
              <w:ind w:left="72"/>
              <w:jc w:val="left"/>
            </w:pPr>
            <w:r>
              <w:rPr>
                <w:sz w:val="18"/>
              </w:rPr>
              <w:t>Dépendance au fondateur</w:t>
            </w:r>
          </w:p>
        </w:tc>
        <w:tc>
          <w:tcPr>
            <w:tcW w:type="dxa" w:w="1440"/>
            <w:shd w:val="clear" w:color="auto" w:fill="F2F2F2"/>
          </w:tcPr>
          <w:p>
            <w:pPr>
              <w:spacing w:before="60" w:after="60"/>
              <w:ind w:left="72"/>
              <w:jc w:val="right"/>
            </w:pPr>
            <w:r>
              <w:rPr>
                <w:sz w:val="18"/>
              </w:rPr>
              <w:t>MOYEN</w:t>
            </w:r>
          </w:p>
        </w:tc>
        <w:tc>
          <w:tcPr>
            <w:tcW w:type="dxa" w:w="5040"/>
            <w:shd w:val="clear" w:color="auto" w:fill="F2F2F2"/>
          </w:tcPr>
          <w:p>
            <w:pPr>
              <w:spacing w:before="60" w:after="60"/>
              <w:ind w:left="72"/>
              <w:jc w:val="right"/>
            </w:pPr>
            <w:r>
              <w:rPr>
                <w:sz w:val="18"/>
              </w:rPr>
              <w:t>Réseau commercial et opérationnel fortement centré sur le fondateur. Risque de départ de clients lors de la transition.</w:t>
            </w:r>
          </w:p>
        </w:tc>
        <w:tc>
          <w:tcPr>
            <w:tcW w:type="dxa" w:w="3024"/>
            <w:shd w:val="clear" w:color="auto" w:fill="F2F2F2"/>
          </w:tcPr>
          <w:p>
            <w:pPr>
              <w:spacing w:before="60" w:after="60"/>
              <w:ind w:left="72"/>
              <w:jc w:val="right"/>
            </w:pPr>
            <w:r>
              <w:rPr>
                <w:sz w:val="18"/>
              </w:rPr>
              <w:t>Earn-out recommandé</w:t>
            </w:r>
          </w:p>
        </w:tc>
      </w:tr>
      <w:tr>
        <w:tc>
          <w:tcPr>
            <w:tcW w:type="dxa" w:w="2592"/>
            <w:shd w:val="clear" w:color="auto" w:fill="FFFFFF"/>
          </w:tcPr>
          <w:p>
            <w:pPr>
              <w:spacing w:before="60" w:after="60"/>
              <w:ind w:left="72"/>
              <w:jc w:val="left"/>
            </w:pPr>
            <w:r>
              <w:rPr>
                <w:sz w:val="18"/>
              </w:rPr>
              <w:t>Qualité des comptes</w:t>
            </w:r>
          </w:p>
        </w:tc>
        <w:tc>
          <w:tcPr>
            <w:tcW w:type="dxa" w:w="1440"/>
            <w:shd w:val="clear" w:color="auto" w:fill="FFFFFF"/>
          </w:tcPr>
          <w:p>
            <w:pPr>
              <w:spacing w:before="60" w:after="60"/>
              <w:ind w:left="72"/>
              <w:jc w:val="right"/>
            </w:pPr>
            <w:r>
              <w:rPr>
                <w:sz w:val="18"/>
              </w:rPr>
              <w:t>MOYEN</w:t>
            </w:r>
          </w:p>
        </w:tc>
        <w:tc>
          <w:tcPr>
            <w:tcW w:type="dxa" w:w="5040"/>
            <w:shd w:val="clear" w:color="auto" w:fill="FFFFFF"/>
          </w:tcPr>
          <w:p>
            <w:pPr>
              <w:spacing w:before="60" w:after="60"/>
              <w:ind w:left="72"/>
              <w:jc w:val="right"/>
            </w:pPr>
            <w:r>
              <w:rPr>
                <w:sz w:val="18"/>
              </w:rPr>
              <w:t>Premier exercice avec cabinet comptable en 2025. Historique non audité (2020-2024). Manque de comparabilité.</w:t>
            </w:r>
          </w:p>
        </w:tc>
        <w:tc>
          <w:tcPr>
            <w:tcW w:type="dxa" w:w="3024"/>
            <w:shd w:val="clear" w:color="auto" w:fill="FFFFFF"/>
          </w:tcPr>
          <w:p>
            <w:pPr>
              <w:spacing w:before="60" w:after="60"/>
              <w:ind w:left="72"/>
              <w:jc w:val="right"/>
            </w:pPr>
            <w:r>
              <w:rPr>
                <w:sz w:val="18"/>
              </w:rPr>
              <w:t>Réduction confiance acheteur</w:t>
            </w:r>
          </w:p>
        </w:tc>
      </w:tr>
      <w:tr>
        <w:tc>
          <w:tcPr>
            <w:tcW w:type="dxa" w:w="2592"/>
            <w:shd w:val="clear" w:color="auto" w:fill="F2F2F2"/>
          </w:tcPr>
          <w:p>
            <w:pPr>
              <w:spacing w:before="60" w:after="60"/>
              <w:ind w:left="72"/>
              <w:jc w:val="left"/>
            </w:pPr>
            <w:r>
              <w:rPr>
                <w:sz w:val="18"/>
              </w:rPr>
              <w:t>Passage au RNI 2026</w:t>
            </w:r>
          </w:p>
        </w:tc>
        <w:tc>
          <w:tcPr>
            <w:tcW w:type="dxa" w:w="1440"/>
            <w:shd w:val="clear" w:color="auto" w:fill="F2F2F2"/>
          </w:tcPr>
          <w:p>
            <w:pPr>
              <w:spacing w:before="60" w:after="60"/>
              <w:ind w:left="72"/>
              <w:jc w:val="right"/>
            </w:pPr>
            <w:r>
              <w:rPr>
                <w:sz w:val="18"/>
              </w:rPr>
              <w:t>MOYEN</w:t>
            </w:r>
          </w:p>
        </w:tc>
        <w:tc>
          <w:tcPr>
            <w:tcW w:type="dxa" w:w="5040"/>
            <w:shd w:val="clear" w:color="auto" w:fill="F2F2F2"/>
          </w:tcPr>
          <w:p>
            <w:pPr>
              <w:spacing w:before="60" w:after="60"/>
              <w:ind w:left="72"/>
              <w:jc w:val="right"/>
            </w:pPr>
            <w:r>
              <w:rPr>
                <w:sz w:val="18"/>
              </w:rPr>
              <w:t>Nouveau régime fiscal avec TVA. Augmentation de la charge fiscale et administrative. Impact sur les marges.</w:t>
            </w:r>
          </w:p>
        </w:tc>
        <w:tc>
          <w:tcPr>
            <w:tcW w:type="dxa" w:w="3024"/>
            <w:shd w:val="clear" w:color="auto" w:fill="F2F2F2"/>
          </w:tcPr>
          <w:p>
            <w:pPr>
              <w:spacing w:before="60" w:after="60"/>
              <w:ind w:left="72"/>
              <w:jc w:val="right"/>
            </w:pPr>
            <w:r>
              <w:rPr>
                <w:sz w:val="18"/>
              </w:rPr>
              <w:t>Réduction marge 3-5 %</w:t>
            </w:r>
          </w:p>
        </w:tc>
      </w:tr>
      <w:tr>
        <w:tc>
          <w:tcPr>
            <w:tcW w:type="dxa" w:w="2592"/>
            <w:shd w:val="clear" w:color="auto" w:fill="FFFFFF"/>
          </w:tcPr>
          <w:p>
            <w:pPr>
              <w:spacing w:before="60" w:after="60"/>
              <w:ind w:left="72"/>
              <w:jc w:val="left"/>
            </w:pPr>
            <w:r>
              <w:rPr>
                <w:sz w:val="18"/>
              </w:rPr>
              <w:t>Concentration géographique</w:t>
            </w:r>
          </w:p>
        </w:tc>
        <w:tc>
          <w:tcPr>
            <w:tcW w:type="dxa" w:w="1440"/>
            <w:shd w:val="clear" w:color="auto" w:fill="FFFFFF"/>
          </w:tcPr>
          <w:p>
            <w:pPr>
              <w:spacing w:before="60" w:after="60"/>
              <w:ind w:left="72"/>
              <w:jc w:val="right"/>
            </w:pPr>
            <w:r>
              <w:rPr>
                <w:sz w:val="18"/>
              </w:rPr>
              <w:t>FAIBLE</w:t>
            </w:r>
          </w:p>
        </w:tc>
        <w:tc>
          <w:tcPr>
            <w:tcW w:type="dxa" w:w="5040"/>
            <w:shd w:val="clear" w:color="auto" w:fill="FFFFFF"/>
          </w:tcPr>
          <w:p>
            <w:pPr>
              <w:spacing w:before="60" w:after="60"/>
              <w:ind w:left="72"/>
              <w:jc w:val="right"/>
            </w:pPr>
            <w:r>
              <w:rPr>
                <w:sz w:val="18"/>
              </w:rPr>
              <w:t>Essentiel du CA en Côte d'Ivoire. Diversification Togo/Maurice encore embryonnaire.</w:t>
            </w:r>
          </w:p>
        </w:tc>
        <w:tc>
          <w:tcPr>
            <w:tcW w:type="dxa" w:w="3024"/>
            <w:shd w:val="clear" w:color="auto" w:fill="FFFFFF"/>
          </w:tcPr>
          <w:p>
            <w:pPr>
              <w:spacing w:before="60" w:after="60"/>
              <w:ind w:left="72"/>
              <w:jc w:val="right"/>
            </w:pPr>
            <w:r>
              <w:rPr>
                <w:sz w:val="18"/>
              </w:rPr>
              <w:t>Limitée à court terme</w:t>
            </w:r>
          </w:p>
        </w:tc>
      </w:tr>
    </w:tbl>
    <w:p>
      <w:pPr>
        <w:spacing w:before="0" w:after="0"/>
      </w:pPr>
      <w:r>
        <w:rPr>
          <w:sz w:val="8"/>
        </w:rPr>
      </w:r>
    </w:p>
    <w:p>
      <w:pPr>
        <w:spacing w:before="240" w:after="120"/>
      </w:pPr>
      <w:r>
        <w:rPr>
          <w:b/>
          <w:color w:val="2E75B6"/>
          <w:sz w:val="26"/>
        </w:rPr>
        <w:t>4.2 Facteurs de valeur (atouts)</w:t>
      </w:r>
    </w:p>
    <w:tbl>
      <w:tblPr>
        <w:tblStyle w:val="TableGrid"/>
        <w:tblW w:type="auto" w:w="0"/>
        <w:jc w:val="center"/>
        <w:tblLook w:firstColumn="1" w:firstRow="1" w:lastColumn="0" w:lastRow="0" w:noHBand="0" w:noVBand="1" w:val="04A0"/>
      </w:tblPr>
      <w:tblGrid>
        <w:gridCol w:w="4536"/>
        <w:gridCol w:w="4536"/>
      </w:tblGrid>
      <w:tr>
        <w:tc>
          <w:tcPr>
            <w:tcW w:type="dxa" w:w="5040"/>
            <w:shd w:val="clear" w:color="auto" w:fill="1B3A5C"/>
            <w:vAlign w:val="center"/>
          </w:tcPr>
          <w:p>
            <w:pPr>
              <w:spacing w:before="80" w:after="80"/>
              <w:jc w:val="center"/>
            </w:pPr>
            <w:r>
              <w:rPr>
                <w:b/>
                <w:color w:val="FFFFFF"/>
                <w:sz w:val="18"/>
              </w:rPr>
              <w:t>Atout</w:t>
            </w:r>
          </w:p>
        </w:tc>
        <w:tc>
          <w:tcPr>
            <w:tcW w:type="dxa" w:w="7200"/>
            <w:shd w:val="clear" w:color="auto" w:fill="1B3A5C"/>
            <w:vAlign w:val="center"/>
          </w:tcPr>
          <w:p>
            <w:pPr>
              <w:spacing w:before="80" w:after="80"/>
              <w:jc w:val="center"/>
            </w:pPr>
            <w:r>
              <w:rPr>
                <w:b/>
                <w:color w:val="FFFFFF"/>
                <w:sz w:val="18"/>
              </w:rPr>
              <w:t>Impact</w:t>
            </w:r>
          </w:p>
        </w:tc>
      </w:tr>
      <w:tr>
        <w:tc>
          <w:tcPr>
            <w:tcW w:type="dxa" w:w="5040"/>
            <w:shd w:val="clear" w:color="auto" w:fill="F2F2F2"/>
          </w:tcPr>
          <w:p>
            <w:pPr>
              <w:spacing w:before="60" w:after="60"/>
              <w:ind w:left="72"/>
              <w:jc w:val="left"/>
            </w:pPr>
            <w:r>
              <w:rPr>
                <w:sz w:val="18"/>
              </w:rPr>
              <w:t>Plateforme Odoo propriétaire (3 ans)</w:t>
            </w:r>
          </w:p>
        </w:tc>
        <w:tc>
          <w:tcPr>
            <w:tcW w:type="dxa" w:w="7200"/>
            <w:shd w:val="clear" w:color="auto" w:fill="F2F2F2"/>
          </w:tcPr>
          <w:p>
            <w:pPr>
              <w:spacing w:before="60" w:after="60"/>
              <w:ind w:left="72"/>
              <w:jc w:val="right"/>
            </w:pPr>
            <w:r>
              <w:rPr>
                <w:sz w:val="18"/>
              </w:rPr>
              <w:t>Barrière technologique, réplicabilité difficile pour concurrents</w:t>
            </w:r>
          </w:p>
        </w:tc>
      </w:tr>
      <w:tr>
        <w:tc>
          <w:tcPr>
            <w:tcW w:type="dxa" w:w="5040"/>
            <w:shd w:val="clear" w:color="auto" w:fill="FFFFFF"/>
          </w:tcPr>
          <w:p>
            <w:pPr>
              <w:spacing w:before="60" w:after="60"/>
              <w:ind w:left="72"/>
              <w:jc w:val="left"/>
            </w:pPr>
            <w:r>
              <w:rPr>
                <w:sz w:val="18"/>
              </w:rPr>
              <w:t>TCAM +28,5 % sur 4 ans</w:t>
            </w:r>
          </w:p>
        </w:tc>
        <w:tc>
          <w:tcPr>
            <w:tcW w:type="dxa" w:w="7200"/>
            <w:shd w:val="clear" w:color="auto" w:fill="FFFFFF"/>
          </w:tcPr>
          <w:p>
            <w:pPr>
              <w:spacing w:before="60" w:after="60"/>
              <w:ind w:left="72"/>
              <w:jc w:val="right"/>
            </w:pPr>
            <w:r>
              <w:rPr>
                <w:sz w:val="18"/>
              </w:rPr>
              <w:t>Prime de croissance élevée dans les multiples</w:t>
            </w:r>
          </w:p>
        </w:tc>
      </w:tr>
      <w:tr>
        <w:tc>
          <w:tcPr>
            <w:tcW w:type="dxa" w:w="5040"/>
            <w:shd w:val="clear" w:color="auto" w:fill="F2F2F2"/>
          </w:tcPr>
          <w:p>
            <w:pPr>
              <w:spacing w:before="60" w:after="60"/>
              <w:ind w:left="72"/>
              <w:jc w:val="left"/>
            </w:pPr>
            <w:r>
              <w:rPr>
                <w:sz w:val="18"/>
              </w:rPr>
              <w:t>Contrats récurrents long terme</w:t>
            </w:r>
          </w:p>
        </w:tc>
        <w:tc>
          <w:tcPr>
            <w:tcW w:type="dxa" w:w="7200"/>
            <w:shd w:val="clear" w:color="auto" w:fill="F2F2F2"/>
          </w:tcPr>
          <w:p>
            <w:pPr>
              <w:spacing w:before="60" w:after="60"/>
              <w:ind w:left="72"/>
              <w:jc w:val="right"/>
            </w:pPr>
            <w:r>
              <w:rPr>
                <w:sz w:val="18"/>
              </w:rPr>
              <w:t>Visibilité sur les revenus futurs</w:t>
            </w:r>
          </w:p>
        </w:tc>
      </w:tr>
      <w:tr>
        <w:tc>
          <w:tcPr>
            <w:tcW w:type="dxa" w:w="5040"/>
            <w:shd w:val="clear" w:color="auto" w:fill="FFFFFF"/>
          </w:tcPr>
          <w:p>
            <w:pPr>
              <w:spacing w:before="60" w:after="60"/>
              <w:ind w:left="72"/>
              <w:jc w:val="left"/>
            </w:pPr>
            <w:r>
              <w:rPr>
                <w:sz w:val="18"/>
              </w:rPr>
              <w:t>Nouvelle Directrice Commerciale</w:t>
            </w:r>
          </w:p>
        </w:tc>
        <w:tc>
          <w:tcPr>
            <w:tcW w:type="dxa" w:w="7200"/>
            <w:shd w:val="clear" w:color="auto" w:fill="FFFFFF"/>
          </w:tcPr>
          <w:p>
            <w:pPr>
              <w:spacing w:before="60" w:after="60"/>
              <w:ind w:left="72"/>
              <w:jc w:val="right"/>
            </w:pPr>
            <w:r>
              <w:rPr>
                <w:sz w:val="18"/>
              </w:rPr>
              <w:t>Réseau Eurocham/Chambre Commerce = pipeline clients fort</w:t>
            </w:r>
          </w:p>
        </w:tc>
      </w:tr>
      <w:tr>
        <w:tc>
          <w:tcPr>
            <w:tcW w:type="dxa" w:w="5040"/>
            <w:shd w:val="clear" w:color="auto" w:fill="F2F2F2"/>
          </w:tcPr>
          <w:p>
            <w:pPr>
              <w:spacing w:before="60" w:after="60"/>
              <w:ind w:left="72"/>
              <w:jc w:val="left"/>
            </w:pPr>
            <w:r>
              <w:rPr>
                <w:sz w:val="18"/>
              </w:rPr>
              <w:t>Conformité sociale exemplaire</w:t>
            </w:r>
          </w:p>
        </w:tc>
        <w:tc>
          <w:tcPr>
            <w:tcW w:type="dxa" w:w="7200"/>
            <w:shd w:val="clear" w:color="auto" w:fill="F2F2F2"/>
          </w:tcPr>
          <w:p>
            <w:pPr>
              <w:spacing w:before="60" w:after="60"/>
              <w:ind w:left="72"/>
              <w:jc w:val="right"/>
            </w:pPr>
            <w:r>
              <w:rPr>
                <w:sz w:val="18"/>
              </w:rPr>
              <w:t>Différenciation vs concurrents non conformes</w:t>
            </w:r>
          </w:p>
        </w:tc>
      </w:tr>
      <w:tr>
        <w:tc>
          <w:tcPr>
            <w:tcW w:type="dxa" w:w="5040"/>
            <w:shd w:val="clear" w:color="auto" w:fill="FFFFFF"/>
          </w:tcPr>
          <w:p>
            <w:pPr>
              <w:spacing w:before="60" w:after="60"/>
              <w:ind w:left="72"/>
              <w:jc w:val="left"/>
            </w:pPr>
            <w:r>
              <w:rPr>
                <w:sz w:val="18"/>
              </w:rPr>
              <w:t>Expansion régionale (Togo, Maurice)</w:t>
            </w:r>
          </w:p>
        </w:tc>
        <w:tc>
          <w:tcPr>
            <w:tcW w:type="dxa" w:w="7200"/>
            <w:shd w:val="clear" w:color="auto" w:fill="FFFFFF"/>
          </w:tcPr>
          <w:p>
            <w:pPr>
              <w:spacing w:before="60" w:after="60"/>
              <w:ind w:left="72"/>
              <w:jc w:val="right"/>
            </w:pPr>
            <w:r>
              <w:rPr>
                <w:sz w:val="18"/>
              </w:rPr>
              <w:t>Option de valeur supplémentaire</w:t>
            </w:r>
          </w:p>
        </w:tc>
      </w:tr>
      <w:tr>
        <w:tc>
          <w:tcPr>
            <w:tcW w:type="dxa" w:w="5040"/>
            <w:shd w:val="clear" w:color="auto" w:fill="F2F2F2"/>
          </w:tcPr>
          <w:p>
            <w:pPr>
              <w:spacing w:before="60" w:after="60"/>
              <w:ind w:left="72"/>
              <w:jc w:val="left"/>
            </w:pPr>
            <w:r>
              <w:rPr>
                <w:sz w:val="18"/>
              </w:rPr>
              <w:t>Contrat AGL (600-800 agents)</w:t>
            </w:r>
          </w:p>
        </w:tc>
        <w:tc>
          <w:tcPr>
            <w:tcW w:type="dxa" w:w="7200"/>
            <w:shd w:val="clear" w:color="auto" w:fill="F2F2F2"/>
          </w:tcPr>
          <w:p>
            <w:pPr>
              <w:spacing w:before="60" w:after="60"/>
              <w:ind w:left="72"/>
              <w:jc w:val="right"/>
            </w:pPr>
            <w:r>
              <w:rPr>
                <w:sz w:val="18"/>
              </w:rPr>
              <w:t>Contrat cadre signé = CA récurrent important</w:t>
            </w:r>
          </w:p>
        </w:tc>
      </w:tr>
    </w:tbl>
    <w:p>
      <w:pPr>
        <w:spacing w:before="0" w:after="0"/>
      </w:pPr>
      <w:r>
        <w:rPr>
          <w:sz w:val="8"/>
        </w:rPr>
      </w:r>
    </w:p>
    <w:p>
      <w:r>
        <w:br w:type="page"/>
      </w:r>
    </w:p>
    <w:p>
      <w:pPr>
        <w:spacing w:before="360" w:after="120"/>
        <w:pBdr>
          <w:bottom w:val="single" w:sz="6" w:space="1" w:color="1B3A5C"/>
        </w:pBdr>
      </w:pPr>
      <w:r>
        <w:rPr>
          <w:b/>
          <w:color w:val="1B3A5C"/>
          <w:sz w:val="32"/>
        </w:rPr>
        <w:t>5. VALORISATION</w:t>
      </w:r>
    </w:p>
    <w:p>
      <w:pPr>
        <w:spacing w:before="240" w:after="120"/>
      </w:pPr>
      <w:r>
        <w:rPr>
          <w:b/>
          <w:color w:val="2E75B6"/>
          <w:sz w:val="26"/>
        </w:rPr>
        <w:t>5.1 Méthodologie retenue</w:t>
      </w:r>
    </w:p>
    <w:p>
      <w:pPr>
        <w:spacing w:before="40" w:after="80"/>
      </w:pPr>
      <w:r>
        <w:rPr>
          <w:b w:val="0"/>
          <w:i w:val="0"/>
          <w:color w:val="000000"/>
          <w:sz w:val="20"/>
        </w:rPr>
        <w:t>Quatre méthodes de valorisation ont été appliquées, conformément aux pratiques en M&amp;A pour les PME de services en Afrique subsaharienne. La méthode principale retenue est le multiple d'EBITDA, croisée avec les multiples de chiffre d'affaires et l'approche DCF simplifiée. L'actif net comptable constitue le plancher de valorisation.</w:t>
      </w:r>
    </w:p>
    <w:p>
      <w:pPr>
        <w:spacing w:before="240" w:after="120"/>
      </w:pPr>
      <w:r>
        <w:rPr>
          <w:b/>
          <w:color w:val="2E75B6"/>
          <w:sz w:val="26"/>
        </w:rPr>
        <w:t>5.2 Méthode 1 : Actif Net Comptable (ANC) — Valeur plancher</w:t>
      </w:r>
    </w:p>
    <w:tbl>
      <w:tblPr>
        <w:tblStyle w:val="TableGrid"/>
        <w:tblW w:type="auto" w:w="0"/>
        <w:jc w:val="center"/>
        <w:tblLook w:firstColumn="1" w:firstRow="1" w:lastColumn="0" w:lastRow="0" w:noHBand="0" w:noVBand="1" w:val="04A0"/>
      </w:tblPr>
      <w:tblGrid>
        <w:gridCol w:w="4536"/>
        <w:gridCol w:w="4536"/>
      </w:tblGrid>
      <w:tr>
        <w:tc>
          <w:tcPr>
            <w:tcW w:type="dxa" w:w="5760"/>
            <w:shd w:val="clear" w:color="auto" w:fill="1B3A5C"/>
            <w:vAlign w:val="center"/>
          </w:tcPr>
          <w:p>
            <w:pPr>
              <w:spacing w:before="80" w:after="80"/>
              <w:jc w:val="center"/>
            </w:pPr>
            <w:r>
              <w:rPr>
                <w:b/>
                <w:color w:val="FFFFFF"/>
                <w:sz w:val="18"/>
              </w:rPr>
              <w:t>Poste</w:t>
            </w:r>
          </w:p>
        </w:tc>
        <w:tc>
          <w:tcPr>
            <w:tcW w:type="dxa" w:w="3600"/>
            <w:shd w:val="clear" w:color="auto" w:fill="1B3A5C"/>
            <w:vAlign w:val="center"/>
          </w:tcPr>
          <w:p>
            <w:pPr>
              <w:spacing w:before="80" w:after="80"/>
              <w:jc w:val="center"/>
            </w:pPr>
            <w:r>
              <w:rPr>
                <w:b/>
                <w:color w:val="FFFFFF"/>
                <w:sz w:val="18"/>
              </w:rPr>
              <w:t>Montant (FCFA)</w:t>
            </w:r>
          </w:p>
        </w:tc>
      </w:tr>
      <w:tr>
        <w:tc>
          <w:tcPr>
            <w:tcW w:type="dxa" w:w="5760"/>
            <w:shd w:val="clear" w:color="auto" w:fill="F2F2F2"/>
          </w:tcPr>
          <w:p>
            <w:pPr>
              <w:spacing w:before="60" w:after="60"/>
              <w:ind w:left="72"/>
              <w:jc w:val="left"/>
            </w:pPr>
            <w:r>
              <w:rPr>
                <w:sz w:val="18"/>
              </w:rPr>
              <w:t>Capitaux propres au 31/12/2025</w:t>
            </w:r>
          </w:p>
        </w:tc>
        <w:tc>
          <w:tcPr>
            <w:tcW w:type="dxa" w:w="3600"/>
            <w:shd w:val="clear" w:color="auto" w:fill="F2F2F2"/>
          </w:tcPr>
          <w:p>
            <w:pPr>
              <w:spacing w:before="60" w:after="60"/>
              <w:ind w:left="72"/>
              <w:jc w:val="right"/>
            </w:pPr>
            <w:r>
              <w:rPr>
                <w:sz w:val="18"/>
              </w:rPr>
              <w:t>59 305 336</w:t>
            </w:r>
          </w:p>
        </w:tc>
      </w:tr>
      <w:tr>
        <w:tc>
          <w:tcPr>
            <w:tcW w:type="dxa" w:w="5760"/>
            <w:shd w:val="clear" w:color="auto" w:fill="FFFFFF"/>
          </w:tcPr>
          <w:p>
            <w:pPr>
              <w:spacing w:before="60" w:after="60"/>
              <w:ind w:left="72"/>
              <w:jc w:val="left"/>
            </w:pPr>
            <w:r>
              <w:rPr>
                <w:sz w:val="18"/>
              </w:rPr>
              <w:t>Retraitement immobilisations financières (+)</w:t>
            </w:r>
          </w:p>
        </w:tc>
        <w:tc>
          <w:tcPr>
            <w:tcW w:type="dxa" w:w="3600"/>
            <w:shd w:val="clear" w:color="auto" w:fill="FFFFFF"/>
          </w:tcPr>
          <w:p>
            <w:pPr>
              <w:spacing w:before="60" w:after="60"/>
              <w:ind w:left="72"/>
              <w:jc w:val="right"/>
            </w:pPr>
            <w:r>
              <w:rPr>
                <w:sz w:val="18"/>
              </w:rPr>
              <w:t>+ 3 200 000</w:t>
            </w:r>
          </w:p>
        </w:tc>
      </w:tr>
      <w:tr>
        <w:tc>
          <w:tcPr>
            <w:tcW w:type="dxa" w:w="5760"/>
            <w:shd w:val="clear" w:color="auto" w:fill="F2F2F2"/>
          </w:tcPr>
          <w:p>
            <w:pPr>
              <w:spacing w:before="60" w:after="60"/>
              <w:ind w:left="72"/>
              <w:jc w:val="left"/>
            </w:pPr>
            <w:r>
              <w:rPr>
                <w:sz w:val="18"/>
              </w:rPr>
              <w:t>Retraitement risque fiscal estimé (-)</w:t>
            </w:r>
          </w:p>
        </w:tc>
        <w:tc>
          <w:tcPr>
            <w:tcW w:type="dxa" w:w="3600"/>
            <w:shd w:val="clear" w:color="auto" w:fill="F2F2F2"/>
          </w:tcPr>
          <w:p>
            <w:pPr>
              <w:spacing w:before="60" w:after="60"/>
              <w:ind w:left="72"/>
              <w:jc w:val="right"/>
            </w:pPr>
            <w:r>
              <w:rPr>
                <w:sz w:val="18"/>
              </w:rPr>
              <w:t>- 5 000 000</w:t>
            </w:r>
          </w:p>
        </w:tc>
      </w:tr>
      <w:tr>
        <w:tc>
          <w:tcPr>
            <w:tcW w:type="dxa" w:w="5760"/>
            <w:shd w:val="clear" w:color="auto" w:fill="FFFFFF"/>
          </w:tcPr>
          <w:p>
            <w:pPr>
              <w:spacing w:before="60" w:after="60"/>
              <w:ind w:left="72"/>
              <w:jc w:val="left"/>
            </w:pPr>
            <w:r>
              <w:rPr>
                <w:sz w:val="18"/>
              </w:rPr>
              <w:t>ANC AJUSTÉ (valeur plancher)</w:t>
            </w:r>
          </w:p>
        </w:tc>
        <w:tc>
          <w:tcPr>
            <w:tcW w:type="dxa" w:w="3600"/>
            <w:shd w:val="clear" w:color="auto" w:fill="FFFFFF"/>
          </w:tcPr>
          <w:p>
            <w:pPr>
              <w:spacing w:before="60" w:after="60"/>
              <w:ind w:left="72"/>
              <w:jc w:val="right"/>
            </w:pPr>
            <w:r>
              <w:rPr>
                <w:sz w:val="18"/>
              </w:rPr>
              <w:t>57 505 336</w:t>
            </w:r>
          </w:p>
        </w:tc>
      </w:tr>
      <w:tr>
        <w:tc>
          <w:tcPr>
            <w:tcW w:type="dxa" w:w="5760"/>
            <w:shd w:val="clear" w:color="auto" w:fill="F2F2F2"/>
          </w:tcPr>
          <w:p>
            <w:pPr>
              <w:spacing w:before="60" w:after="60"/>
              <w:ind w:left="72"/>
              <w:jc w:val="left"/>
            </w:pPr>
            <w:r>
              <w:rPr>
                <w:sz w:val="18"/>
              </w:rPr>
              <w:t>En EUR (taux 655,96)</w:t>
            </w:r>
          </w:p>
        </w:tc>
        <w:tc>
          <w:tcPr>
            <w:tcW w:type="dxa" w:w="3600"/>
            <w:shd w:val="clear" w:color="auto" w:fill="F2F2F2"/>
          </w:tcPr>
          <w:p>
            <w:pPr>
              <w:spacing w:before="60" w:after="60"/>
              <w:ind w:left="72"/>
              <w:jc w:val="right"/>
            </w:pPr>
            <w:r>
              <w:rPr>
                <w:sz w:val="18"/>
              </w:rPr>
              <w:t>~87 660 EUR</w:t>
            </w:r>
          </w:p>
        </w:tc>
      </w:tr>
    </w:tbl>
    <w:p>
      <w:pPr>
        <w:spacing w:before="0" w:after="0"/>
      </w:pPr>
      <w:r>
        <w:rPr>
          <w:sz w:val="8"/>
        </w:rPr>
      </w:r>
    </w:p>
    <w:p>
      <w:pPr>
        <w:spacing w:before="40" w:after="80"/>
      </w:pPr>
      <w:r>
        <w:rPr>
          <w:b w:val="0"/>
          <w:i/>
          <w:color w:val="606060"/>
          <w:sz w:val="20"/>
        </w:rPr>
        <w:t>L'ANC représente la valeur de liquidation comptable. Il n'est pas représentatif de la valeur économique d'une société de services en croissance.</w:t>
      </w:r>
    </w:p>
    <w:p>
      <w:pPr>
        <w:spacing w:before="240" w:after="120"/>
      </w:pPr>
      <w:r>
        <w:rPr>
          <w:b/>
          <w:color w:val="2E75B6"/>
          <w:sz w:val="26"/>
        </w:rPr>
        <w:t>5.3 Méthode 2 : Multiples de l'EBITDA</w:t>
      </w:r>
    </w:p>
    <w:p>
      <w:pPr>
        <w:spacing w:before="40" w:after="80"/>
      </w:pPr>
      <w:r>
        <w:rPr>
          <w:b w:val="0"/>
          <w:i w:val="0"/>
          <w:color w:val="000000"/>
          <w:sz w:val="20"/>
        </w:rPr>
        <w:t>Les multiples retenus pour le secteur RH/services en Afrique subsaharienne : 3x à 7x l'EBITDA pour une PME, avec une prime de croissance pour un TCAM &gt; 20 %.</w:t>
      </w:r>
    </w:p>
    <w:p>
      <w:pPr>
        <w:spacing w:before="0" w:after="0"/>
      </w:pPr>
      <w:r>
        <w:rPr>
          <w:sz w:val="8"/>
        </w:rPr>
      </w:r>
    </w:p>
    <w:p>
      <w:pPr>
        <w:spacing w:before="40" w:after="80"/>
      </w:pPr>
      <w:r>
        <w:rPr>
          <w:b/>
          <w:i w:val="0"/>
          <w:color w:val="000000"/>
          <w:sz w:val="20"/>
        </w:rPr>
        <w:t>a) Sur base des comptes officiels 2025 (EBITDA = 62,4 M FCFA) :</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1B3A5C"/>
            <w:vAlign w:val="center"/>
          </w:tcPr>
          <w:p>
            <w:pPr>
              <w:spacing w:before="80" w:after="80"/>
              <w:jc w:val="center"/>
            </w:pPr>
            <w:r>
              <w:rPr>
                <w:b/>
                <w:color w:val="FFFFFF"/>
                <w:sz w:val="18"/>
              </w:rPr>
              <w:t>Multiple</w:t>
            </w:r>
          </w:p>
        </w:tc>
        <w:tc>
          <w:tcPr>
            <w:tcW w:type="dxa" w:w="4320"/>
            <w:shd w:val="clear" w:color="auto" w:fill="1B3A5C"/>
            <w:vAlign w:val="center"/>
          </w:tcPr>
          <w:p>
            <w:pPr>
              <w:spacing w:before="80" w:after="80"/>
              <w:jc w:val="center"/>
            </w:pPr>
            <w:r>
              <w:rPr>
                <w:b/>
                <w:color w:val="FFFFFF"/>
                <w:sz w:val="18"/>
              </w:rPr>
              <w:t>Valeur entreprise (FCFA)</w:t>
            </w:r>
          </w:p>
        </w:tc>
        <w:tc>
          <w:tcPr>
            <w:tcW w:type="dxa" w:w="4320"/>
            <w:shd w:val="clear" w:color="auto" w:fill="1B3A5C"/>
            <w:vAlign w:val="center"/>
          </w:tcPr>
          <w:p>
            <w:pPr>
              <w:spacing w:before="80" w:after="80"/>
              <w:jc w:val="center"/>
            </w:pPr>
            <w:r>
              <w:rPr>
                <w:b/>
                <w:color w:val="FFFFFF"/>
                <w:sz w:val="18"/>
              </w:rPr>
              <w:t>Valeur entreprise (EUR)</w:t>
            </w:r>
          </w:p>
        </w:tc>
      </w:tr>
      <w:tr>
        <w:tc>
          <w:tcPr>
            <w:tcW w:type="dxa" w:w="2880"/>
            <w:shd w:val="clear" w:color="auto" w:fill="F2F2F2"/>
          </w:tcPr>
          <w:p>
            <w:pPr>
              <w:spacing w:before="60" w:after="60"/>
              <w:ind w:left="72"/>
              <w:jc w:val="left"/>
            </w:pPr>
            <w:r>
              <w:rPr>
                <w:sz w:val="18"/>
              </w:rPr>
              <w:t>3x (scénario bas)</w:t>
            </w:r>
          </w:p>
        </w:tc>
        <w:tc>
          <w:tcPr>
            <w:tcW w:type="dxa" w:w="4320"/>
            <w:shd w:val="clear" w:color="auto" w:fill="F2F2F2"/>
          </w:tcPr>
          <w:p>
            <w:pPr>
              <w:spacing w:before="60" w:after="60"/>
              <w:ind w:left="72"/>
              <w:jc w:val="right"/>
            </w:pPr>
            <w:r>
              <w:rPr>
                <w:sz w:val="18"/>
              </w:rPr>
              <w:t>187 216 008</w:t>
            </w:r>
          </w:p>
        </w:tc>
        <w:tc>
          <w:tcPr>
            <w:tcW w:type="dxa" w:w="4320"/>
            <w:shd w:val="clear" w:color="auto" w:fill="F2F2F2"/>
          </w:tcPr>
          <w:p>
            <w:pPr>
              <w:spacing w:before="60" w:after="60"/>
              <w:ind w:left="72"/>
              <w:jc w:val="right"/>
            </w:pPr>
            <w:r>
              <w:rPr>
                <w:sz w:val="18"/>
              </w:rPr>
              <w:t>285 400 EUR</w:t>
            </w:r>
          </w:p>
        </w:tc>
      </w:tr>
      <w:tr>
        <w:tc>
          <w:tcPr>
            <w:tcW w:type="dxa" w:w="2880"/>
            <w:shd w:val="clear" w:color="auto" w:fill="FFFFFF"/>
          </w:tcPr>
          <w:p>
            <w:pPr>
              <w:spacing w:before="60" w:after="60"/>
              <w:ind w:left="72"/>
              <w:jc w:val="left"/>
            </w:pPr>
            <w:r>
              <w:rPr>
                <w:sz w:val="18"/>
              </w:rPr>
              <w:t>4x</w:t>
            </w:r>
          </w:p>
        </w:tc>
        <w:tc>
          <w:tcPr>
            <w:tcW w:type="dxa" w:w="4320"/>
            <w:shd w:val="clear" w:color="auto" w:fill="FFFFFF"/>
          </w:tcPr>
          <w:p>
            <w:pPr>
              <w:spacing w:before="60" w:after="60"/>
              <w:ind w:left="72"/>
              <w:jc w:val="right"/>
            </w:pPr>
            <w:r>
              <w:rPr>
                <w:sz w:val="18"/>
              </w:rPr>
              <w:t>249 621 344</w:t>
            </w:r>
          </w:p>
        </w:tc>
        <w:tc>
          <w:tcPr>
            <w:tcW w:type="dxa" w:w="4320"/>
            <w:shd w:val="clear" w:color="auto" w:fill="FFFFFF"/>
          </w:tcPr>
          <w:p>
            <w:pPr>
              <w:spacing w:before="60" w:after="60"/>
              <w:ind w:left="72"/>
              <w:jc w:val="right"/>
            </w:pPr>
            <w:r>
              <w:rPr>
                <w:sz w:val="18"/>
              </w:rPr>
              <w:t>380 500 EUR</w:t>
            </w:r>
          </w:p>
        </w:tc>
      </w:tr>
      <w:tr>
        <w:tc>
          <w:tcPr>
            <w:tcW w:type="dxa" w:w="2880"/>
            <w:shd w:val="clear" w:color="auto" w:fill="F2F2F2"/>
          </w:tcPr>
          <w:p>
            <w:pPr>
              <w:spacing w:before="60" w:after="60"/>
              <w:ind w:left="72"/>
              <w:jc w:val="left"/>
            </w:pPr>
            <w:r>
              <w:rPr>
                <w:sz w:val="18"/>
              </w:rPr>
              <w:t>5x</w:t>
            </w:r>
          </w:p>
        </w:tc>
        <w:tc>
          <w:tcPr>
            <w:tcW w:type="dxa" w:w="4320"/>
            <w:shd w:val="clear" w:color="auto" w:fill="F2F2F2"/>
          </w:tcPr>
          <w:p>
            <w:pPr>
              <w:spacing w:before="60" w:after="60"/>
              <w:ind w:left="72"/>
              <w:jc w:val="right"/>
            </w:pPr>
            <w:r>
              <w:rPr>
                <w:sz w:val="18"/>
              </w:rPr>
              <w:t>312 026 680</w:t>
            </w:r>
          </w:p>
        </w:tc>
        <w:tc>
          <w:tcPr>
            <w:tcW w:type="dxa" w:w="4320"/>
            <w:shd w:val="clear" w:color="auto" w:fill="F2F2F2"/>
          </w:tcPr>
          <w:p>
            <w:pPr>
              <w:spacing w:before="60" w:after="60"/>
              <w:ind w:left="72"/>
              <w:jc w:val="right"/>
            </w:pPr>
            <w:r>
              <w:rPr>
                <w:sz w:val="18"/>
              </w:rPr>
              <w:t>475 600 EUR</w:t>
            </w:r>
          </w:p>
        </w:tc>
      </w:tr>
      <w:tr>
        <w:tc>
          <w:tcPr>
            <w:tcW w:type="dxa" w:w="2880"/>
            <w:shd w:val="clear" w:color="auto" w:fill="FFFFFF"/>
          </w:tcPr>
          <w:p>
            <w:pPr>
              <w:spacing w:before="60" w:after="60"/>
              <w:ind w:left="72"/>
              <w:jc w:val="left"/>
            </w:pPr>
            <w:r>
              <w:rPr>
                <w:sz w:val="18"/>
              </w:rPr>
              <w:t>6x (scénario haut)</w:t>
            </w:r>
          </w:p>
        </w:tc>
        <w:tc>
          <w:tcPr>
            <w:tcW w:type="dxa" w:w="4320"/>
            <w:shd w:val="clear" w:color="auto" w:fill="FFFFFF"/>
          </w:tcPr>
          <w:p>
            <w:pPr>
              <w:spacing w:before="60" w:after="60"/>
              <w:ind w:left="72"/>
              <w:jc w:val="right"/>
            </w:pPr>
            <w:r>
              <w:rPr>
                <w:sz w:val="18"/>
              </w:rPr>
              <w:t>374 432 016</w:t>
            </w:r>
          </w:p>
        </w:tc>
        <w:tc>
          <w:tcPr>
            <w:tcW w:type="dxa" w:w="4320"/>
            <w:shd w:val="clear" w:color="auto" w:fill="FFFFFF"/>
          </w:tcPr>
          <w:p>
            <w:pPr>
              <w:spacing w:before="60" w:after="60"/>
              <w:ind w:left="72"/>
              <w:jc w:val="right"/>
            </w:pPr>
            <w:r>
              <w:rPr>
                <w:sz w:val="18"/>
              </w:rPr>
              <w:t>570 700 EUR</w:t>
            </w:r>
          </w:p>
        </w:tc>
      </w:tr>
    </w:tbl>
    <w:p>
      <w:pPr>
        <w:spacing w:before="0" w:after="0"/>
      </w:pPr>
      <w:r>
        <w:rPr>
          <w:sz w:val="8"/>
        </w:rPr>
      </w:r>
    </w:p>
    <w:p>
      <w:pPr>
        <w:spacing w:before="40" w:after="80"/>
      </w:pPr>
      <w:r>
        <w:rPr>
          <w:b/>
          <w:i w:val="0"/>
          <w:color w:val="000000"/>
          <w:sz w:val="20"/>
        </w:rPr>
        <w:t>b) Sur base de la marge nette réelle (15 % du CA facturation 729 M FCFA = 109 M FCFA)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Multiple</w:t>
            </w:r>
          </w:p>
        </w:tc>
        <w:tc>
          <w:tcPr>
            <w:tcW w:type="dxa" w:w="2880"/>
            <w:shd w:val="clear" w:color="auto" w:fill="1B3A5C"/>
            <w:vAlign w:val="center"/>
          </w:tcPr>
          <w:p>
            <w:pPr>
              <w:spacing w:before="80" w:after="80"/>
              <w:jc w:val="center"/>
            </w:pPr>
            <w:r>
              <w:rPr>
                <w:b/>
                <w:color w:val="FFFFFF"/>
                <w:sz w:val="18"/>
              </w:rPr>
              <w:t>Marge nette (109 M)</w:t>
            </w:r>
          </w:p>
        </w:tc>
        <w:tc>
          <w:tcPr>
            <w:tcW w:type="dxa" w:w="2880"/>
            <w:shd w:val="clear" w:color="auto" w:fill="1B3A5C"/>
            <w:vAlign w:val="center"/>
          </w:tcPr>
          <w:p>
            <w:pPr>
              <w:spacing w:before="80" w:after="80"/>
              <w:jc w:val="center"/>
            </w:pPr>
            <w:r>
              <w:rPr>
                <w:b/>
                <w:color w:val="FFFFFF"/>
                <w:sz w:val="18"/>
              </w:rPr>
              <w:t>Valeur (EUR)</w:t>
            </w:r>
          </w:p>
        </w:tc>
        <w:tc>
          <w:tcPr>
            <w:tcW w:type="dxa" w:w="4320"/>
            <w:shd w:val="clear" w:color="auto" w:fill="1B3A5C"/>
            <w:vAlign w:val="center"/>
          </w:tcPr>
          <w:p>
            <w:pPr>
              <w:spacing w:before="80" w:after="80"/>
              <w:jc w:val="center"/>
            </w:pPr>
            <w:r>
              <w:rPr>
                <w:b/>
                <w:color w:val="FFFFFF"/>
                <w:sz w:val="18"/>
              </w:rPr>
              <w:t>Commentaire</w:t>
            </w:r>
          </w:p>
        </w:tc>
      </w:tr>
      <w:tr>
        <w:tc>
          <w:tcPr>
            <w:tcW w:type="dxa" w:w="2160"/>
            <w:shd w:val="clear" w:color="auto" w:fill="F2F2F2"/>
          </w:tcPr>
          <w:p>
            <w:pPr>
              <w:spacing w:before="60" w:after="60"/>
              <w:ind w:left="72"/>
              <w:jc w:val="left"/>
            </w:pPr>
            <w:r>
              <w:rPr>
                <w:sz w:val="18"/>
              </w:rPr>
              <w:t>4x</w:t>
            </w:r>
          </w:p>
        </w:tc>
        <w:tc>
          <w:tcPr>
            <w:tcW w:type="dxa" w:w="2880"/>
            <w:shd w:val="clear" w:color="auto" w:fill="F2F2F2"/>
          </w:tcPr>
          <w:p>
            <w:pPr>
              <w:spacing w:before="60" w:after="60"/>
              <w:ind w:left="72"/>
              <w:jc w:val="right"/>
            </w:pPr>
            <w:r>
              <w:rPr>
                <w:sz w:val="18"/>
              </w:rPr>
              <w:t>437 M FCFA</w:t>
            </w:r>
          </w:p>
        </w:tc>
        <w:tc>
          <w:tcPr>
            <w:tcW w:type="dxa" w:w="2880"/>
            <w:shd w:val="clear" w:color="auto" w:fill="F2F2F2"/>
          </w:tcPr>
          <w:p>
            <w:pPr>
              <w:spacing w:before="60" w:after="60"/>
              <w:ind w:left="72"/>
              <w:jc w:val="right"/>
            </w:pPr>
            <w:r>
              <w:rPr>
                <w:sz w:val="18"/>
              </w:rPr>
              <w:t>667 K EUR</w:t>
            </w:r>
          </w:p>
        </w:tc>
        <w:tc>
          <w:tcPr>
            <w:tcW w:type="dxa" w:w="4320"/>
            <w:shd w:val="clear" w:color="auto" w:fill="F2F2F2"/>
          </w:tcPr>
          <w:p>
            <w:pPr>
              <w:spacing w:before="60" w:after="60"/>
              <w:ind w:left="72"/>
              <w:jc w:val="right"/>
            </w:pPr>
            <w:r>
              <w:rPr>
                <w:sz w:val="18"/>
              </w:rPr>
              <w:t>Scénario bas</w:t>
            </w:r>
          </w:p>
        </w:tc>
      </w:tr>
      <w:tr>
        <w:tc>
          <w:tcPr>
            <w:tcW w:type="dxa" w:w="2160"/>
            <w:shd w:val="clear" w:color="auto" w:fill="FFFFFF"/>
          </w:tcPr>
          <w:p>
            <w:pPr>
              <w:spacing w:before="60" w:after="60"/>
              <w:ind w:left="72"/>
              <w:jc w:val="left"/>
            </w:pPr>
            <w:r>
              <w:rPr>
                <w:sz w:val="18"/>
              </w:rPr>
              <w:t>5x</w:t>
            </w:r>
          </w:p>
        </w:tc>
        <w:tc>
          <w:tcPr>
            <w:tcW w:type="dxa" w:w="2880"/>
            <w:shd w:val="clear" w:color="auto" w:fill="FFFFFF"/>
          </w:tcPr>
          <w:p>
            <w:pPr>
              <w:spacing w:before="60" w:after="60"/>
              <w:ind w:left="72"/>
              <w:jc w:val="right"/>
            </w:pPr>
            <w:r>
              <w:rPr>
                <w:sz w:val="18"/>
              </w:rPr>
              <w:t>547 M FCFA</w:t>
            </w:r>
          </w:p>
        </w:tc>
        <w:tc>
          <w:tcPr>
            <w:tcW w:type="dxa" w:w="2880"/>
            <w:shd w:val="clear" w:color="auto" w:fill="FFFFFF"/>
          </w:tcPr>
          <w:p>
            <w:pPr>
              <w:spacing w:before="60" w:after="60"/>
              <w:ind w:left="72"/>
              <w:jc w:val="right"/>
            </w:pPr>
            <w:r>
              <w:rPr>
                <w:sz w:val="18"/>
              </w:rPr>
              <w:t>834 K EUR</w:t>
            </w:r>
          </w:p>
        </w:tc>
        <w:tc>
          <w:tcPr>
            <w:tcW w:type="dxa" w:w="4320"/>
            <w:shd w:val="clear" w:color="auto" w:fill="FFFFFF"/>
          </w:tcPr>
          <w:p>
            <w:pPr>
              <w:spacing w:before="60" w:after="60"/>
              <w:ind w:left="72"/>
              <w:jc w:val="right"/>
            </w:pPr>
            <w:r>
              <w:rPr>
                <w:sz w:val="18"/>
              </w:rPr>
              <w:t>Scénario central</w:t>
            </w:r>
          </w:p>
        </w:tc>
      </w:tr>
      <w:tr>
        <w:tc>
          <w:tcPr>
            <w:tcW w:type="dxa" w:w="2160"/>
            <w:shd w:val="clear" w:color="auto" w:fill="F2F2F2"/>
          </w:tcPr>
          <w:p>
            <w:pPr>
              <w:spacing w:before="60" w:after="60"/>
              <w:ind w:left="72"/>
              <w:jc w:val="left"/>
            </w:pPr>
            <w:r>
              <w:rPr>
                <w:sz w:val="18"/>
              </w:rPr>
              <w:t>6x</w:t>
            </w:r>
          </w:p>
        </w:tc>
        <w:tc>
          <w:tcPr>
            <w:tcW w:type="dxa" w:w="2880"/>
            <w:shd w:val="clear" w:color="auto" w:fill="F2F2F2"/>
          </w:tcPr>
          <w:p>
            <w:pPr>
              <w:spacing w:before="60" w:after="60"/>
              <w:ind w:left="72"/>
              <w:jc w:val="right"/>
            </w:pPr>
            <w:r>
              <w:rPr>
                <w:sz w:val="18"/>
              </w:rPr>
              <w:t>656 M FCFA</w:t>
            </w:r>
          </w:p>
        </w:tc>
        <w:tc>
          <w:tcPr>
            <w:tcW w:type="dxa" w:w="2880"/>
            <w:shd w:val="clear" w:color="auto" w:fill="F2F2F2"/>
          </w:tcPr>
          <w:p>
            <w:pPr>
              <w:spacing w:before="60" w:after="60"/>
              <w:ind w:left="72"/>
              <w:jc w:val="right"/>
            </w:pPr>
            <w:r>
              <w:rPr>
                <w:sz w:val="18"/>
              </w:rPr>
              <w:t>1 000 K EUR</w:t>
            </w:r>
          </w:p>
        </w:tc>
        <w:tc>
          <w:tcPr>
            <w:tcW w:type="dxa" w:w="4320"/>
            <w:shd w:val="clear" w:color="auto" w:fill="F2F2F2"/>
          </w:tcPr>
          <w:p>
            <w:pPr>
              <w:spacing w:before="60" w:after="60"/>
              <w:ind w:left="72"/>
              <w:jc w:val="right"/>
            </w:pPr>
            <w:r>
              <w:rPr>
                <w:sz w:val="18"/>
              </w:rPr>
              <w:t>Scénario haut</w:t>
            </w:r>
          </w:p>
        </w:tc>
      </w:tr>
    </w:tbl>
    <w:p>
      <w:pPr>
        <w:spacing w:before="0" w:after="0"/>
      </w:pPr>
      <w:r>
        <w:rPr>
          <w:sz w:val="8"/>
        </w:rPr>
      </w:r>
    </w:p>
    <w:p>
      <w:pPr>
        <w:spacing w:before="240" w:after="120"/>
      </w:pPr>
      <w:r>
        <w:rPr>
          <w:b/>
          <w:color w:val="2E75B6"/>
          <w:sz w:val="26"/>
        </w:rPr>
        <w:t>5.4 Méthode 3 : Multiple du Chiffre d'Affaires</w:t>
      </w:r>
    </w:p>
    <w:p>
      <w:pPr>
        <w:spacing w:before="40" w:after="80"/>
      </w:pPr>
      <w:r>
        <w:rPr>
          <w:b w:val="0"/>
          <w:i w:val="0"/>
          <w:color w:val="000000"/>
          <w:sz w:val="20"/>
        </w:rPr>
        <w:t>Multiple de CA applicable pour une société de services RH en croissance en Afrique : 0,3x à 0,8x le CA annuel.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val="clear" w:color="auto" w:fill="1B3A5C"/>
            <w:vAlign w:val="center"/>
          </w:tcPr>
          <w:p>
            <w:pPr>
              <w:spacing w:before="80" w:after="80"/>
              <w:jc w:val="center"/>
            </w:pPr>
            <w:r>
              <w:rPr>
                <w:b/>
                <w:color w:val="FFFFFF"/>
                <w:sz w:val="18"/>
              </w:rPr>
              <w:t>Multiple</w:t>
            </w:r>
          </w:p>
        </w:tc>
        <w:tc>
          <w:tcPr>
            <w:tcW w:type="dxa" w:w="2880"/>
            <w:shd w:val="clear" w:color="auto" w:fill="1B3A5C"/>
            <w:vAlign w:val="center"/>
          </w:tcPr>
          <w:p>
            <w:pPr>
              <w:spacing w:before="80" w:after="80"/>
              <w:jc w:val="center"/>
            </w:pPr>
            <w:r>
              <w:rPr>
                <w:b/>
                <w:color w:val="FFFFFF"/>
                <w:sz w:val="18"/>
              </w:rPr>
              <w:t>Base CA (729 M FCFA)</w:t>
            </w:r>
          </w:p>
        </w:tc>
        <w:tc>
          <w:tcPr>
            <w:tcW w:type="dxa" w:w="2880"/>
            <w:shd w:val="clear" w:color="auto" w:fill="1B3A5C"/>
            <w:vAlign w:val="center"/>
          </w:tcPr>
          <w:p>
            <w:pPr>
              <w:spacing w:before="80" w:after="80"/>
              <w:jc w:val="center"/>
            </w:pPr>
            <w:r>
              <w:rPr>
                <w:b/>
                <w:color w:val="FFFFFF"/>
                <w:sz w:val="18"/>
              </w:rPr>
              <w:t>Valeur (FCFA)</w:t>
            </w:r>
          </w:p>
        </w:tc>
        <w:tc>
          <w:tcPr>
            <w:tcW w:type="dxa" w:w="3600"/>
            <w:shd w:val="clear" w:color="auto" w:fill="1B3A5C"/>
            <w:vAlign w:val="center"/>
          </w:tcPr>
          <w:p>
            <w:pPr>
              <w:spacing w:before="80" w:after="80"/>
              <w:jc w:val="center"/>
            </w:pPr>
            <w:r>
              <w:rPr>
                <w:b/>
                <w:color w:val="FFFFFF"/>
                <w:sz w:val="18"/>
              </w:rPr>
              <w:t>Valeur (EUR)</w:t>
            </w:r>
          </w:p>
        </w:tc>
      </w:tr>
      <w:tr>
        <w:tc>
          <w:tcPr>
            <w:tcW w:type="dxa" w:w="2880"/>
            <w:shd w:val="clear" w:color="auto" w:fill="F2F2F2"/>
          </w:tcPr>
          <w:p>
            <w:pPr>
              <w:spacing w:before="60" w:after="60"/>
              <w:ind w:left="72"/>
              <w:jc w:val="left"/>
            </w:pPr>
            <w:r>
              <w:rPr>
                <w:sz w:val="18"/>
              </w:rPr>
              <w:t>0,3x (conservateur)</w:t>
            </w:r>
          </w:p>
        </w:tc>
        <w:tc>
          <w:tcPr>
            <w:tcW w:type="dxa" w:w="2880"/>
            <w:shd w:val="clear" w:color="auto" w:fill="F2F2F2"/>
          </w:tcPr>
          <w:p>
            <w:pPr>
              <w:spacing w:before="60" w:after="60"/>
              <w:ind w:left="72"/>
              <w:jc w:val="right"/>
            </w:pPr>
            <w:r>
              <w:rPr>
                <w:sz w:val="18"/>
              </w:rPr>
              <w:t>729 M</w:t>
            </w:r>
          </w:p>
        </w:tc>
        <w:tc>
          <w:tcPr>
            <w:tcW w:type="dxa" w:w="2880"/>
            <w:shd w:val="clear" w:color="auto" w:fill="F2F2F2"/>
          </w:tcPr>
          <w:p>
            <w:pPr>
              <w:spacing w:before="60" w:after="60"/>
              <w:ind w:left="72"/>
              <w:jc w:val="right"/>
            </w:pPr>
            <w:r>
              <w:rPr>
                <w:sz w:val="18"/>
              </w:rPr>
              <w:t>219 M FCFA</w:t>
            </w:r>
          </w:p>
        </w:tc>
        <w:tc>
          <w:tcPr>
            <w:tcW w:type="dxa" w:w="3600"/>
            <w:shd w:val="clear" w:color="auto" w:fill="F2F2F2"/>
          </w:tcPr>
          <w:p>
            <w:pPr>
              <w:spacing w:before="60" w:after="60"/>
              <w:ind w:left="72"/>
              <w:jc w:val="right"/>
            </w:pPr>
            <w:r>
              <w:rPr>
                <w:sz w:val="18"/>
              </w:rPr>
              <w:t>334 000 EUR</w:t>
            </w:r>
          </w:p>
        </w:tc>
      </w:tr>
      <w:tr>
        <w:tc>
          <w:tcPr>
            <w:tcW w:type="dxa" w:w="2880"/>
            <w:shd w:val="clear" w:color="auto" w:fill="FFFFFF"/>
          </w:tcPr>
          <w:p>
            <w:pPr>
              <w:spacing w:before="60" w:after="60"/>
              <w:ind w:left="72"/>
              <w:jc w:val="left"/>
            </w:pPr>
            <w:r>
              <w:rPr>
                <w:sz w:val="18"/>
              </w:rPr>
              <w:t>0,5x (central)</w:t>
            </w:r>
          </w:p>
        </w:tc>
        <w:tc>
          <w:tcPr>
            <w:tcW w:type="dxa" w:w="2880"/>
            <w:shd w:val="clear" w:color="auto" w:fill="FFFFFF"/>
          </w:tcPr>
          <w:p>
            <w:pPr>
              <w:spacing w:before="60" w:after="60"/>
              <w:ind w:left="72"/>
              <w:jc w:val="right"/>
            </w:pPr>
            <w:r>
              <w:rPr>
                <w:sz w:val="18"/>
              </w:rPr>
              <w:t>729 M</w:t>
            </w:r>
          </w:p>
        </w:tc>
        <w:tc>
          <w:tcPr>
            <w:tcW w:type="dxa" w:w="2880"/>
            <w:shd w:val="clear" w:color="auto" w:fill="FFFFFF"/>
          </w:tcPr>
          <w:p>
            <w:pPr>
              <w:spacing w:before="60" w:after="60"/>
              <w:ind w:left="72"/>
              <w:jc w:val="right"/>
            </w:pPr>
            <w:r>
              <w:rPr>
                <w:sz w:val="18"/>
              </w:rPr>
              <w:t>365 M FCFA</w:t>
            </w:r>
          </w:p>
        </w:tc>
        <w:tc>
          <w:tcPr>
            <w:tcW w:type="dxa" w:w="3600"/>
            <w:shd w:val="clear" w:color="auto" w:fill="FFFFFF"/>
          </w:tcPr>
          <w:p>
            <w:pPr>
              <w:spacing w:before="60" w:after="60"/>
              <w:ind w:left="72"/>
              <w:jc w:val="right"/>
            </w:pPr>
            <w:r>
              <w:rPr>
                <w:sz w:val="18"/>
              </w:rPr>
              <w:t>557 000 EUR</w:t>
            </w:r>
          </w:p>
        </w:tc>
      </w:tr>
      <w:tr>
        <w:tc>
          <w:tcPr>
            <w:tcW w:type="dxa" w:w="2880"/>
            <w:shd w:val="clear" w:color="auto" w:fill="F2F2F2"/>
          </w:tcPr>
          <w:p>
            <w:pPr>
              <w:spacing w:before="60" w:after="60"/>
              <w:ind w:left="72"/>
              <w:jc w:val="left"/>
            </w:pPr>
            <w:r>
              <w:rPr>
                <w:sz w:val="18"/>
              </w:rPr>
              <w:t>0,8x (optimiste)</w:t>
            </w:r>
          </w:p>
        </w:tc>
        <w:tc>
          <w:tcPr>
            <w:tcW w:type="dxa" w:w="2880"/>
            <w:shd w:val="clear" w:color="auto" w:fill="F2F2F2"/>
          </w:tcPr>
          <w:p>
            <w:pPr>
              <w:spacing w:before="60" w:after="60"/>
              <w:ind w:left="72"/>
              <w:jc w:val="right"/>
            </w:pPr>
            <w:r>
              <w:rPr>
                <w:sz w:val="18"/>
              </w:rPr>
              <w:t>729 M</w:t>
            </w:r>
          </w:p>
        </w:tc>
        <w:tc>
          <w:tcPr>
            <w:tcW w:type="dxa" w:w="2880"/>
            <w:shd w:val="clear" w:color="auto" w:fill="F2F2F2"/>
          </w:tcPr>
          <w:p>
            <w:pPr>
              <w:spacing w:before="60" w:after="60"/>
              <w:ind w:left="72"/>
              <w:jc w:val="right"/>
            </w:pPr>
            <w:r>
              <w:rPr>
                <w:sz w:val="18"/>
              </w:rPr>
              <w:t>583 M FCFA</w:t>
            </w:r>
          </w:p>
        </w:tc>
        <w:tc>
          <w:tcPr>
            <w:tcW w:type="dxa" w:w="3600"/>
            <w:shd w:val="clear" w:color="auto" w:fill="F2F2F2"/>
          </w:tcPr>
          <w:p>
            <w:pPr>
              <w:spacing w:before="60" w:after="60"/>
              <w:ind w:left="72"/>
              <w:jc w:val="right"/>
            </w:pPr>
            <w:r>
              <w:rPr>
                <w:sz w:val="18"/>
              </w:rPr>
              <w:t>889 000 EUR</w:t>
            </w:r>
          </w:p>
        </w:tc>
      </w:tr>
    </w:tbl>
    <w:p>
      <w:pPr>
        <w:spacing w:before="0" w:after="0"/>
      </w:pPr>
      <w:r>
        <w:rPr>
          <w:sz w:val="8"/>
        </w:rPr>
      </w:r>
    </w:p>
    <w:p>
      <w:pPr>
        <w:spacing w:before="240" w:after="120"/>
      </w:pPr>
      <w:r>
        <w:rPr>
          <w:b/>
          <w:color w:val="2E75B6"/>
          <w:sz w:val="26"/>
        </w:rPr>
        <w:t>5.5 Méthode 4 : Valorisation forward (plan 2026 + DCF)</w:t>
      </w:r>
    </w:p>
    <w:p>
      <w:pPr>
        <w:spacing w:before="40" w:after="80"/>
      </w:pPr>
      <w:r>
        <w:rPr>
          <w:b w:val="0"/>
          <w:i w:val="0"/>
          <w:color w:val="000000"/>
          <w:sz w:val="20"/>
        </w:rPr>
        <w:t>Le plan de trésorerie 2026 projette un solde de trésorerie annuel de 725 M FCFA. En appliquant une décote de réalisation (aléa d'exécution des nouveaux contrats) et un multiple conservateur, on obtient :</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600"/>
            <w:shd w:val="clear" w:color="auto" w:fill="1B3A5C"/>
            <w:vAlign w:val="center"/>
          </w:tcPr>
          <w:p>
            <w:pPr>
              <w:spacing w:before="80" w:after="80"/>
              <w:jc w:val="center"/>
            </w:pPr>
            <w:r>
              <w:rPr>
                <w:b/>
                <w:color w:val="FFFFFF"/>
                <w:sz w:val="18"/>
              </w:rPr>
              <w:t>Hypothèse</w:t>
            </w:r>
          </w:p>
        </w:tc>
        <w:tc>
          <w:tcPr>
            <w:tcW w:type="dxa" w:w="2880"/>
            <w:shd w:val="clear" w:color="auto" w:fill="1B3A5C"/>
            <w:vAlign w:val="center"/>
          </w:tcPr>
          <w:p>
            <w:pPr>
              <w:spacing w:before="80" w:after="80"/>
              <w:jc w:val="center"/>
            </w:pPr>
            <w:r>
              <w:rPr>
                <w:b/>
                <w:color w:val="FFFFFF"/>
                <w:sz w:val="18"/>
              </w:rPr>
              <w:t>EBITDA 2026 retenu (FCFA)</w:t>
            </w:r>
          </w:p>
        </w:tc>
        <w:tc>
          <w:tcPr>
            <w:tcW w:type="dxa" w:w="1440"/>
            <w:shd w:val="clear" w:color="auto" w:fill="1B3A5C"/>
            <w:vAlign w:val="center"/>
          </w:tcPr>
          <w:p>
            <w:pPr>
              <w:spacing w:before="80" w:after="80"/>
              <w:jc w:val="center"/>
            </w:pPr>
            <w:r>
              <w:rPr>
                <w:b/>
                <w:color w:val="FFFFFF"/>
                <w:sz w:val="18"/>
              </w:rPr>
              <w:t>Multiple</w:t>
            </w:r>
          </w:p>
        </w:tc>
        <w:tc>
          <w:tcPr>
            <w:tcW w:type="dxa" w:w="2592"/>
            <w:shd w:val="clear" w:color="auto" w:fill="1B3A5C"/>
            <w:vAlign w:val="center"/>
          </w:tcPr>
          <w:p>
            <w:pPr>
              <w:spacing w:before="80" w:after="80"/>
              <w:jc w:val="center"/>
            </w:pPr>
            <w:r>
              <w:rPr>
                <w:b/>
                <w:color w:val="FFFFFF"/>
                <w:sz w:val="18"/>
              </w:rPr>
              <w:t>Valeur (M FCFA)</w:t>
            </w:r>
          </w:p>
        </w:tc>
        <w:tc>
          <w:tcPr>
            <w:tcW w:type="dxa" w:w="2592"/>
            <w:shd w:val="clear" w:color="auto" w:fill="1B3A5C"/>
            <w:vAlign w:val="center"/>
          </w:tcPr>
          <w:p>
            <w:pPr>
              <w:spacing w:before="80" w:after="80"/>
              <w:jc w:val="center"/>
            </w:pPr>
            <w:r>
              <w:rPr>
                <w:b/>
                <w:color w:val="FFFFFF"/>
                <w:sz w:val="18"/>
              </w:rPr>
              <w:t>Valeur (M EUR)</w:t>
            </w:r>
          </w:p>
        </w:tc>
      </w:tr>
      <w:tr>
        <w:tc>
          <w:tcPr>
            <w:tcW w:type="dxa" w:w="3600"/>
            <w:shd w:val="clear" w:color="auto" w:fill="F2F2F2"/>
          </w:tcPr>
          <w:p>
            <w:pPr>
              <w:spacing w:before="60" w:after="60"/>
              <w:ind w:left="72"/>
              <w:jc w:val="left"/>
            </w:pPr>
            <w:r>
              <w:rPr>
                <w:sz w:val="18"/>
              </w:rPr>
              <w:t>Décote 50 % + 3x</w:t>
            </w:r>
          </w:p>
        </w:tc>
        <w:tc>
          <w:tcPr>
            <w:tcW w:type="dxa" w:w="2880"/>
            <w:shd w:val="clear" w:color="auto" w:fill="F2F2F2"/>
          </w:tcPr>
          <w:p>
            <w:pPr>
              <w:spacing w:before="60" w:after="60"/>
              <w:ind w:left="72"/>
              <w:jc w:val="right"/>
            </w:pPr>
            <w:r>
              <w:rPr>
                <w:sz w:val="18"/>
              </w:rPr>
              <w:t>362 M</w:t>
            </w:r>
          </w:p>
        </w:tc>
        <w:tc>
          <w:tcPr>
            <w:tcW w:type="dxa" w:w="1440"/>
            <w:shd w:val="clear" w:color="auto" w:fill="F2F2F2"/>
          </w:tcPr>
          <w:p>
            <w:pPr>
              <w:spacing w:before="60" w:after="60"/>
              <w:ind w:left="72"/>
              <w:jc w:val="right"/>
            </w:pPr>
            <w:r>
              <w:rPr>
                <w:sz w:val="18"/>
              </w:rPr>
              <w:t>3x</w:t>
            </w:r>
          </w:p>
        </w:tc>
        <w:tc>
          <w:tcPr>
            <w:tcW w:type="dxa" w:w="2592"/>
            <w:shd w:val="clear" w:color="auto" w:fill="F2F2F2"/>
          </w:tcPr>
          <w:p>
            <w:pPr>
              <w:spacing w:before="60" w:after="60"/>
              <w:ind w:left="72"/>
              <w:jc w:val="right"/>
            </w:pPr>
            <w:r>
              <w:rPr>
                <w:sz w:val="18"/>
              </w:rPr>
              <w:t>1 088 M</w:t>
            </w:r>
          </w:p>
        </w:tc>
        <w:tc>
          <w:tcPr>
            <w:tcW w:type="dxa" w:w="2592"/>
            <w:shd w:val="clear" w:color="auto" w:fill="F2F2F2"/>
          </w:tcPr>
          <w:p>
            <w:pPr>
              <w:spacing w:before="60" w:after="60"/>
              <w:ind w:left="72"/>
              <w:jc w:val="right"/>
            </w:pPr>
            <w:r>
              <w:rPr>
                <w:sz w:val="18"/>
              </w:rPr>
              <w:t>1,66 M EUR</w:t>
            </w:r>
          </w:p>
        </w:tc>
      </w:tr>
      <w:tr>
        <w:tc>
          <w:tcPr>
            <w:tcW w:type="dxa" w:w="3600"/>
            <w:shd w:val="clear" w:color="auto" w:fill="FFFFFF"/>
          </w:tcPr>
          <w:p>
            <w:pPr>
              <w:spacing w:before="60" w:after="60"/>
              <w:ind w:left="72"/>
              <w:jc w:val="left"/>
            </w:pPr>
            <w:r>
              <w:rPr>
                <w:sz w:val="18"/>
              </w:rPr>
              <w:t>Décote 50 % + 4x</w:t>
            </w:r>
          </w:p>
        </w:tc>
        <w:tc>
          <w:tcPr>
            <w:tcW w:type="dxa" w:w="2880"/>
            <w:shd w:val="clear" w:color="auto" w:fill="FFFFFF"/>
          </w:tcPr>
          <w:p>
            <w:pPr>
              <w:spacing w:before="60" w:after="60"/>
              <w:ind w:left="72"/>
              <w:jc w:val="right"/>
            </w:pPr>
            <w:r>
              <w:rPr>
                <w:sz w:val="18"/>
              </w:rPr>
              <w:t>362 M</w:t>
            </w:r>
          </w:p>
        </w:tc>
        <w:tc>
          <w:tcPr>
            <w:tcW w:type="dxa" w:w="1440"/>
            <w:shd w:val="clear" w:color="auto" w:fill="FFFFFF"/>
          </w:tcPr>
          <w:p>
            <w:pPr>
              <w:spacing w:before="60" w:after="60"/>
              <w:ind w:left="72"/>
              <w:jc w:val="right"/>
            </w:pPr>
            <w:r>
              <w:rPr>
                <w:sz w:val="18"/>
              </w:rPr>
              <w:t>4x</w:t>
            </w:r>
          </w:p>
        </w:tc>
        <w:tc>
          <w:tcPr>
            <w:tcW w:type="dxa" w:w="2592"/>
            <w:shd w:val="clear" w:color="auto" w:fill="FFFFFF"/>
          </w:tcPr>
          <w:p>
            <w:pPr>
              <w:spacing w:before="60" w:after="60"/>
              <w:ind w:left="72"/>
              <w:jc w:val="right"/>
            </w:pPr>
            <w:r>
              <w:rPr>
                <w:sz w:val="18"/>
              </w:rPr>
              <w:t>1 451 M</w:t>
            </w:r>
          </w:p>
        </w:tc>
        <w:tc>
          <w:tcPr>
            <w:tcW w:type="dxa" w:w="2592"/>
            <w:shd w:val="clear" w:color="auto" w:fill="FFFFFF"/>
          </w:tcPr>
          <w:p>
            <w:pPr>
              <w:spacing w:before="60" w:after="60"/>
              <w:ind w:left="72"/>
              <w:jc w:val="right"/>
            </w:pPr>
            <w:r>
              <w:rPr>
                <w:sz w:val="18"/>
              </w:rPr>
              <w:t>2,21 M EUR</w:t>
            </w:r>
          </w:p>
        </w:tc>
      </w:tr>
      <w:tr>
        <w:tc>
          <w:tcPr>
            <w:tcW w:type="dxa" w:w="3600"/>
            <w:shd w:val="clear" w:color="auto" w:fill="F2F2F2"/>
          </w:tcPr>
          <w:p>
            <w:pPr>
              <w:spacing w:before="60" w:after="60"/>
              <w:ind w:left="72"/>
              <w:jc w:val="left"/>
            </w:pPr>
            <w:r>
              <w:rPr>
                <w:sz w:val="18"/>
              </w:rPr>
              <w:t>Décote 30 % + 3x</w:t>
            </w:r>
          </w:p>
        </w:tc>
        <w:tc>
          <w:tcPr>
            <w:tcW w:type="dxa" w:w="2880"/>
            <w:shd w:val="clear" w:color="auto" w:fill="F2F2F2"/>
          </w:tcPr>
          <w:p>
            <w:pPr>
              <w:spacing w:before="60" w:after="60"/>
              <w:ind w:left="72"/>
              <w:jc w:val="right"/>
            </w:pPr>
            <w:r>
              <w:rPr>
                <w:sz w:val="18"/>
              </w:rPr>
              <w:t>507 M</w:t>
            </w:r>
          </w:p>
        </w:tc>
        <w:tc>
          <w:tcPr>
            <w:tcW w:type="dxa" w:w="1440"/>
            <w:shd w:val="clear" w:color="auto" w:fill="F2F2F2"/>
          </w:tcPr>
          <w:p>
            <w:pPr>
              <w:spacing w:before="60" w:after="60"/>
              <w:ind w:left="72"/>
              <w:jc w:val="right"/>
            </w:pPr>
            <w:r>
              <w:rPr>
                <w:sz w:val="18"/>
              </w:rPr>
              <w:t>3x</w:t>
            </w:r>
          </w:p>
        </w:tc>
        <w:tc>
          <w:tcPr>
            <w:tcW w:type="dxa" w:w="2592"/>
            <w:shd w:val="clear" w:color="auto" w:fill="F2F2F2"/>
          </w:tcPr>
          <w:p>
            <w:pPr>
              <w:spacing w:before="60" w:after="60"/>
              <w:ind w:left="72"/>
              <w:jc w:val="right"/>
            </w:pPr>
            <w:r>
              <w:rPr>
                <w:sz w:val="18"/>
              </w:rPr>
              <w:t>1 523 M</w:t>
            </w:r>
          </w:p>
        </w:tc>
        <w:tc>
          <w:tcPr>
            <w:tcW w:type="dxa" w:w="2592"/>
            <w:shd w:val="clear" w:color="auto" w:fill="F2F2F2"/>
          </w:tcPr>
          <w:p>
            <w:pPr>
              <w:spacing w:before="60" w:after="60"/>
              <w:ind w:left="72"/>
              <w:jc w:val="right"/>
            </w:pPr>
            <w:r>
              <w:rPr>
                <w:sz w:val="18"/>
              </w:rPr>
              <w:t>2,32 M EUR</w:t>
            </w:r>
          </w:p>
        </w:tc>
      </w:tr>
      <w:tr>
        <w:tc>
          <w:tcPr>
            <w:tcW w:type="dxa" w:w="3600"/>
            <w:shd w:val="clear" w:color="auto" w:fill="FFFFFF"/>
          </w:tcPr>
          <w:p>
            <w:pPr>
              <w:spacing w:before="60" w:after="60"/>
              <w:ind w:left="72"/>
              <w:jc w:val="left"/>
            </w:pPr>
            <w:r>
              <w:rPr>
                <w:sz w:val="18"/>
              </w:rPr>
              <w:t>Décote 30 % + 4x</w:t>
            </w:r>
          </w:p>
        </w:tc>
        <w:tc>
          <w:tcPr>
            <w:tcW w:type="dxa" w:w="2880"/>
            <w:shd w:val="clear" w:color="auto" w:fill="FFFFFF"/>
          </w:tcPr>
          <w:p>
            <w:pPr>
              <w:spacing w:before="60" w:after="60"/>
              <w:ind w:left="72"/>
              <w:jc w:val="right"/>
            </w:pPr>
            <w:r>
              <w:rPr>
                <w:sz w:val="18"/>
              </w:rPr>
              <w:t>507 M</w:t>
            </w:r>
          </w:p>
        </w:tc>
        <w:tc>
          <w:tcPr>
            <w:tcW w:type="dxa" w:w="1440"/>
            <w:shd w:val="clear" w:color="auto" w:fill="FFFFFF"/>
          </w:tcPr>
          <w:p>
            <w:pPr>
              <w:spacing w:before="60" w:after="60"/>
              <w:ind w:left="72"/>
              <w:jc w:val="right"/>
            </w:pPr>
            <w:r>
              <w:rPr>
                <w:sz w:val="18"/>
              </w:rPr>
              <w:t>4x</w:t>
            </w:r>
          </w:p>
        </w:tc>
        <w:tc>
          <w:tcPr>
            <w:tcW w:type="dxa" w:w="2592"/>
            <w:shd w:val="clear" w:color="auto" w:fill="FFFFFF"/>
          </w:tcPr>
          <w:p>
            <w:pPr>
              <w:spacing w:before="60" w:after="60"/>
              <w:ind w:left="72"/>
              <w:jc w:val="right"/>
            </w:pPr>
            <w:r>
              <w:rPr>
                <w:sz w:val="18"/>
              </w:rPr>
              <w:t>2 031 M</w:t>
            </w:r>
          </w:p>
        </w:tc>
        <w:tc>
          <w:tcPr>
            <w:tcW w:type="dxa" w:w="2592"/>
            <w:shd w:val="clear" w:color="auto" w:fill="FFFFFF"/>
          </w:tcPr>
          <w:p>
            <w:pPr>
              <w:spacing w:before="60" w:after="60"/>
              <w:ind w:left="72"/>
              <w:jc w:val="right"/>
            </w:pPr>
            <w:r>
              <w:rPr>
                <w:sz w:val="18"/>
              </w:rPr>
              <w:t>3,10 M EUR</w:t>
            </w:r>
          </w:p>
        </w:tc>
      </w:tr>
    </w:tbl>
    <w:p>
      <w:pPr>
        <w:spacing w:before="0" w:after="0"/>
      </w:pPr>
      <w:r>
        <w:rPr>
          <w:sz w:val="8"/>
        </w:rPr>
      </w:r>
    </w:p>
    <w:p>
      <w:pPr>
        <w:spacing w:before="40" w:after="80"/>
      </w:pPr>
      <w:r>
        <w:rPr>
          <w:b w:val="0"/>
          <w:i/>
          <w:color w:val="606060"/>
          <w:sz w:val="20"/>
        </w:rPr>
        <w:t>Cette méthode est pertinente seulement si un acquéreur est convaincu par le plan 2026 et prêt à valoriser sur base forward.</w:t>
      </w:r>
    </w:p>
    <w:p>
      <w:r>
        <w:br w:type="page"/>
      </w:r>
    </w:p>
    <w:p>
      <w:pPr>
        <w:spacing w:before="240" w:after="120"/>
      </w:pPr>
      <w:r>
        <w:rPr>
          <w:b/>
          <w:color w:val="2E75B6"/>
          <w:sz w:val="26"/>
        </w:rPr>
        <w:t>5.6 Synthèse des valorisations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val="clear" w:color="auto" w:fill="1B3A5C"/>
            <w:vAlign w:val="center"/>
          </w:tcPr>
          <w:p>
            <w:pPr>
              <w:spacing w:before="80" w:after="80"/>
              <w:jc w:val="center"/>
            </w:pPr>
            <w:r>
              <w:rPr>
                <w:b/>
                <w:color w:val="FFFFFF"/>
                <w:sz w:val="18"/>
              </w:rPr>
              <w:t>Scénario</w:t>
            </w:r>
          </w:p>
        </w:tc>
        <w:tc>
          <w:tcPr>
            <w:tcW w:type="dxa" w:w="3168"/>
            <w:shd w:val="clear" w:color="auto" w:fill="1B3A5C"/>
            <w:vAlign w:val="center"/>
          </w:tcPr>
          <w:p>
            <w:pPr>
              <w:spacing w:before="80" w:after="80"/>
              <w:jc w:val="center"/>
            </w:pPr>
            <w:r>
              <w:rPr>
                <w:b/>
                <w:color w:val="FFFFFF"/>
                <w:sz w:val="18"/>
              </w:rPr>
              <w:t>Base</w:t>
            </w:r>
          </w:p>
        </w:tc>
        <w:tc>
          <w:tcPr>
            <w:tcW w:type="dxa" w:w="2592"/>
            <w:shd w:val="clear" w:color="auto" w:fill="1B3A5C"/>
            <w:vAlign w:val="center"/>
          </w:tcPr>
          <w:p>
            <w:pPr>
              <w:spacing w:before="80" w:after="80"/>
              <w:jc w:val="center"/>
            </w:pPr>
            <w:r>
              <w:rPr>
                <w:b/>
                <w:color w:val="FFFFFF"/>
                <w:sz w:val="18"/>
              </w:rPr>
              <w:t>Fourchette (M FCFA)</w:t>
            </w:r>
          </w:p>
        </w:tc>
        <w:tc>
          <w:tcPr>
            <w:tcW w:type="dxa" w:w="2592"/>
            <w:shd w:val="clear" w:color="auto" w:fill="1B3A5C"/>
            <w:vAlign w:val="center"/>
          </w:tcPr>
          <w:p>
            <w:pPr>
              <w:spacing w:before="80" w:after="80"/>
              <w:jc w:val="center"/>
            </w:pPr>
            <w:r>
              <w:rPr>
                <w:b/>
                <w:color w:val="FFFFFF"/>
                <w:sz w:val="18"/>
              </w:rPr>
              <w:t>Fourchette (M EUR)</w:t>
            </w:r>
          </w:p>
        </w:tc>
        <w:tc>
          <w:tcPr>
            <w:tcW w:type="dxa" w:w="2880"/>
            <w:shd w:val="clear" w:color="auto" w:fill="1B3A5C"/>
            <w:vAlign w:val="center"/>
          </w:tcPr>
          <w:p>
            <w:pPr>
              <w:spacing w:before="80" w:after="80"/>
              <w:jc w:val="center"/>
            </w:pPr>
            <w:r>
              <w:rPr>
                <w:b/>
                <w:color w:val="FFFFFF"/>
                <w:sz w:val="18"/>
              </w:rPr>
              <w:t>Probabilité</w:t>
            </w:r>
          </w:p>
        </w:tc>
      </w:tr>
      <w:tr>
        <w:tc>
          <w:tcPr>
            <w:tcW w:type="dxa" w:w="2592"/>
            <w:shd w:val="clear" w:color="auto" w:fill="F2F2F2"/>
          </w:tcPr>
          <w:p>
            <w:pPr>
              <w:spacing w:before="60" w:after="60"/>
              <w:ind w:left="72"/>
              <w:jc w:val="left"/>
            </w:pPr>
            <w:r>
              <w:rPr>
                <w:sz w:val="18"/>
              </w:rPr>
              <w:t>Conservateur</w:t>
              <w:br/>
              <w:t>(comptes officiels)</w:t>
            </w:r>
          </w:p>
        </w:tc>
        <w:tc>
          <w:tcPr>
            <w:tcW w:type="dxa" w:w="3168"/>
            <w:shd w:val="clear" w:color="auto" w:fill="F2F2F2"/>
          </w:tcPr>
          <w:p>
            <w:pPr>
              <w:spacing w:before="60" w:after="60"/>
              <w:ind w:left="72"/>
              <w:jc w:val="right"/>
            </w:pPr>
            <w:r>
              <w:rPr>
                <w:sz w:val="18"/>
              </w:rPr>
              <w:t>EBITDA officiel × 3-6</w:t>
            </w:r>
          </w:p>
        </w:tc>
        <w:tc>
          <w:tcPr>
            <w:tcW w:type="dxa" w:w="2592"/>
            <w:shd w:val="clear" w:color="auto" w:fill="F2F2F2"/>
          </w:tcPr>
          <w:p>
            <w:pPr>
              <w:spacing w:before="60" w:after="60"/>
              <w:ind w:left="72"/>
              <w:jc w:val="right"/>
            </w:pPr>
            <w:r>
              <w:rPr>
                <w:sz w:val="18"/>
              </w:rPr>
              <w:t>187 – 374 M</w:t>
            </w:r>
          </w:p>
        </w:tc>
        <w:tc>
          <w:tcPr>
            <w:tcW w:type="dxa" w:w="2592"/>
            <w:shd w:val="clear" w:color="auto" w:fill="F2F2F2"/>
          </w:tcPr>
          <w:p>
            <w:pPr>
              <w:spacing w:before="60" w:after="60"/>
              <w:ind w:left="72"/>
              <w:jc w:val="right"/>
            </w:pPr>
            <w:r>
              <w:rPr>
                <w:sz w:val="18"/>
              </w:rPr>
              <w:t>0,29 – 0,57 M</w:t>
            </w:r>
          </w:p>
        </w:tc>
        <w:tc>
          <w:tcPr>
            <w:tcW w:type="dxa" w:w="2880"/>
            <w:shd w:val="clear" w:color="auto" w:fill="F2F2F2"/>
          </w:tcPr>
          <w:p>
            <w:pPr>
              <w:spacing w:before="60" w:after="60"/>
              <w:ind w:left="72"/>
              <w:jc w:val="right"/>
            </w:pPr>
            <w:r>
              <w:rPr>
                <w:sz w:val="18"/>
              </w:rPr>
              <w:t>Toujours applicable</w:t>
            </w:r>
          </w:p>
        </w:tc>
      </w:tr>
      <w:tr>
        <w:tc>
          <w:tcPr>
            <w:tcW w:type="dxa" w:w="2592"/>
            <w:shd w:val="clear" w:color="auto" w:fill="FFFFFF"/>
          </w:tcPr>
          <w:p>
            <w:pPr>
              <w:spacing w:before="60" w:after="60"/>
              <w:ind w:left="72"/>
              <w:jc w:val="left"/>
            </w:pPr>
            <w:r>
              <w:rPr>
                <w:sz w:val="18"/>
              </w:rPr>
              <w:t>Central</w:t>
              <w:br/>
              <w:t>(réalité économique)</w:t>
            </w:r>
          </w:p>
        </w:tc>
        <w:tc>
          <w:tcPr>
            <w:tcW w:type="dxa" w:w="3168"/>
            <w:shd w:val="clear" w:color="auto" w:fill="FFFFFF"/>
          </w:tcPr>
          <w:p>
            <w:pPr>
              <w:spacing w:before="60" w:after="60"/>
              <w:ind w:left="72"/>
              <w:jc w:val="right"/>
            </w:pPr>
            <w:r>
              <w:rPr>
                <w:sz w:val="18"/>
              </w:rPr>
              <w:t>Marge nette 15% × 4-6</w:t>
            </w:r>
          </w:p>
        </w:tc>
        <w:tc>
          <w:tcPr>
            <w:tcW w:type="dxa" w:w="2592"/>
            <w:shd w:val="clear" w:color="auto" w:fill="FFFFFF"/>
          </w:tcPr>
          <w:p>
            <w:pPr>
              <w:spacing w:before="60" w:after="60"/>
              <w:ind w:left="72"/>
              <w:jc w:val="right"/>
            </w:pPr>
            <w:r>
              <w:rPr>
                <w:sz w:val="18"/>
              </w:rPr>
              <w:t>437 – 656 M</w:t>
            </w:r>
          </w:p>
        </w:tc>
        <w:tc>
          <w:tcPr>
            <w:tcW w:type="dxa" w:w="2592"/>
            <w:shd w:val="clear" w:color="auto" w:fill="FFFFFF"/>
          </w:tcPr>
          <w:p>
            <w:pPr>
              <w:spacing w:before="60" w:after="60"/>
              <w:ind w:left="72"/>
              <w:jc w:val="right"/>
            </w:pPr>
            <w:r>
              <w:rPr>
                <w:sz w:val="18"/>
              </w:rPr>
              <w:t>0,67 – 1,00 M</w:t>
            </w:r>
          </w:p>
        </w:tc>
        <w:tc>
          <w:tcPr>
            <w:tcW w:type="dxa" w:w="2880"/>
            <w:shd w:val="clear" w:color="auto" w:fill="FFFFFF"/>
          </w:tcPr>
          <w:p>
            <w:pPr>
              <w:spacing w:before="60" w:after="60"/>
              <w:ind w:left="72"/>
              <w:jc w:val="right"/>
            </w:pPr>
            <w:r>
              <w:rPr>
                <w:sz w:val="18"/>
              </w:rPr>
              <w:t>Scénario de référence</w:t>
            </w:r>
          </w:p>
        </w:tc>
      </w:tr>
      <w:tr>
        <w:tc>
          <w:tcPr>
            <w:tcW w:type="dxa" w:w="2592"/>
            <w:shd w:val="clear" w:color="auto" w:fill="F2F2F2"/>
          </w:tcPr>
          <w:p>
            <w:pPr>
              <w:spacing w:before="60" w:after="60"/>
              <w:ind w:left="72"/>
              <w:jc w:val="left"/>
            </w:pPr>
            <w:r>
              <w:rPr>
                <w:sz w:val="18"/>
              </w:rPr>
              <w:t>Optimiste</w:t>
              <w:br/>
              <w:t>(plan 2026 partiel)</w:t>
            </w:r>
          </w:p>
        </w:tc>
        <w:tc>
          <w:tcPr>
            <w:tcW w:type="dxa" w:w="3168"/>
            <w:shd w:val="clear" w:color="auto" w:fill="F2F2F2"/>
          </w:tcPr>
          <w:p>
            <w:pPr>
              <w:spacing w:before="60" w:after="60"/>
              <w:ind w:left="72"/>
              <w:jc w:val="right"/>
            </w:pPr>
            <w:r>
              <w:rPr>
                <w:sz w:val="18"/>
              </w:rPr>
              <w:t>EBITDA forward × 3-4</w:t>
              <w:br/>
              <w:t>(décote 50 %)</w:t>
            </w:r>
          </w:p>
        </w:tc>
        <w:tc>
          <w:tcPr>
            <w:tcW w:type="dxa" w:w="2592"/>
            <w:shd w:val="clear" w:color="auto" w:fill="F2F2F2"/>
          </w:tcPr>
          <w:p>
            <w:pPr>
              <w:spacing w:before="60" w:after="60"/>
              <w:ind w:left="72"/>
              <w:jc w:val="right"/>
            </w:pPr>
            <w:r>
              <w:rPr>
                <w:sz w:val="18"/>
              </w:rPr>
              <w:t>1 088 – 1 451 M</w:t>
            </w:r>
          </w:p>
        </w:tc>
        <w:tc>
          <w:tcPr>
            <w:tcW w:type="dxa" w:w="2592"/>
            <w:shd w:val="clear" w:color="auto" w:fill="F2F2F2"/>
          </w:tcPr>
          <w:p>
            <w:pPr>
              <w:spacing w:before="60" w:after="60"/>
              <w:ind w:left="72"/>
              <w:jc w:val="right"/>
            </w:pPr>
            <w:r>
              <w:rPr>
                <w:sz w:val="18"/>
              </w:rPr>
              <w:t>1,66 – 2,21 M</w:t>
            </w:r>
          </w:p>
        </w:tc>
        <w:tc>
          <w:tcPr>
            <w:tcW w:type="dxa" w:w="2880"/>
            <w:shd w:val="clear" w:color="auto" w:fill="F2F2F2"/>
          </w:tcPr>
          <w:p>
            <w:pPr>
              <w:spacing w:before="60" w:after="60"/>
              <w:ind w:left="72"/>
              <w:jc w:val="right"/>
            </w:pPr>
            <w:r>
              <w:rPr>
                <w:sz w:val="18"/>
              </w:rPr>
              <w:t>Si plan 2026 réalisé à 50 %</w:t>
            </w:r>
          </w:p>
        </w:tc>
      </w:tr>
      <w:tr>
        <w:tc>
          <w:tcPr>
            <w:tcW w:type="dxa" w:w="2592"/>
            <w:shd w:val="clear" w:color="auto" w:fill="FFFFFF"/>
          </w:tcPr>
          <w:p>
            <w:pPr>
              <w:spacing w:before="60" w:after="60"/>
              <w:ind w:left="72"/>
              <w:jc w:val="left"/>
            </w:pPr>
            <w:r>
              <w:rPr>
                <w:sz w:val="18"/>
              </w:rPr>
              <w:t>Très optimiste</w:t>
              <w:br/>
              <w:t>(plan 2026 réalisé)</w:t>
            </w:r>
          </w:p>
        </w:tc>
        <w:tc>
          <w:tcPr>
            <w:tcW w:type="dxa" w:w="3168"/>
            <w:shd w:val="clear" w:color="auto" w:fill="FFFFFF"/>
          </w:tcPr>
          <w:p>
            <w:pPr>
              <w:spacing w:before="60" w:after="60"/>
              <w:ind w:left="72"/>
              <w:jc w:val="right"/>
            </w:pPr>
            <w:r>
              <w:rPr>
                <w:sz w:val="18"/>
              </w:rPr>
              <w:t>EBITDA forward × 3-4</w:t>
              <w:br/>
              <w:t>(décote 30 %)</w:t>
            </w:r>
          </w:p>
        </w:tc>
        <w:tc>
          <w:tcPr>
            <w:tcW w:type="dxa" w:w="2592"/>
            <w:shd w:val="clear" w:color="auto" w:fill="FFFFFF"/>
          </w:tcPr>
          <w:p>
            <w:pPr>
              <w:spacing w:before="60" w:after="60"/>
              <w:ind w:left="72"/>
              <w:jc w:val="right"/>
            </w:pPr>
            <w:r>
              <w:rPr>
                <w:sz w:val="18"/>
              </w:rPr>
              <w:t>1 523 – 2 031 M</w:t>
            </w:r>
          </w:p>
        </w:tc>
        <w:tc>
          <w:tcPr>
            <w:tcW w:type="dxa" w:w="2592"/>
            <w:shd w:val="clear" w:color="auto" w:fill="FFFFFF"/>
          </w:tcPr>
          <w:p>
            <w:pPr>
              <w:spacing w:before="60" w:after="60"/>
              <w:ind w:left="72"/>
              <w:jc w:val="right"/>
            </w:pPr>
            <w:r>
              <w:rPr>
                <w:sz w:val="18"/>
              </w:rPr>
              <w:t>2,32 – 3,10 M</w:t>
            </w:r>
          </w:p>
        </w:tc>
        <w:tc>
          <w:tcPr>
            <w:tcW w:type="dxa" w:w="2880"/>
            <w:shd w:val="clear" w:color="auto" w:fill="FFFFFF"/>
          </w:tcPr>
          <w:p>
            <w:pPr>
              <w:spacing w:before="60" w:after="60"/>
              <w:ind w:left="72"/>
              <w:jc w:val="right"/>
            </w:pPr>
            <w:r>
              <w:rPr>
                <w:sz w:val="18"/>
              </w:rPr>
              <w:t>Si plan 2026 réalisé à 70 %</w:t>
            </w:r>
          </w:p>
        </w:tc>
      </w:tr>
      <w:tr>
        <w:tc>
          <w:tcPr>
            <w:tcW w:type="dxa" w:w="2592"/>
            <w:shd w:val="clear" w:color="auto" w:fill="F2F2F2"/>
          </w:tcPr>
          <w:p>
            <w:pPr>
              <w:spacing w:before="60" w:after="60"/>
              <w:ind w:left="72"/>
              <w:jc w:val="left"/>
            </w:pPr>
            <w:r>
              <w:rPr>
                <w:sz w:val="18"/>
              </w:rPr>
              <w:t>Aspirationnel</w:t>
              <w:br/>
              <w:t>(projection 2027-2028)</w:t>
            </w:r>
          </w:p>
        </w:tc>
        <w:tc>
          <w:tcPr>
            <w:tcW w:type="dxa" w:w="3168"/>
            <w:shd w:val="clear" w:color="auto" w:fill="F2F2F2"/>
          </w:tcPr>
          <w:p>
            <w:pPr>
              <w:spacing w:before="60" w:after="60"/>
              <w:ind w:left="72"/>
              <w:jc w:val="right"/>
            </w:pPr>
            <w:r>
              <w:rPr>
                <w:sz w:val="18"/>
              </w:rPr>
              <w:t>EBITDA 2027 × 5-7</w:t>
            </w:r>
          </w:p>
        </w:tc>
        <w:tc>
          <w:tcPr>
            <w:tcW w:type="dxa" w:w="2592"/>
            <w:shd w:val="clear" w:color="auto" w:fill="F2F2F2"/>
          </w:tcPr>
          <w:p>
            <w:pPr>
              <w:spacing w:before="60" w:after="60"/>
              <w:ind w:left="72"/>
              <w:jc w:val="right"/>
            </w:pPr>
            <w:r>
              <w:rPr>
                <w:sz w:val="18"/>
              </w:rPr>
              <w:t>4 000 – 8 000 M</w:t>
            </w:r>
          </w:p>
        </w:tc>
        <w:tc>
          <w:tcPr>
            <w:tcW w:type="dxa" w:w="2592"/>
            <w:shd w:val="clear" w:color="auto" w:fill="F2F2F2"/>
          </w:tcPr>
          <w:p>
            <w:pPr>
              <w:spacing w:before="60" w:after="60"/>
              <w:ind w:left="72"/>
              <w:jc w:val="right"/>
            </w:pPr>
            <w:r>
              <w:rPr>
                <w:sz w:val="18"/>
              </w:rPr>
              <w:t>6,1 – 12,2 M</w:t>
            </w:r>
          </w:p>
        </w:tc>
        <w:tc>
          <w:tcPr>
            <w:tcW w:type="dxa" w:w="2880"/>
            <w:shd w:val="clear" w:color="auto" w:fill="F2F2F2"/>
          </w:tcPr>
          <w:p>
            <w:pPr>
              <w:spacing w:before="60" w:after="60"/>
              <w:ind w:left="72"/>
              <w:jc w:val="right"/>
            </w:pPr>
            <w:r>
              <w:rPr>
                <w:sz w:val="18"/>
              </w:rPr>
              <w:t>Si projections 3 ans réalisées</w:t>
            </w:r>
          </w:p>
        </w:tc>
      </w:tr>
    </w:tbl>
    <w:p>
      <w:pPr>
        <w:spacing w:before="0" w:after="0"/>
      </w:pPr>
      <w:r>
        <w:rPr>
          <w:sz w:val="8"/>
        </w:rPr>
      </w:r>
    </w:p>
    <w:tbl>
      <w:tblPr>
        <w:tblStyle w:val="TableGrid"/>
        <w:tblW w:type="auto" w:w="0"/>
        <w:jc w:val="center"/>
        <w:tblLook w:firstColumn="1" w:firstRow="1" w:lastColumn="0" w:lastRow="0" w:noHBand="0" w:noVBand="1" w:val="04A0"/>
      </w:tblPr>
      <w:tblGrid>
        <w:gridCol w:w="9072"/>
      </w:tblGrid>
      <w:tr>
        <w:tc>
          <w:tcPr>
            <w:tcW w:type="dxa" w:w="9072"/>
            <w:shd w:val="clear" w:color="auto" w:fill="F07C1E"/>
          </w:tcPr>
          <w:p>
            <w:pPr>
              <w:spacing w:before="80" w:after="80"/>
              <w:ind w:left="144"/>
            </w:pPr>
            <w:r>
              <w:rPr>
                <w:b/>
                <w:color w:val="FFFFFF"/>
                <w:sz w:val="20"/>
              </w:rPr>
              <w:t>FOURCHETTE DE VALORISATION RECOMMANDÉE POUR NÉGOCIATION</w:t>
            </w:r>
          </w:p>
        </w:tc>
      </w:tr>
      <w:tr>
        <w:tc>
          <w:tcPr>
            <w:tcW w:type="dxa" w:w="9072"/>
            <w:shd w:val="clear" w:color="auto" w:fill="FFE5CC"/>
          </w:tcPr>
          <w:p/>
          <w:p>
            <w:pPr>
              <w:spacing w:before="40" w:after="40"/>
              <w:ind w:left="216"/>
            </w:pPr>
            <w:r>
              <w:rPr>
                <w:sz w:val="19"/>
              </w:rPr>
              <w:t>Valeur basse (base solide actuelle)  :    440 M FCFA  ~  671 000 EUR</w:t>
            </w:r>
          </w:p>
          <w:p>
            <w:pPr>
              <w:spacing w:before="40" w:after="40"/>
              <w:ind w:left="216"/>
            </w:pPr>
            <w:r>
              <w:rPr>
                <w:sz w:val="19"/>
              </w:rPr>
              <w:t>Valeur centrale (réalité + croissance) :    650 M FCFA  ~  991 000 EUR</w:t>
            </w:r>
          </w:p>
          <w:p>
            <w:pPr>
              <w:spacing w:before="40" w:after="40"/>
              <w:ind w:left="216"/>
            </w:pPr>
            <w:r>
              <w:rPr>
                <w:sz w:val="19"/>
              </w:rPr>
              <w:t>Valeur haute (avec prime croissance) :  1 600 M FCFA  ~  2 439 000 EUR</w:t>
            </w:r>
          </w:p>
          <w:p>
            <w:pPr>
              <w:spacing w:before="40" w:after="40"/>
              <w:ind w:left="216"/>
            </w:pPr>
            <w:r>
              <w:rPr>
                <w:sz w:val="19"/>
              </w:rPr>
            </w:r>
          </w:p>
          <w:p>
            <w:pPr>
              <w:spacing w:before="40" w:after="40"/>
              <w:ind w:left="216"/>
            </w:pPr>
            <w:r>
              <w:rPr>
                <w:sz w:val="19"/>
              </w:rPr>
              <w:t>Demande fondateur : 6 560 M FCFA (10 M EUR) — représente 10x la valeur centrale</w:t>
            </w:r>
          </w:p>
          <w:p>
            <w:pPr>
              <w:spacing w:before="40" w:after="40"/>
              <w:ind w:left="216"/>
            </w:pPr>
            <w:r>
              <w:rPr>
                <w:sz w:val="19"/>
              </w:rPr>
              <w:t>Justifiable uniquement si les projections 2027-2028 (4 Md – 8 Md FCFA de CA) se réalisent.</w:t>
            </w:r>
          </w:p>
        </w:tc>
      </w:tr>
    </w:tbl>
    <w:p>
      <w:pPr>
        <w:spacing w:before="0" w:after="0"/>
      </w:pPr>
      <w:r>
        <w:rPr>
          <w:sz w:val="8"/>
        </w:rPr>
      </w:r>
    </w:p>
    <w:p>
      <w:r>
        <w:br w:type="page"/>
      </w:r>
    </w:p>
    <w:p>
      <w:pPr>
        <w:spacing w:before="360" w:after="120"/>
        <w:pBdr>
          <w:bottom w:val="single" w:sz="6" w:space="1" w:color="1B3A5C"/>
        </w:pBdr>
      </w:pPr>
      <w:r>
        <w:rPr>
          <w:b/>
          <w:color w:val="1B3A5C"/>
          <w:sz w:val="32"/>
        </w:rPr>
        <w:t>6. MODALITÉS DE CESSION RECOMMANDÉES</w:t>
      </w:r>
    </w:p>
    <w:p>
      <w:pPr>
        <w:spacing w:before="240" w:after="120"/>
      </w:pPr>
      <w:r>
        <w:rPr>
          <w:b/>
          <w:color w:val="2E75B6"/>
          <w:sz w:val="26"/>
        </w:rPr>
        <w:t>6.1 Options de cession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val="clear" w:color="auto" w:fill="1B3A5C"/>
            <w:vAlign w:val="center"/>
          </w:tcPr>
          <w:p>
            <w:pPr>
              <w:spacing w:before="80" w:after="80"/>
              <w:jc w:val="center"/>
            </w:pPr>
            <w:r>
              <w:rPr>
                <w:b/>
                <w:color w:val="FFFFFF"/>
                <w:sz w:val="18"/>
              </w:rPr>
              <w:t>Option</w:t>
            </w:r>
          </w:p>
        </w:tc>
        <w:tc>
          <w:tcPr>
            <w:tcW w:type="dxa" w:w="2880"/>
            <w:shd w:val="clear" w:color="auto" w:fill="1B3A5C"/>
            <w:vAlign w:val="center"/>
          </w:tcPr>
          <w:p>
            <w:pPr>
              <w:spacing w:before="80" w:after="80"/>
              <w:jc w:val="center"/>
            </w:pPr>
            <w:r>
              <w:rPr>
                <w:b/>
                <w:color w:val="FFFFFF"/>
                <w:sz w:val="18"/>
              </w:rPr>
              <w:t>Description</w:t>
            </w:r>
          </w:p>
        </w:tc>
        <w:tc>
          <w:tcPr>
            <w:tcW w:type="dxa" w:w="2880"/>
            <w:shd w:val="clear" w:color="auto" w:fill="1B3A5C"/>
            <w:vAlign w:val="center"/>
          </w:tcPr>
          <w:p>
            <w:pPr>
              <w:spacing w:before="80" w:after="80"/>
              <w:jc w:val="center"/>
            </w:pPr>
            <w:r>
              <w:rPr>
                <w:b/>
                <w:color w:val="FFFFFF"/>
                <w:sz w:val="18"/>
              </w:rPr>
              <w:t>Avantages</w:t>
            </w:r>
          </w:p>
        </w:tc>
        <w:tc>
          <w:tcPr>
            <w:tcW w:type="dxa" w:w="3744"/>
            <w:shd w:val="clear" w:color="auto" w:fill="1B3A5C"/>
            <w:vAlign w:val="center"/>
          </w:tcPr>
          <w:p>
            <w:pPr>
              <w:spacing w:before="80" w:after="80"/>
              <w:jc w:val="center"/>
            </w:pPr>
            <w:r>
              <w:rPr>
                <w:b/>
                <w:color w:val="FFFFFF"/>
                <w:sz w:val="18"/>
              </w:rPr>
              <w:t>Points de vigilance</w:t>
            </w:r>
          </w:p>
        </w:tc>
      </w:tr>
      <w:tr>
        <w:tc>
          <w:tcPr>
            <w:tcW w:type="dxa" w:w="2592"/>
            <w:shd w:val="clear" w:color="auto" w:fill="F2F2F2"/>
          </w:tcPr>
          <w:p>
            <w:pPr>
              <w:spacing w:before="60" w:after="60"/>
              <w:ind w:left="72"/>
              <w:jc w:val="left"/>
            </w:pPr>
            <w:r>
              <w:rPr>
                <w:sz w:val="18"/>
              </w:rPr>
              <w:t>Vente totale</w:t>
              <w:br/>
              <w:t>avec accompagnement</w:t>
            </w:r>
          </w:p>
        </w:tc>
        <w:tc>
          <w:tcPr>
            <w:tcW w:type="dxa" w:w="2880"/>
            <w:shd w:val="clear" w:color="auto" w:fill="F2F2F2"/>
          </w:tcPr>
          <w:p>
            <w:pPr>
              <w:spacing w:before="60" w:after="60"/>
              <w:ind w:left="72"/>
              <w:jc w:val="right"/>
            </w:pPr>
            <w:r>
              <w:rPr>
                <w:sz w:val="18"/>
              </w:rPr>
              <w:t>Cession 100 % des parts avec maintien du fondateur en tant que DG (2 ans minimum)</w:t>
            </w:r>
          </w:p>
        </w:tc>
        <w:tc>
          <w:tcPr>
            <w:tcW w:type="dxa" w:w="2880"/>
            <w:shd w:val="clear" w:color="auto" w:fill="F2F2F2"/>
          </w:tcPr>
          <w:p>
            <w:pPr>
              <w:spacing w:before="60" w:after="60"/>
              <w:ind w:left="72"/>
              <w:jc w:val="right"/>
            </w:pPr>
            <w:r>
              <w:rPr>
                <w:sz w:val="18"/>
              </w:rPr>
              <w:t>Maximise prix de cession ; transition sécurisée ; conserve réseau</w:t>
            </w:r>
          </w:p>
        </w:tc>
        <w:tc>
          <w:tcPr>
            <w:tcW w:type="dxa" w:w="3744"/>
            <w:shd w:val="clear" w:color="auto" w:fill="F2F2F2"/>
          </w:tcPr>
          <w:p>
            <w:pPr>
              <w:spacing w:before="60" w:after="60"/>
              <w:ind w:left="72"/>
              <w:jc w:val="right"/>
            </w:pPr>
            <w:r>
              <w:rPr>
                <w:sz w:val="18"/>
              </w:rPr>
              <w:t>Valorisation en période de transition, earn-out nécessaire</w:t>
            </w:r>
          </w:p>
        </w:tc>
      </w:tr>
      <w:tr>
        <w:tc>
          <w:tcPr>
            <w:tcW w:type="dxa" w:w="2592"/>
            <w:shd w:val="clear" w:color="auto" w:fill="FFFFFF"/>
          </w:tcPr>
          <w:p>
            <w:pPr>
              <w:spacing w:before="60" w:after="60"/>
              <w:ind w:left="72"/>
              <w:jc w:val="left"/>
            </w:pPr>
            <w:r>
              <w:rPr>
                <w:sz w:val="18"/>
              </w:rPr>
              <w:t>Vente partielle</w:t>
              <w:br/>
              <w:t>(40-60 %)</w:t>
            </w:r>
          </w:p>
        </w:tc>
        <w:tc>
          <w:tcPr>
            <w:tcW w:type="dxa" w:w="2880"/>
            <w:shd w:val="clear" w:color="auto" w:fill="FFFFFF"/>
          </w:tcPr>
          <w:p>
            <w:pPr>
              <w:spacing w:before="60" w:after="60"/>
              <w:ind w:left="72"/>
              <w:jc w:val="right"/>
            </w:pPr>
            <w:r>
              <w:rPr>
                <w:sz w:val="18"/>
              </w:rPr>
              <w:t>Entrée d'un partenaire financier ou stratégique au capital ; fondateur reste majoritaire et dirigeant</w:t>
            </w:r>
          </w:p>
        </w:tc>
        <w:tc>
          <w:tcPr>
            <w:tcW w:type="dxa" w:w="2880"/>
            <w:shd w:val="clear" w:color="auto" w:fill="FFFFFF"/>
          </w:tcPr>
          <w:p>
            <w:pPr>
              <w:spacing w:before="60" w:after="60"/>
              <w:ind w:left="72"/>
              <w:jc w:val="right"/>
            </w:pPr>
            <w:r>
              <w:rPr>
                <w:sz w:val="18"/>
              </w:rPr>
              <w:t>Finance la croissance 2026 ; valorise l'entreprise à son potentiel ; moindre dilution</w:t>
            </w:r>
          </w:p>
        </w:tc>
        <w:tc>
          <w:tcPr>
            <w:tcW w:type="dxa" w:w="3744"/>
            <w:shd w:val="clear" w:color="auto" w:fill="FFFFFF"/>
          </w:tcPr>
          <w:p>
            <w:pPr>
              <w:spacing w:before="60" w:after="60"/>
              <w:ind w:left="72"/>
              <w:jc w:val="right"/>
            </w:pPr>
            <w:r>
              <w:rPr>
                <w:sz w:val="18"/>
              </w:rPr>
              <w:t>Gouvernance à structurer ; accord actionnaires à définir</w:t>
            </w:r>
          </w:p>
        </w:tc>
      </w:tr>
      <w:tr>
        <w:tc>
          <w:tcPr>
            <w:tcW w:type="dxa" w:w="2592"/>
            <w:shd w:val="clear" w:color="auto" w:fill="F2F2F2"/>
          </w:tcPr>
          <w:p>
            <w:pPr>
              <w:spacing w:before="60" w:after="60"/>
              <w:ind w:left="72"/>
              <w:jc w:val="left"/>
            </w:pPr>
            <w:r>
              <w:rPr>
                <w:sz w:val="18"/>
              </w:rPr>
              <w:t>Investisseur</w:t>
              <w:br/>
              <w:t>minoritaire (20-40 %)</w:t>
            </w:r>
          </w:p>
        </w:tc>
        <w:tc>
          <w:tcPr>
            <w:tcW w:type="dxa" w:w="2880"/>
            <w:shd w:val="clear" w:color="auto" w:fill="F2F2F2"/>
          </w:tcPr>
          <w:p>
            <w:pPr>
              <w:spacing w:before="60" w:after="60"/>
              <w:ind w:left="72"/>
              <w:jc w:val="right"/>
            </w:pPr>
            <w:r>
              <w:rPr>
                <w:sz w:val="18"/>
              </w:rPr>
              <w:t>Augmentation de capital en échange d'un financement du plan 2026</w:t>
            </w:r>
          </w:p>
        </w:tc>
        <w:tc>
          <w:tcPr>
            <w:tcW w:type="dxa" w:w="2880"/>
            <w:shd w:val="clear" w:color="auto" w:fill="F2F2F2"/>
          </w:tcPr>
          <w:p>
            <w:pPr>
              <w:spacing w:before="60" w:after="60"/>
              <w:ind w:left="72"/>
              <w:jc w:val="right"/>
            </w:pPr>
            <w:r>
              <w:rPr>
                <w:sz w:val="18"/>
              </w:rPr>
              <w:t>Accélère la croissance ; signal de confiance ; valorisation progressive</w:t>
            </w:r>
          </w:p>
        </w:tc>
        <w:tc>
          <w:tcPr>
            <w:tcW w:type="dxa" w:w="3744"/>
            <w:shd w:val="clear" w:color="auto" w:fill="F2F2F2"/>
          </w:tcPr>
          <w:p>
            <w:pPr>
              <w:spacing w:before="60" w:after="60"/>
              <w:ind w:left="72"/>
              <w:jc w:val="right"/>
            </w:pPr>
            <w:r>
              <w:rPr>
                <w:sz w:val="18"/>
              </w:rPr>
              <w:t>Dilution immédiate ; perte de contrôle partielle</w:t>
            </w:r>
          </w:p>
        </w:tc>
      </w:tr>
      <w:tr>
        <w:tc>
          <w:tcPr>
            <w:tcW w:type="dxa" w:w="2592"/>
            <w:shd w:val="clear" w:color="auto" w:fill="FFFFFF"/>
          </w:tcPr>
          <w:p>
            <w:pPr>
              <w:spacing w:before="60" w:after="60"/>
              <w:ind w:left="72"/>
              <w:jc w:val="left"/>
            </w:pPr>
            <w:r>
              <w:rPr>
                <w:sz w:val="18"/>
              </w:rPr>
              <w:t>Partenariat</w:t>
              <w:br/>
              <w:t>stratégique</w:t>
            </w:r>
          </w:p>
        </w:tc>
        <w:tc>
          <w:tcPr>
            <w:tcW w:type="dxa" w:w="2880"/>
            <w:shd w:val="clear" w:color="auto" w:fill="FFFFFF"/>
          </w:tcPr>
          <w:p>
            <w:pPr>
              <w:spacing w:before="60" w:after="60"/>
              <w:ind w:left="72"/>
              <w:jc w:val="right"/>
            </w:pPr>
            <w:r>
              <w:rPr>
                <w:sz w:val="18"/>
              </w:rPr>
              <w:t>Alliance avec un groupe RH régional ou international (pas de cession de capital immédiate)</w:t>
            </w:r>
          </w:p>
        </w:tc>
        <w:tc>
          <w:tcPr>
            <w:tcW w:type="dxa" w:w="2880"/>
            <w:shd w:val="clear" w:color="auto" w:fill="FFFFFF"/>
          </w:tcPr>
          <w:p>
            <w:pPr>
              <w:spacing w:before="60" w:after="60"/>
              <w:ind w:left="72"/>
              <w:jc w:val="right"/>
            </w:pPr>
            <w:r>
              <w:rPr>
                <w:sz w:val="18"/>
              </w:rPr>
              <w:t>Accès à des marchés/ressources sans dilution</w:t>
            </w:r>
          </w:p>
        </w:tc>
        <w:tc>
          <w:tcPr>
            <w:tcW w:type="dxa" w:w="3744"/>
            <w:shd w:val="clear" w:color="auto" w:fill="FFFFFF"/>
          </w:tcPr>
          <w:p>
            <w:pPr>
              <w:spacing w:before="60" w:after="60"/>
              <w:ind w:left="72"/>
              <w:jc w:val="right"/>
            </w:pPr>
            <w:r>
              <w:rPr>
                <w:sz w:val="18"/>
              </w:rPr>
              <w:t>Pas de liquidité immédiate</w:t>
            </w:r>
          </w:p>
        </w:tc>
      </w:tr>
    </w:tbl>
    <w:p>
      <w:pPr>
        <w:spacing w:before="0" w:after="0"/>
      </w:pPr>
      <w:r>
        <w:rPr>
          <w:sz w:val="8"/>
        </w:rPr>
      </w:r>
    </w:p>
    <w:p>
      <w:pPr>
        <w:spacing w:before="240" w:after="120"/>
      </w:pPr>
      <w:r>
        <w:rPr>
          <w:b/>
          <w:color w:val="2E75B6"/>
          <w:sz w:val="26"/>
        </w:rPr>
        <w:t>6.2 Recommandation sur la structuration du prix</w:t>
      </w:r>
    </w:p>
    <w:p>
      <w:pPr>
        <w:spacing w:before="40" w:after="80"/>
      </w:pPr>
      <w:r>
        <w:rPr>
          <w:b w:val="0"/>
          <w:i w:val="0"/>
          <w:color w:val="000000"/>
          <w:sz w:val="20"/>
        </w:rPr>
        <w:t>Compte tenu de l'écart entre la valorisation actuelle et les aspirations du fondateur, il est recommandé de structurer le prix de cession en deux composantes :</w:t>
      </w:r>
    </w:p>
    <w:p>
      <w:pPr>
        <w:spacing w:before="0" w:after="0"/>
      </w:pPr>
      <w:r>
        <w:rPr>
          <w:sz w:val="8"/>
        </w:rPr>
      </w:r>
    </w:p>
    <w:p>
      <w:pPr>
        <w:pStyle w:val="ListBullet"/>
        <w:spacing w:before="20" w:after="40"/>
        <w:ind w:left="432"/>
      </w:pPr>
      <w:r>
        <w:rPr>
          <w:b/>
          <w:color w:val="1B3A5C"/>
          <w:sz w:val="20"/>
        </w:rPr>
        <w:t xml:space="preserve">Valeur certaine payée à la signature : 500-800 M FCFA — basée sur les chiffres 2025 avérés. </w:t>
      </w:r>
      <w:r>
        <w:rPr>
          <w:sz w:val="20"/>
        </w:rPr>
        <w:t>Prix de base (certitude)</w:t>
      </w:r>
    </w:p>
    <w:p>
      <w:pPr>
        <w:pStyle w:val="ListBullet"/>
        <w:spacing w:before="20" w:after="40"/>
        <w:ind w:left="432"/>
      </w:pPr>
      <w:r>
        <w:rPr>
          <w:b/>
          <w:color w:val="1B3A5C"/>
          <w:sz w:val="20"/>
        </w:rPr>
        <w:t xml:space="preserve">Tranche variable conditionnelle de 500 M à 5 Md FCFA, liée aux performances réelles sur 2026-2027 (CA, EBITDA, nombre d'agents actifs). Permet d'aligner les intérêts. </w:t>
      </w:r>
      <w:r>
        <w:rPr>
          <w:sz w:val="20"/>
        </w:rPr>
        <w:t>Complément de prix (earn-out)</w:t>
      </w:r>
    </w:p>
    <w:p>
      <w:pPr>
        <w:pStyle w:val="ListBullet"/>
        <w:spacing w:before="20" w:after="40"/>
        <w:ind w:left="432"/>
      </w:pPr>
      <w:r>
        <w:rPr>
          <w:b/>
          <w:color w:val="1B3A5C"/>
          <w:sz w:val="20"/>
        </w:rPr>
        <w:t xml:space="preserve">Maintien du fondateur en DG pendant 24 mois minimum avec rémunération fixe et variable, pour assurer la transition clients et commerciale. </w:t>
      </w:r>
      <w:r>
        <w:rPr>
          <w:sz w:val="20"/>
        </w:rPr>
        <w:t>Accompagnement</w:t>
      </w:r>
    </w:p>
    <w:p>
      <w:pPr>
        <w:spacing w:before="240" w:after="120"/>
      </w:pPr>
      <w:r>
        <w:rPr>
          <w:b/>
          <w:color w:val="2E75B6"/>
          <w:sz w:val="26"/>
        </w:rPr>
        <w:t>6.3 Préalables à une cession réussie</w:t>
      </w:r>
    </w:p>
    <w:p>
      <w:pPr>
        <w:spacing w:before="40" w:after="80"/>
      </w:pPr>
      <w:r>
        <w:rPr>
          <w:b w:val="0"/>
          <w:i w:val="0"/>
          <w:color w:val="000000"/>
          <w:sz w:val="20"/>
        </w:rPr>
        <w:t>Avant tout processus de vente formel, il est vivement conseillé de :</w:t>
      </w:r>
    </w:p>
    <w:p>
      <w:pPr>
        <w:pStyle w:val="ListBullet"/>
        <w:spacing w:before="20" w:after="40"/>
        <w:ind w:left="432"/>
      </w:pPr>
      <w:r>
        <w:rPr>
          <w:b/>
          <w:color w:val="1B3A5C"/>
          <w:sz w:val="20"/>
        </w:rPr>
        <w:t xml:space="preserve">Faire un diagnostic fiscal complet sur les exercices 2020-2024 (écart CA réel / déclaré) et, si nécessaire, initier une régularisation volontaire auprès de la DGI. Tout acquéreur sérieux découvrira cet écart en due diligence. </w:t>
      </w:r>
      <w:r>
        <w:rPr>
          <w:sz w:val="20"/>
        </w:rPr>
        <w:t>Régularisation fiscale</w:t>
      </w:r>
    </w:p>
    <w:p>
      <w:pPr>
        <w:pStyle w:val="ListBullet"/>
        <w:spacing w:before="20" w:after="40"/>
        <w:ind w:left="432"/>
      </w:pPr>
      <w:r>
        <w:rPr>
          <w:b/>
          <w:color w:val="1B3A5C"/>
          <w:sz w:val="20"/>
        </w:rPr>
        <w:t xml:space="preserve">Faire certifier les états financiers 2025 par un commissaire aux comptes (CAC) pour renforcer la crédibilité vis-à-vis des acheteurs. </w:t>
      </w:r>
      <w:r>
        <w:rPr>
          <w:sz w:val="20"/>
        </w:rPr>
        <w:t>Audit des comptes 2025</w:t>
      </w:r>
    </w:p>
    <w:p>
      <w:pPr>
        <w:pStyle w:val="ListBullet"/>
        <w:spacing w:before="20" w:after="40"/>
        <w:ind w:left="432"/>
      </w:pPr>
      <w:r>
        <w:rPr>
          <w:b/>
          <w:color w:val="1B3A5C"/>
          <w:sz w:val="20"/>
        </w:rPr>
        <w:t xml:space="preserve">S'assurer que tous les contrats clients (notamment AGL, SICMA Métro) sont formalisés et cessibles. </w:t>
      </w:r>
      <w:r>
        <w:rPr>
          <w:sz w:val="20"/>
        </w:rPr>
        <w:t>Formalisation des contrats clients</w:t>
      </w:r>
    </w:p>
    <w:p>
      <w:pPr>
        <w:pStyle w:val="ListBullet"/>
        <w:spacing w:before="20" w:after="40"/>
        <w:ind w:left="432"/>
      </w:pPr>
      <w:r>
        <w:rPr>
          <w:b/>
          <w:color w:val="1B3A5C"/>
          <w:sz w:val="20"/>
        </w:rPr>
        <w:t xml:space="preserve">Documenter la propriété de la plateforme Odoo et les actifs logiciels (licences, développements spécifiques). </w:t>
      </w:r>
      <w:r>
        <w:rPr>
          <w:sz w:val="20"/>
        </w:rPr>
        <w:t>Documentation IP</w:t>
      </w:r>
    </w:p>
    <w:p>
      <w:pPr>
        <w:pStyle w:val="ListBullet"/>
        <w:spacing w:before="20" w:after="40"/>
        <w:ind w:left="432"/>
      </w:pPr>
      <w:r>
        <w:rPr>
          <w:b/>
          <w:color w:val="1B3A5C"/>
          <w:sz w:val="20"/>
        </w:rPr>
        <w:t xml:space="preserve">Clarifier la structure juridique entre AT225 (CIV), AT228 (Togo) et AT230 (Maurice) pour une éventuelle cession partielle ou totale. </w:t>
      </w:r>
      <w:r>
        <w:rPr>
          <w:sz w:val="20"/>
        </w:rPr>
        <w:t>Séparation entités</w:t>
      </w:r>
    </w:p>
    <w:p>
      <w:r>
        <w:br w:type="page"/>
      </w:r>
    </w:p>
    <w:p>
      <w:pPr>
        <w:spacing w:before="360" w:after="120"/>
        <w:pBdr>
          <w:bottom w:val="single" w:sz="6" w:space="1" w:color="1B3A5C"/>
        </w:pBdr>
      </w:pPr>
      <w:r>
        <w:rPr>
          <w:b/>
          <w:color w:val="1B3A5C"/>
          <w:sz w:val="32"/>
        </w:rPr>
        <w:t>7. CONCLUSION ET POSITIONNEMENT</w:t>
      </w:r>
    </w:p>
    <w:p>
      <w:pPr>
        <w:spacing w:before="40" w:after="80"/>
      </w:pPr>
      <w:r>
        <w:rPr>
          <w:b w:val="0"/>
          <w:i w:val="0"/>
          <w:color w:val="000000"/>
          <w:sz w:val="20"/>
        </w:rPr>
        <w:t>AT225 est une société remarquable par sa trajectoire de croissance, sa maîtrise technologique et sa réputation dans un secteur RH en forte expansion en Côte d'Ivoire. Elle présente des fondamentaux solides pour une cession :</w:t>
      </w:r>
    </w:p>
    <w:p>
      <w:pPr>
        <w:pStyle w:val="ListBullet"/>
        <w:spacing w:before="20" w:after="40"/>
        <w:ind w:left="432"/>
      </w:pPr>
      <w:r>
        <w:rPr>
          <w:sz w:val="20"/>
        </w:rPr>
        <w:t>Un TCAM de 28,5 % sur 4 ans, avec une accélération récente (+39,6 % en 2025).</w:t>
      </w:r>
    </w:p>
    <w:p>
      <w:pPr>
        <w:pStyle w:val="ListBullet"/>
        <w:spacing w:before="20" w:after="40"/>
        <w:ind w:left="432"/>
      </w:pPr>
      <w:r>
        <w:rPr>
          <w:sz w:val="20"/>
        </w:rPr>
        <w:t>Un EBITDA positif de 62 M FCFA en 2025 après une perte de 15 M en 2024.</w:t>
      </w:r>
    </w:p>
    <w:p>
      <w:pPr>
        <w:pStyle w:val="ListBullet"/>
        <w:spacing w:before="20" w:after="40"/>
        <w:ind w:left="432"/>
      </w:pPr>
      <w:r>
        <w:rPr>
          <w:sz w:val="20"/>
        </w:rPr>
        <w:t>Un plan de croissance crédible adossé à des contrats en cours de signature.</w:t>
      </w:r>
    </w:p>
    <w:p>
      <w:pPr>
        <w:pStyle w:val="ListBullet"/>
        <w:spacing w:before="20" w:after="40"/>
        <w:ind w:left="432"/>
      </w:pPr>
      <w:r>
        <w:rPr>
          <w:sz w:val="20"/>
        </w:rPr>
        <w:t>Une plateforme technologique constituant un avantage concurrentiel durable.</w:t>
      </w:r>
    </w:p>
    <w:p>
      <w:pPr>
        <w:spacing w:before="0" w:after="0"/>
      </w:pPr>
      <w:r>
        <w:rPr>
          <w:sz w:val="8"/>
        </w:rPr>
      </w:r>
    </w:p>
    <w:p>
      <w:pPr>
        <w:spacing w:before="40" w:after="80"/>
      </w:pPr>
      <w:r>
        <w:rPr>
          <w:b w:val="0"/>
          <w:i w:val="0"/>
          <w:color w:val="000000"/>
          <w:sz w:val="20"/>
        </w:rPr>
        <w:t>Cependant, la demande initiale de 10 M EUR (6,56 Md FCFA) représente environ 10x la valorisation centrale actuelle. Elle est justifiable uniquement dans un horizon de 2 à 3 ans, si le plan 2026-2028 se matérialise. Dans une logique de cession à court terme, la fourchette réaliste de négociation se situe entre :</w:t>
      </w:r>
    </w:p>
    <w:p>
      <w:pPr>
        <w:spacing w:before="0" w:after="0"/>
      </w:pPr>
      <w:r>
        <w:rPr>
          <w:sz w:val="8"/>
        </w:rPr>
      </w:r>
    </w:p>
    <w:tbl>
      <w:tblPr>
        <w:tblStyle w:val="TableGrid"/>
        <w:tblW w:type="auto" w:w="0"/>
        <w:jc w:val="center"/>
        <w:tblLook w:firstColumn="1" w:firstRow="1" w:lastColumn="0" w:lastRow="0" w:noHBand="0" w:noVBand="1" w:val="04A0"/>
      </w:tblPr>
      <w:tblGrid>
        <w:gridCol w:w="9072"/>
      </w:tblGrid>
      <w:tr>
        <w:tc>
          <w:tcPr>
            <w:tcW w:type="dxa" w:w="9072"/>
            <w:shd w:val="clear" w:color="auto" w:fill="1B3A5C"/>
          </w:tcPr>
          <w:p>
            <w:pPr>
              <w:spacing w:before="80" w:after="80"/>
              <w:ind w:left="144"/>
            </w:pPr>
            <w:r>
              <w:rPr>
                <w:b/>
                <w:color w:val="FFFFFF"/>
                <w:sz w:val="20"/>
              </w:rPr>
              <w:t>RÉSUMÉ DES FOURCHETTES DE VALORISATION</w:t>
            </w:r>
          </w:p>
        </w:tc>
      </w:tr>
      <w:tr>
        <w:tc>
          <w:tcPr>
            <w:tcW w:type="dxa" w:w="9072"/>
            <w:shd w:val="clear" w:color="auto" w:fill="D5E8F0"/>
          </w:tcPr>
          <w:p/>
          <w:p>
            <w:pPr>
              <w:spacing w:before="40" w:after="40"/>
              <w:ind w:left="216"/>
            </w:pPr>
            <w:r>
              <w:rPr>
                <w:sz w:val="19"/>
              </w:rPr>
              <w:t>Valeur basse  :     440 M FCFA     (~671 000 EUR)    — base comptes officiels uniquement</w:t>
            </w:r>
          </w:p>
          <w:p>
            <w:pPr>
              <w:spacing w:before="40" w:after="40"/>
              <w:ind w:left="216"/>
            </w:pPr>
            <w:r>
              <w:rPr>
                <w:sz w:val="19"/>
              </w:rPr>
              <w:t>Valeur centrale :   650 M FCFA     (~991 000 EUR)    — réalité économique + prime croissance</w:t>
            </w:r>
          </w:p>
          <w:p>
            <w:pPr>
              <w:spacing w:before="40" w:after="40"/>
              <w:ind w:left="216"/>
            </w:pPr>
            <w:r>
              <w:rPr>
                <w:sz w:val="19"/>
              </w:rPr>
              <w:t>Valeur haute  :  1 600 M FCFA     (~2,4 M EUR)      — avec prime croissance + plan 2026</w:t>
            </w:r>
          </w:p>
          <w:p>
            <w:pPr>
              <w:spacing w:before="40" w:after="40"/>
              <w:ind w:left="216"/>
            </w:pPr>
            <w:r>
              <w:rPr>
                <w:sz w:val="19"/>
              </w:rPr>
              <w:t>Aspirationnel :  6 500 M FCFA     (~10 M EUR)       — si projections 2027-2028 réalisées</w:t>
            </w:r>
          </w:p>
          <w:p>
            <w:pPr>
              <w:spacing w:before="40" w:after="40"/>
              <w:ind w:left="216"/>
            </w:pPr>
            <w:r>
              <w:rPr>
                <w:sz w:val="19"/>
              </w:rPr>
            </w:r>
          </w:p>
          <w:p>
            <w:pPr>
              <w:spacing w:before="40" w:after="40"/>
              <w:ind w:left="216"/>
            </w:pPr>
            <w:r>
              <w:rPr>
                <w:sz w:val="19"/>
              </w:rPr>
              <w:t>RECOMMANDATION : Prix de base de 650 M à 1 000 M FCFA + earn-out jusqu'à 5 Md FCFA</w:t>
            </w:r>
          </w:p>
          <w:p>
            <w:pPr>
              <w:spacing w:before="40" w:after="40"/>
              <w:ind w:left="216"/>
            </w:pPr>
            <w:r>
              <w:rPr>
                <w:sz w:val="19"/>
              </w:rPr>
              <w:t>conditionné aux performances 2026-2027 mesurées sur CA et EBITDA.</w:t>
            </w:r>
          </w:p>
        </w:tc>
      </w:tr>
    </w:tbl>
    <w:p>
      <w:pPr>
        <w:spacing w:before="0" w:after="0"/>
      </w:pPr>
      <w:r>
        <w:rPr>
          <w:sz w:val="8"/>
        </w:rPr>
      </w:r>
    </w:p>
    <w:p>
      <w:pPr>
        <w:spacing w:before="40" w:after="80"/>
      </w:pPr>
      <w:r>
        <w:rPr>
          <w:b/>
          <w:i w:val="0"/>
          <w:color w:val="C0392B"/>
          <w:sz w:val="20"/>
        </w:rPr>
        <w:t>Le fondateur devra impérativement régler la question de la régularisation fiscale avant de lancer un processus de vente formalisé, sous peine de voir cette problématique utilisée comme levier de pression par l'acheteur pour réduire significativement le prix.</w:t>
      </w:r>
    </w:p>
    <w:p>
      <w:pPr>
        <w:spacing w:before="0" w:after="0"/>
      </w:pPr>
      <w:r>
        <w:rPr>
          <w:sz w:val="8"/>
        </w:rPr>
      </w:r>
    </w:p>
    <w:p>
      <w:pPr>
        <w:spacing w:before="0" w:after="0"/>
      </w:pPr>
      <w:r>
        <w:rPr>
          <w:sz w:val="8"/>
        </w:rPr>
      </w:r>
    </w:p>
    <w:p>
      <w:pPr>
        <w:spacing w:before="240"/>
      </w:pPr>
      <w:r>
        <w:rPr>
          <w:i/>
          <w:color w:val="808080"/>
          <w:sz w:val="16"/>
        </w:rPr>
        <w:t>Avertissement : Ce rapport est établi sur la base des documents financiers fournis (états financiers 2025, fichiers de facturation 2021-2025, plan de trésorerie 2026, compte d'exploitation prévisionnel et présentation commerciale AT225). Il constitue une analyse préliminaire à titre indicatif et ne remplace pas un audit de due diligence complet par un expert-comptable agréé ou un conseil en M&amp;A.</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