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8"/>
          <w:sz w:val="56"/>
        </w:rPr>
        <w:t>RAPPORT DE VALORISATION</w:t>
      </w:r>
    </w:p>
    <w:p>
      <w:pPr>
        <w:spacing w:before="240"/>
        <w:jc w:val="center"/>
      </w:pPr>
      <w:r>
        <w:rPr>
          <w:rFonts w:ascii="Arial" w:hAnsi="Arial"/>
          <w:b/>
          <w:color w:val="305496"/>
          <w:sz w:val="44"/>
        </w:rPr>
        <w:t>ASSISTANCE TECHNIQUE 225 (AT225)</w:t>
      </w:r>
    </w:p>
    <w:p>
      <w:pPr>
        <w:spacing w:before="160"/>
        <w:jc w:val="center"/>
      </w:pPr>
      <w:r>
        <w:rPr>
          <w:rFonts w:ascii="Arial" w:hAnsi="Arial"/>
          <w:i/>
          <w:sz w:val="28"/>
        </w:rPr>
        <w:t>Cession 100% des titres — Vente à très court terme</w:t>
      </w:r>
    </w:p>
    <w:p>
      <w:pPr>
        <w:spacing w:before="1200"/>
        <w:jc w:val="center"/>
      </w:pPr>
      <w:r>
        <w:rPr>
          <w:rFonts w:ascii="Arial" w:hAnsi="Arial"/>
          <w:sz w:val="24"/>
        </w:rPr>
        <w:t>Date de valorisation : 5 mai 2026</w:t>
      </w:r>
    </w:p>
    <w:p>
      <w:pPr>
        <w:jc w:val="center"/>
      </w:pPr>
      <w:r>
        <w:rPr>
          <w:rFonts w:ascii="Arial" w:hAnsi="Arial"/>
          <w:sz w:val="24"/>
        </w:rPr>
        <w:t>Devise : XOF (Franc CFA — peg 1 EUR = 655,957 XOF)</w:t>
      </w:r>
    </w:p>
    <w:p>
      <w:pPr>
        <w:spacing w:before="1600"/>
        <w:jc w:val="center"/>
      </w:pPr>
      <w:r>
        <w:rPr>
          <w:rFonts w:ascii="Arial" w:hAnsi="Arial"/>
          <w:b/>
          <w:sz w:val="26"/>
        </w:rPr>
        <w:t>PRIX INDICATIF RECOMMANDÉ</w:t>
      </w:r>
    </w:p>
    <w:p>
      <w:pPr>
        <w:jc w:val="center"/>
      </w:pPr>
      <w:r>
        <w:rPr>
          <w:rFonts w:ascii="Arial" w:hAnsi="Arial"/>
          <w:b/>
          <w:color w:val="1F4E78"/>
          <w:sz w:val="40"/>
        </w:rPr>
        <w:t>≈ 600 M XOF  (≈ 915 k EUR)</w:t>
      </w:r>
    </w:p>
    <w:p>
      <w:pPr>
        <w:jc w:val="center"/>
      </w:pPr>
      <w:r>
        <w:rPr>
          <w:rFonts w:ascii="Arial" w:hAnsi="Arial"/>
          <w:i/>
          <w:sz w:val="22"/>
        </w:rPr>
        <w:t>Fourchette de négociation : 310 – 1 000 M XOF (470 – 1 525 k EUR)</w:t>
      </w:r>
    </w:p>
    <w:p>
      <w:r>
        <w:br w:type="page"/>
      </w:r>
    </w:p>
    <w:p>
      <w:pPr>
        <w:keepNext/>
        <w:spacing w:before="360" w:after="120"/>
      </w:pPr>
      <w:r>
        <w:rPr>
          <w:rFonts w:ascii="Arial" w:hAnsi="Arial"/>
          <w:b/>
          <w:color w:val="1F4E78"/>
          <w:sz w:val="32"/>
        </w:rPr>
        <w:t>1. SYNTHÈSE EXÉCUTIVE</w:t>
      </w:r>
    </w:p>
    <w:p>
      <w:pPr>
        <w:spacing w:after="80"/>
        <w:jc w:val="both"/>
      </w:pPr>
      <w:r>
        <w:rPr>
          <w:rFonts w:ascii="Arial" w:hAnsi="Arial"/>
          <w:sz w:val="22"/>
        </w:rPr>
        <w:t>Le présent rapport présente une valorisation à 100 % des titres de la société ASSISTANCE TECHNIQUE 225 (AT225), domiciliée à Grand-Bassam (Côte d'Ivoire), en vue d'une cession à très court terme. La valorisation s'appuie sur les chiffres réels d'activité issus du fichier de facturation 2024, 2025 et 2026 année à date, le plan de trésorerie 2026 et les états financiers provisoires de l'exercice 2025.</w:t>
      </w:r>
    </w:p>
    <w:p>
      <w:pPr>
        <w:spacing w:after="80"/>
        <w:jc w:val="both"/>
      </w:pPr>
      <w:r>
        <w:rPr>
          <w:rFonts w:ascii="Arial" w:hAnsi="Arial"/>
          <w:sz w:val="22"/>
        </w:rPr>
        <w:t>Quatre méthodes ont été mises en œuvre et pondérées pour aboutir à une valeur centrale d'équité : la méthode des flux de trésorerie actualisés (DCF), la méthode des multiples d'EBITDA, la méthode des multiples de chiffre d'affaires et la méthode patrimoniale. Une décote de liquidité a ensuite été appliquée pour tenir compte du caractère urgent de la cession.</w:t>
      </w:r>
    </w:p>
    <w:p>
      <w:pPr>
        <w:keepNext/>
        <w:spacing w:before="240" w:after="80"/>
      </w:pPr>
      <w:r>
        <w:rPr>
          <w:rFonts w:ascii="Arial" w:hAnsi="Arial"/>
          <w:b/>
          <w:color w:val="305496"/>
          <w:sz w:val="26"/>
        </w:rPr>
        <w:t>Synthèse des indicateurs clés (CA réel)</w:t>
      </w:r>
    </w:p>
    <w:tbl>
      <w:tblPr>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Indicateur</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2024</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2025</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2026 YTD</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2026 budget</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Chiffre d'affaires (M XOF)</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522,5</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752,5</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367,1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1 710</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Chiffre d'affaires (k EUR)</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796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1 147</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560</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2 607</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Croissance YoY</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+44,0 %</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+127 %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Nombre de factures</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236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266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171 (4 mois)</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w:t>
            </w:r>
          </w:p>
        </w:tc>
      </w:tr>
    </w:tbl>
    <w:p>
      <w:pPr>
        <w:spacing w:after="160"/>
        <w:jc w:val="both"/>
      </w:pPr>
      <w:r>
        <w:rPr>
          <w:rFonts w:ascii="Arial" w:hAnsi="Arial"/>
          <w:sz w:val="22"/>
        </w:rPr>
        <w:t>L'activité affiche une trajectoire de croissance forte : +44 % entre 2024 et 2025, et un démarrage 2026 conforme à un rythme annualisé d'environ 1,1 milliard XOF (linéarisation des 4 premiers mois) à 1,7 milliard XOF (objectif budgétaire). La marge d'EBITDA budgétaire 2026 ressort à environ 35 % avant régularisations fiscales.</w:t>
      </w:r>
    </w:p>
    <w:p>
      <w:pPr>
        <w:keepNext/>
        <w:spacing w:before="240" w:after="80"/>
      </w:pPr>
      <w:r>
        <w:rPr>
          <w:rFonts w:ascii="Arial" w:hAnsi="Arial"/>
          <w:b/>
          <w:color w:val="305496"/>
          <w:sz w:val="26"/>
        </w:rPr>
        <w:t>Synthèse de la valorisation</w:t>
      </w:r>
    </w:p>
    <w:tbl>
      <w:tblPr>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Méthode</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Bas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Central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Haut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Pondération</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DCF (WACC 22 %)</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950</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1 267</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1 584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30 %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Multiple d'EBITDA normalisé</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309</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754</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1 312</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40 %</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Multiple de chiffre d'affaires</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159</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322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522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20 %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Méthode patrimoniale (ANR)</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34</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57</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79</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10 %</w:t>
            </w:r>
          </w:p>
        </w:tc>
      </w:tr>
      <w:tr>
        <w:tc>
          <w:tcPr>
            <w:tcW w:type="dxa" w:w="1882"/>
            <w:tcBorders>
              <w:top w:val="single" w:sz="4" w:color="999999"/>
              <w:left w:val="single" w:sz="4" w:color="999999"/>
              <w:bottom w:val="single" w:sz="4" w:color="999999"/>
              <w:right w:val="single" w:sz="4" w:color="999999"/>
            </w:tcBorders>
            <w:vAlign w:val="center"/>
            <w:shd w:val="clear" w:color="auto" w:fill="FFF2CC"/>
          </w:tcPr>
          <w:p>
            <w:pPr>
              <w:spacing w:after="0"/>
            </w:pPr>
            <w:r/>
            <w:r>
              <w:rPr>
                <w:rFonts w:ascii="Arial" w:hAnsi="Arial"/>
                <w:b/>
                <w:sz w:val="20"/>
              </w:rPr>
              <w:t>Valorisation centrale pondérée</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444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1 112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100 %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Décote vente rapide appliquée</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−30 %</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−20 %</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−10 %</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w:t>
            </w:r>
          </w:p>
        </w:tc>
      </w:tr>
      <w:tr>
        <w:tc>
          <w:tcPr>
            <w:tcW w:type="dxa" w:w="1882"/>
            <w:tcBorders>
              <w:top w:val="single" w:sz="4" w:color="999999"/>
              <w:left w:val="single" w:sz="4" w:color="999999"/>
              <w:bottom w:val="single" w:sz="4" w:color="999999"/>
              <w:right w:val="single" w:sz="4" w:color="999999"/>
            </w:tcBorders>
            <w:vAlign w:val="center"/>
            <w:shd w:val="clear" w:color="auto" w:fill="FFF2CC"/>
          </w:tcPr>
          <w:p>
            <w:pPr>
              <w:spacing w:after="0"/>
            </w:pPr>
            <w:r/>
            <w:r>
              <w:rPr>
                <w:rFonts w:ascii="Arial" w:hAnsi="Arial"/>
                <w:b/>
                <w:sz w:val="20"/>
              </w:rPr>
              <w:t>EQUITY VALUE FINALE</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311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602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1 001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Équivalent en k EUR</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474</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917</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1 526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w:t>
            </w:r>
          </w:p>
        </w:tc>
      </w:tr>
    </w:tbl>
    <w:p>
      <w:pPr>
        <w:keepNext/>
        <w:spacing w:before="240" w:after="80"/>
      </w:pPr>
      <w:r>
        <w:rPr>
          <w:rFonts w:ascii="Arial" w:hAnsi="Arial"/>
          <w:b/>
          <w:color w:val="305496"/>
          <w:sz w:val="26"/>
        </w:rPr>
        <w:t>Recommandation</w:t>
      </w:r>
    </w:p>
    <w:p>
      <w:pPr>
        <w:spacing w:after="80"/>
        <w:jc w:val="both"/>
      </w:pPr>
      <w:r>
        <w:rPr>
          <w:rFonts w:ascii="Arial" w:hAnsi="Arial"/>
          <w:sz w:val="22"/>
        </w:rPr>
        <w:t>Le prix indicatif central recommandé pour une cession à 100 % des titres à très court terme s'établit à environ 600 millions de FCFA, soit approximativement 915 000 euros. La fourchette de négociation acceptable se situe entre 310 et 1 000 millions de FCFA (470 à 1 525 k EUR), en fonction de la solidité du dossier de due diligence, de la qualité des garanties offertes (notamment garantie de passif fiscal) et du nombre d'acquéreurs en concurrence.</w:t>
      </w:r>
    </w:p>
    <w:p>
      <w:r>
        <w:br w:type="page"/>
      </w:r>
    </w:p>
    <w:p>
      <w:pPr>
        <w:keepNext/>
        <w:spacing w:before="360" w:after="120"/>
      </w:pPr>
      <w:r>
        <w:rPr>
          <w:rFonts w:ascii="Arial" w:hAnsi="Arial"/>
          <w:b/>
          <w:color w:val="1F4E78"/>
          <w:sz w:val="32"/>
        </w:rPr>
        <w:t>2. PRÉSENTATION DE LA SOCIÉTÉ</w:t>
      </w:r>
    </w:p>
    <w:p>
      <w:pPr>
        <w:keepNext/>
        <w:spacing w:before="240" w:after="80"/>
      </w:pPr>
      <w:r>
        <w:rPr>
          <w:rFonts w:ascii="Arial" w:hAnsi="Arial"/>
          <w:b/>
          <w:color w:val="305496"/>
          <w:sz w:val="26"/>
        </w:rPr>
        <w:t>Identification</w:t>
      </w:r>
    </w:p>
    <w:tbl>
      <w:tblPr>
        <w:tblW w:type="auto" w:w="0"/>
        <w:jc w:val="center"/>
        <w:tblLook w:firstColumn="1" w:firstRow="1" w:lastColumn="0" w:lastRow="0" w:noHBand="0" w:noVBand="1" w:val="04A0"/>
      </w:tblPr>
      <w:tblGrid>
        <w:gridCol w:w="4706"/>
        <w:gridCol w:w="4706"/>
      </w:tblGrid>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Dénomination</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ASSISTANCE TECHNIQUE 225 (AT225)</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Adresse</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BP 250 Grand Bassam — Côte d'Ivoire</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NCC</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2007015R</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Sigle</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CIV</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Date de clôture</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31 décembre</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Effectif estimé (2026)</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Croissance des charges salariales suggère un effectif en hausse soutenue</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Activité</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Services techniques B2B / assistance technique / ingénierie</w:t>
            </w:r>
          </w:p>
        </w:tc>
      </w:tr>
    </w:tbl>
    <w:p>
      <w:pPr>
        <w:keepNext/>
        <w:spacing w:before="240" w:after="80"/>
      </w:pPr>
      <w:r>
        <w:rPr>
          <w:rFonts w:ascii="Arial" w:hAnsi="Arial"/>
          <w:b/>
          <w:color w:val="305496"/>
          <w:sz w:val="26"/>
        </w:rPr>
        <w:t>Modèle économique</w:t>
      </w:r>
    </w:p>
    <w:p>
      <w:pPr>
        <w:spacing w:after="80"/>
        <w:jc w:val="both"/>
      </w:pPr>
      <w:r>
        <w:rPr>
          <w:rFonts w:ascii="Arial" w:hAnsi="Arial"/>
          <w:sz w:val="22"/>
        </w:rPr>
        <w:t>AT225 facture des prestations de services techniques (assistance, ingénierie) à un portefeuille de clients principalement institutionnels et industriels en Côte d'Ivoire. La rémunération est facturée à la prestation ou au forfait. Les charges principales sont les rémunérations directes du personnel (environ 56 % du CA budgété 2026), ce qui est typique d'une activité de services techniques à forte intensité de main-d'œuvre.</w:t>
      </w:r>
    </w:p>
    <w:p>
      <w:pPr>
        <w:keepNext/>
        <w:spacing w:before="240" w:after="80"/>
      </w:pPr>
      <w:r>
        <w:rPr>
          <w:rFonts w:ascii="Arial" w:hAnsi="Arial"/>
          <w:b/>
          <w:color w:val="305496"/>
          <w:sz w:val="26"/>
        </w:rPr>
        <w:t>Portefeuille clients</w:t>
      </w:r>
    </w:p>
    <w:p>
      <w:pPr>
        <w:spacing w:after="80"/>
        <w:jc w:val="both"/>
      </w:pPr>
      <w:r>
        <w:rPr>
          <w:rFonts w:ascii="Arial" w:hAnsi="Arial"/>
          <w:sz w:val="22"/>
        </w:rPr>
        <w:t>Le portefeuille clients présente une concentration significative. Sur la base du fichier de facturation 2024-2025, les principaux clients sont :</w:t>
      </w:r>
    </w:p>
    <w:tbl>
      <w:tblPr>
        <w:tblW w:type="auto" w:w="0"/>
        <w:jc w:val="center"/>
        <w:tblLook w:firstColumn="1" w:firstRow="1" w:lastColumn="0" w:lastRow="0" w:noHBand="0" w:noVBand="1" w:val="04A0"/>
      </w:tblPr>
      <w:tblGrid>
        <w:gridCol w:w="3137"/>
        <w:gridCol w:w="3137"/>
        <w:gridCol w:w="3137"/>
      </w:tblGrid>
      <w:tr>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Top clients (CA cumulé 2024-2025)</w:t>
            </w:r>
          </w:p>
        </w:tc>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 XOF</w:t>
            </w:r>
          </w:p>
        </w:tc>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 du total</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Bessac Afrique</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386,3</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30,3 %</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SPAC en Côte d'Ivoire</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186,8</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14,7 %</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Seureca CI</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114,9</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9,0 %</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SOCATRA</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81,4</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6,4 %</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NMSI</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63,5</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5,0 %</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SICMA</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72,2</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5,7 %</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Autres (≈ 25 clients)</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369,9</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29,0 %</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sz w:val="20"/>
              </w:rPr>
              <w:t>Total CA 2024+2025</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1 275,0</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100 %</w:t>
            </w:r>
          </w:p>
        </w:tc>
      </w:tr>
    </w:tbl>
    <w:p>
      <w:pPr>
        <w:spacing w:after="80"/>
        <w:jc w:val="both"/>
      </w:pPr>
      <w:r>
        <w:rPr>
          <w:rFonts w:ascii="Arial" w:hAnsi="Arial"/>
          <w:i/>
          <w:sz w:val="20"/>
        </w:rPr>
        <w:t>La concentration clients représente un risque structurel à mitiger en due diligence (durée des contrats, ancienneté de la relation, dépendance opérationnelle). Le démarrage 2026 montre toutefois une diversification progressive avec l'apparition de nouveaux comptes (Dorado Ivory SA, Manuchar CI, Africa Global Logistics).</w:t>
      </w:r>
    </w:p>
    <w:p>
      <w:r>
        <w:br w:type="page"/>
      </w:r>
    </w:p>
    <w:p>
      <w:pPr>
        <w:keepNext/>
        <w:spacing w:before="360" w:after="120"/>
      </w:pPr>
      <w:r>
        <w:rPr>
          <w:rFonts w:ascii="Arial" w:hAnsi="Arial"/>
          <w:b/>
          <w:color w:val="1F4E78"/>
          <w:sz w:val="32"/>
        </w:rPr>
        <w:t>3. ANALYSE FINANCIÈRE</w:t>
      </w:r>
    </w:p>
    <w:p>
      <w:pPr>
        <w:keepNext/>
        <w:spacing w:before="240" w:after="80"/>
      </w:pPr>
      <w:r>
        <w:rPr>
          <w:rFonts w:ascii="Arial" w:hAnsi="Arial"/>
          <w:b/>
          <w:color w:val="305496"/>
          <w:sz w:val="26"/>
        </w:rPr>
        <w:t>3.1 Évolution du chiffre d'affaires réel</w:t>
      </w:r>
    </w:p>
    <w:p>
      <w:pPr>
        <w:spacing w:after="80"/>
        <w:jc w:val="both"/>
      </w:pPr>
      <w:r>
        <w:rPr>
          <w:rFonts w:ascii="Arial" w:hAnsi="Arial"/>
          <w:sz w:val="22"/>
        </w:rPr>
        <w:t>Le chiffre d'affaires réel, tel qu'il ressort du fichier de facturation officiel, présente la trajectoire suivante :</w:t>
      </w:r>
    </w:p>
    <w:tbl>
      <w:tblPr>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Période</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Factures</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CA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CA (k EUR)</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Croissance</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2024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236</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522,5</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796</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2025</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266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752,5</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1 147</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+44,0 %</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2026 YTD (au 04/05)</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171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367,1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560</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2026 annualisé (linéaire)</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 1 080</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 1 646</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+44 %</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2026 budget (plan trésorerie)</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1 710</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2 607</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+127 %</w:t>
            </w:r>
          </w:p>
        </w:tc>
      </w:tr>
    </w:tbl>
    <w:p>
      <w:pPr>
        <w:spacing w:after="80"/>
        <w:jc w:val="both"/>
      </w:pPr>
      <w:r>
        <w:rPr>
          <w:rFonts w:ascii="Arial" w:hAnsi="Arial"/>
          <w:i/>
          <w:sz w:val="20"/>
        </w:rPr>
        <w:t>La croissance organique 2024→2025 est de +44 %. Le démarrage 2026 (367 M XOF sur 4 mois) suggère une croissance à deux chiffres comparable à celle de 2025, tandis que le plan de trésorerie cible une accélération à plus de 100 %, plus ambitieuse mais à confirmer sur les prochains mois.</w:t>
      </w:r>
    </w:p>
    <w:p>
      <w:pPr>
        <w:keepNext/>
        <w:spacing w:before="240" w:after="80"/>
      </w:pPr>
      <w:r>
        <w:rPr>
          <w:rFonts w:ascii="Arial" w:hAnsi="Arial"/>
          <w:b/>
          <w:color w:val="305496"/>
          <w:sz w:val="26"/>
        </w:rPr>
        <w:t>3.2 Décomposition mensuelle 2025</w:t>
      </w:r>
    </w:p>
    <w:tbl>
      <w:tblPr>
        <w:tblW w:type="auto" w:w="0"/>
        <w:jc w:val="center"/>
        <w:tblLook w:firstColumn="1" w:firstRow="1" w:lastColumn="0" w:lastRow="0" w:noHBand="0" w:noVBand="1" w:val="04A0"/>
      </w:tblPr>
      <w:tblGrid>
        <w:gridCol w:w="2353"/>
        <w:gridCol w:w="2353"/>
        <w:gridCol w:w="2353"/>
        <w:gridCol w:w="2353"/>
      </w:tblGrid>
      <w:tr>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Mois 2025</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CA (M XOF)</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Mois 2025</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CA (M XOF)</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Janvier</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30,2</w:t>
            </w:r>
          </w:p>
        </w:tc>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Juillet</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78,0</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Février</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22,1</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Août</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90,2</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Mars</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64,2</w:t>
            </w:r>
          </w:p>
        </w:tc>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Septembre</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28,3</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Avril</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12,1</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Octobre</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100,4</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Mai</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63,5</w:t>
            </w:r>
          </w:p>
        </w:tc>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Novembre</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20,2</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Juin</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102,8</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Décembre</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140,5</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sz w:val="20"/>
              </w:rPr>
              <w:t>Total S1</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294,9</w:t>
            </w:r>
          </w:p>
        </w:tc>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Total S2</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457,6</w:t>
            </w:r>
          </w:p>
        </w:tc>
      </w:tr>
    </w:tbl>
    <w:p>
      <w:pPr>
        <w:spacing w:after="80"/>
        <w:jc w:val="both"/>
      </w:pPr>
      <w:r>
        <w:rPr>
          <w:rFonts w:ascii="Arial" w:hAnsi="Arial"/>
          <w:i/>
          <w:sz w:val="20"/>
        </w:rPr>
        <w:t>La saisonnalité montre une concentration forte du CA sur le second semestre (61 % du CA 2025) avec un pic en décembre (140 M XOF). Cette dynamique correspond à un cycle de facturation typique sur les chantiers et les fins d'exercice clients.</w:t>
      </w:r>
    </w:p>
    <w:p>
      <w:pPr>
        <w:keepNext/>
        <w:spacing w:before="240" w:after="80"/>
      </w:pPr>
      <w:r>
        <w:rPr>
          <w:rFonts w:ascii="Arial" w:hAnsi="Arial"/>
          <w:b/>
          <w:color w:val="305496"/>
          <w:sz w:val="26"/>
        </w:rPr>
        <w:t>3.3 Bilan résumé au 31/12/2025</w:t>
      </w:r>
    </w:p>
    <w:tbl>
      <w:tblPr>
        <w:tblW w:type="auto" w:w="0"/>
        <w:jc w:val="center"/>
        <w:tblLook w:firstColumn="1" w:firstRow="1" w:lastColumn="0" w:lastRow="0" w:noHBand="0" w:noVBand="1" w:val="04A0"/>
      </w:tblPr>
      <w:tblGrid>
        <w:gridCol w:w="3137"/>
        <w:gridCol w:w="3137"/>
        <w:gridCol w:w="3137"/>
      </w:tblGrid>
      <w:tr>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Poste</w:t>
            </w:r>
          </w:p>
        </w:tc>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31/12/2025 (XOF)</w:t>
            </w:r>
          </w:p>
        </w:tc>
        <w:tc>
          <w:tcPr>
            <w:tcW w:type="dxa" w:w="3137"/>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31/12/2024 (XOF)</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Immobilisations incorporelles nettes</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9 015 464</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13 455 917</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Immobilisations corporelles nettes</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13 181 973</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16 573 748</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Immobilisations financières</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3 200 000</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sz w:val="20"/>
              </w:rPr>
              <w:t>Total actif immobilisé</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25 397 437</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30 029 665</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Créances clients</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26 108 540</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Trésorerie</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20 594 958</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6 285 553</w:t>
            </w:r>
          </w:p>
        </w:tc>
      </w:tr>
      <w:tr>
        <w:tc>
          <w:tcPr>
            <w:tcW w:type="dxa" w:w="3137"/>
            <w:tcBorders>
              <w:top w:val="single" w:sz="4" w:color="999999"/>
              <w:left w:val="single" w:sz="4" w:color="999999"/>
              <w:bottom w:val="single" w:sz="4" w:color="999999"/>
              <w:right w:val="single" w:sz="4" w:color="999999"/>
            </w:tcBorders>
            <w:vAlign w:val="center"/>
            <w:shd w:val="clear" w:color="auto" w:fill="FFF2CC"/>
          </w:tcPr>
          <w:p>
            <w:pPr>
              <w:spacing w:after="0"/>
            </w:pPr>
            <w:r/>
            <w:r>
              <w:rPr>
                <w:rFonts w:ascii="Arial" w:hAnsi="Arial"/>
                <w:b/>
                <w:sz w:val="20"/>
              </w:rPr>
              <w:t>TOTAL ACTIF</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72 100 935</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36 315 218</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Capitaux propres</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59 305 336</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−14 300 000</w:t>
            </w:r>
          </w:p>
        </w:tc>
      </w:tr>
      <w:tr>
        <w:tc>
          <w:tcPr>
            <w:tcW w:type="dxa" w:w="3137"/>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Dettes fiscales et sociales</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12 795 599</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7 037 063</w:t>
            </w:r>
          </w:p>
        </w:tc>
      </w:tr>
      <w:tr>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Autres dettes</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w:t>
            </w:r>
          </w:p>
        </w:tc>
        <w:tc>
          <w:tcPr>
            <w:tcW w:type="dxa" w:w="3137"/>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43 578 155</w:t>
            </w:r>
          </w:p>
        </w:tc>
      </w:tr>
      <w:tr>
        <w:tc>
          <w:tcPr>
            <w:tcW w:type="dxa" w:w="3137"/>
            <w:tcBorders>
              <w:top w:val="single" w:sz="4" w:color="999999"/>
              <w:left w:val="single" w:sz="4" w:color="999999"/>
              <w:bottom w:val="single" w:sz="4" w:color="999999"/>
              <w:right w:val="single" w:sz="4" w:color="999999"/>
            </w:tcBorders>
            <w:vAlign w:val="center"/>
            <w:shd w:val="clear" w:color="auto" w:fill="FFF2CC"/>
          </w:tcPr>
          <w:p>
            <w:pPr>
              <w:spacing w:after="0"/>
            </w:pPr>
            <w:r/>
            <w:r>
              <w:rPr>
                <w:rFonts w:ascii="Arial" w:hAnsi="Arial"/>
                <w:b/>
                <w:sz w:val="20"/>
              </w:rPr>
              <w:t>TOTAL PASSIF</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72 100 935</w:t>
            </w:r>
          </w:p>
        </w:tc>
        <w:tc>
          <w:tcPr>
            <w:tcW w:type="dxa" w:w="3137"/>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36 315 218</w:t>
            </w:r>
          </w:p>
        </w:tc>
      </w:tr>
    </w:tbl>
    <w:p>
      <w:pPr>
        <w:spacing w:after="80"/>
        <w:jc w:val="both"/>
      </w:pPr>
      <w:r>
        <w:rPr>
          <w:rFonts w:ascii="Arial" w:hAnsi="Arial"/>
          <w:i/>
          <w:sz w:val="20"/>
        </w:rPr>
        <w:t>Le bilan 2025 présente un fort redressement : les capitaux propres passent de −14,3 M XOF à +59,3 M XOF grâce à un résultat 2025 de +62,4 M XOF (vs −15,3 M en 2024). La trésorerie active atteint 20,6 M XOF, soit une couverture nette positive après déduction des dettes fiscales et sociales (+7,8 M XOF).</w:t>
      </w:r>
    </w:p>
    <w:p>
      <w:pPr>
        <w:keepNext/>
        <w:spacing w:before="240" w:after="80"/>
      </w:pPr>
      <w:r>
        <w:rPr>
          <w:rFonts w:ascii="Arial" w:hAnsi="Arial"/>
          <w:b/>
          <w:color w:val="C00000"/>
          <w:sz w:val="26"/>
        </w:rPr>
        <w:t>3.4 ALERTE — Écart entre CA déclaré et CA réel</w:t>
      </w:r>
    </w:p>
    <w:tbl>
      <w:tblPr>
        <w:tblW w:type="auto" w:w="0"/>
        <w:jc w:val="center"/>
        <w:tblLook w:firstColumn="1" w:firstRow="1" w:lastColumn="0" w:lastRow="0" w:noHBand="0" w:noVBand="1" w:val="04A0"/>
      </w:tblPr>
      <w:tblGrid>
        <w:gridCol w:w="4706"/>
        <w:gridCol w:w="4706"/>
      </w:tblGrid>
      <w:tr>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Indicateur</w:t>
            </w:r>
          </w:p>
        </w:tc>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Montant (XOF)</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CA déclaré dans les états financiers 2025</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243 879 644</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CA facturé réel (fichier facturation 2025)</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752 452 067</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Écart</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508 572 423</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Écart en % du CA réel</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67,6 %</w:t>
            </w:r>
          </w:p>
        </w:tc>
      </w:tr>
    </w:tbl>
    <w:p>
      <w:pPr>
        <w:spacing w:after="80"/>
        <w:jc w:val="both"/>
      </w:pPr>
      <w:r>
        <w:rPr>
          <w:rFonts w:ascii="Arial" w:hAnsi="Arial"/>
          <w:b/>
          <w:color w:val="C00000"/>
          <w:sz w:val="22"/>
        </w:rPr>
        <w:t>Cet écart de plus de 508 millions XOF entre le CA déclaré et le CA réel facturé représente une exposition de régularisation fiscale matérielle. Un acquéreur averti exigera systématiquement :</w:t>
      </w:r>
    </w:p>
    <w:p>
      <w:pPr>
        <w:pStyle w:val="ListBullet"/>
        <w:spacing w:after="40"/>
        <w:ind w:left="397"/>
      </w:pPr>
      <w:r>
        <w:rPr>
          <w:rFonts w:ascii="Arial" w:hAnsi="Arial"/>
          <w:sz w:val="21"/>
        </w:rPr>
        <w:t>Une garantie de passif fiscal couvrant les exercices ouverts à régularisation (3 à 5 ans).</w:t>
      </w:r>
    </w:p>
    <w:p>
      <w:pPr>
        <w:pStyle w:val="ListBullet"/>
        <w:spacing w:after="40"/>
        <w:ind w:left="397"/>
      </w:pPr>
      <w:r>
        <w:rPr>
          <w:rFonts w:ascii="Arial" w:hAnsi="Arial"/>
          <w:sz w:val="21"/>
        </w:rPr>
        <w:t>Une provision spécifique séquestrée sur le prix de cession (typiquement 10 à 20 % pendant la durée de la garantie).</w:t>
      </w:r>
    </w:p>
    <w:p>
      <w:pPr>
        <w:pStyle w:val="ListBullet"/>
        <w:spacing w:after="40"/>
        <w:ind w:left="397"/>
      </w:pPr>
      <w:r>
        <w:rPr>
          <w:rFonts w:ascii="Arial" w:hAnsi="Arial"/>
          <w:sz w:val="21"/>
        </w:rPr>
        <w:t>Un audit fiscal préalable à la signature pour quantifier l'exposition.</w:t>
      </w:r>
    </w:p>
    <w:p>
      <w:pPr>
        <w:spacing w:after="80"/>
        <w:jc w:val="both"/>
      </w:pPr>
      <w:r>
        <w:rPr>
          <w:rFonts w:ascii="Arial" w:hAnsi="Arial"/>
          <w:i/>
          <w:sz w:val="20"/>
        </w:rPr>
        <w:t>Cette analyse retient une provision indicative de 100 M XOF dans le bridge EV → Equity, à ajuster en fonction des conclusions de l'audit fiscal.</w:t>
      </w:r>
    </w:p>
    <w:p>
      <w:r>
        <w:br w:type="page"/>
      </w:r>
    </w:p>
    <w:p>
      <w:pPr>
        <w:keepNext/>
        <w:spacing w:before="360" w:after="120"/>
      </w:pPr>
      <w:r>
        <w:rPr>
          <w:rFonts w:ascii="Arial" w:hAnsi="Arial"/>
          <w:b/>
          <w:color w:val="1F4E78"/>
          <w:sz w:val="32"/>
        </w:rPr>
        <w:t>4. MÉTHODES DE VALORISATION</w:t>
      </w:r>
    </w:p>
    <w:p>
      <w:pPr>
        <w:keepNext/>
        <w:spacing w:before="240" w:after="80"/>
      </w:pPr>
      <w:r>
        <w:rPr>
          <w:rFonts w:ascii="Arial" w:hAnsi="Arial"/>
          <w:b/>
          <w:color w:val="305496"/>
          <w:sz w:val="26"/>
        </w:rPr>
        <w:t>4.1 Méthode DCF (Discounted Cash Flow)</w:t>
      </w:r>
    </w:p>
    <w:p>
      <w:pPr>
        <w:keepNext/>
        <w:spacing w:before="160" w:after="40"/>
      </w:pPr>
      <w:r>
        <w:rPr>
          <w:rFonts w:ascii="Arial" w:hAnsi="Arial"/>
          <w:b/>
          <w:color w:val="305496"/>
          <w:sz w:val="22"/>
        </w:rPr>
        <w:t>Hypothèses</w:t>
      </w:r>
    </w:p>
    <w:tbl>
      <w:tblPr>
        <w:tblW w:type="auto" w:w="0"/>
        <w:jc w:val="center"/>
        <w:tblLook w:firstColumn="1" w:firstRow="1" w:lastColumn="0" w:lastRow="0" w:noHBand="0" w:noVBand="1" w:val="04A0"/>
      </w:tblPr>
      <w:tblGrid>
        <w:gridCol w:w="4706"/>
        <w:gridCol w:w="4706"/>
      </w:tblGrid>
      <w:tr>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Paramètre</w:t>
            </w:r>
          </w:p>
        </w:tc>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Valeur</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Taux d'actualisation (WACC)</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22 %</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Croissance terminale (g)</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3 %</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Taux IS effectif</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25 %</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CA de référence 2025</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752,5 M XOF</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Croissance 2026E / 2027E / 2028E / 2029E / 2030E</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+40 % / +30 % / +20 % / +12 % / +8 %</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Marge EBITDA cible (palier 2027-2028)</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27 %</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Capex (% CA)</w:t>
            </w:r>
          </w:p>
        </w:tc>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sz w:val="20"/>
              </w:rPr>
              <w:t>3 %</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Variation BFR (% Δ CA)</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sz w:val="20"/>
              </w:rPr>
              <w:t>10 %</w:t>
            </w:r>
          </w:p>
        </w:tc>
      </w:tr>
    </w:tbl>
    <w:p>
      <w:pPr>
        <w:spacing w:after="80"/>
        <w:jc w:val="both"/>
      </w:pPr>
      <w:r>
        <w:rPr>
          <w:rFonts w:ascii="Arial" w:hAnsi="Arial"/>
          <w:sz w:val="22"/>
        </w:rPr>
        <w:t>Le WACC de 22 % reflète : un taux sans risque de base d'environ 2 %, une prime de risque pays Côte d'Ivoire d'environ 7 %, une prime de risque PME d'environ 6 %, une prime d'illiquidité d'environ 4 % et une prime spécifique de 3 % au titre du risque de régularisation fiscale. Cette construction est conservatrice et conforme aux pratiques de valorisation d'actifs en Afrique de l'Ouest.</w:t>
      </w:r>
    </w:p>
    <w:p>
      <w:pPr>
        <w:keepNext/>
        <w:spacing w:before="160" w:after="40"/>
      </w:pPr>
      <w:r>
        <w:rPr>
          <w:rFonts w:ascii="Arial" w:hAnsi="Arial"/>
          <w:b/>
          <w:color w:val="305496"/>
          <w:sz w:val="22"/>
        </w:rPr>
        <w:t>Résultats DCF</w:t>
      </w:r>
    </w:p>
    <w:tbl>
      <w:tblPr>
        <w:tblW w:type="auto" w:w="0"/>
        <w:jc w:val="center"/>
        <w:tblLook w:firstColumn="1" w:firstRow="1" w:lastColumn="0" w:lastRow="0" w:noHBand="0" w:noVBand="1" w:val="04A0"/>
      </w:tblPr>
      <w:tblGrid>
        <w:gridCol w:w="4706"/>
        <w:gridCol w:w="4706"/>
      </w:tblGrid>
      <w:tr>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Composant</w:t>
            </w:r>
          </w:p>
        </w:tc>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 XOF</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Σ PV des FCF (2026E-2030E)</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696</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PV de la valeur terminale (Gordon, g = 3 %)</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663</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Valeur d'Entreprise (EV)</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1 359</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 Trésorerie au 31/12/2025</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+20,6</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 Dettes financières</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0</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 Dettes fiscales et sociales</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−12,8</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 Provision régularisation fiscale</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−100</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D'ÉQUITÉ DCF (centrale)</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1 267</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Fourchette ±25 %</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950 – 1 584</w:t>
            </w:r>
          </w:p>
        </w:tc>
      </w:tr>
    </w:tbl>
    <w:p>
      <w:pPr>
        <w:keepNext/>
        <w:spacing w:before="240" w:after="80"/>
      </w:pPr>
      <w:r>
        <w:rPr>
          <w:rFonts w:ascii="Arial" w:hAnsi="Arial"/>
          <w:b/>
          <w:color w:val="305496"/>
          <w:sz w:val="26"/>
        </w:rPr>
        <w:t>4.2 Méthode des multiples d'EBITDA</w:t>
      </w:r>
    </w:p>
    <w:p>
      <w:pPr>
        <w:keepNext/>
        <w:spacing w:before="160" w:after="40"/>
      </w:pPr>
      <w:r>
        <w:rPr>
          <w:rFonts w:ascii="Arial" w:hAnsi="Arial"/>
          <w:b/>
          <w:color w:val="305496"/>
          <w:sz w:val="22"/>
        </w:rPr>
        <w:t>Hypothèses</w:t>
      </w:r>
    </w:p>
    <w:p>
      <w:pPr>
        <w:spacing w:after="80"/>
        <w:jc w:val="both"/>
      </w:pPr>
      <w:r>
        <w:rPr>
          <w:rFonts w:ascii="Arial" w:hAnsi="Arial"/>
          <w:sz w:val="22"/>
        </w:rPr>
        <w:t>L'EBITDA normalisé est calculé en appliquant une marge cible de 25 % au CA réel 2025 (752,5 M XOF), soit un EBITDA normalisé central de 188 M XOF. Cette hypothèse est cohérente avec la marge implicite du plan de trésorerie 2026 (35 % avant régularisations) et avec la pratique sectorielle des sociétés de services techniques en Afrique de l'Ouest (20 % à 30 %).</w:t>
      </w:r>
    </w:p>
    <w:tbl>
      <w:tblPr>
        <w:tblW w:type="auto" w:w="0"/>
        <w:jc w:val="center"/>
        <w:tblLook w:firstColumn="1" w:firstRow="1" w:lastColumn="0" w:lastRow="0" w:noHBand="0" w:noVBand="1" w:val="04A0"/>
      </w:tblPr>
      <w:tblGrid>
        <w:gridCol w:w="2353"/>
        <w:gridCol w:w="2353"/>
        <w:gridCol w:w="2353"/>
        <w:gridCol w:w="2353"/>
      </w:tblGrid>
      <w:tr>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Multiple EV/EBITDA</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Bas (3,0x)</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Central (4,5x)</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Haut (6,0x)</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EBITDA normalisé (M XOF)</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150</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188</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226</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d'Entreprise (EV)</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451</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847</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1 354</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 Trésorerie nette − Provisions</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−142</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−92</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−42</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D'ÉQUITÉ</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309</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754</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1 312</w:t>
            </w:r>
          </w:p>
        </w:tc>
      </w:tr>
    </w:tbl>
    <w:p>
      <w:pPr>
        <w:keepNext/>
        <w:spacing w:before="240" w:after="80"/>
      </w:pPr>
      <w:r>
        <w:rPr>
          <w:rFonts w:ascii="Arial" w:hAnsi="Arial"/>
          <w:b/>
          <w:color w:val="305496"/>
          <w:sz w:val="26"/>
        </w:rPr>
        <w:t>4.3 Méthode des multiples de chiffre d'affaires</w:t>
      </w:r>
    </w:p>
    <w:p>
      <w:pPr>
        <w:spacing w:after="80"/>
        <w:jc w:val="both"/>
      </w:pPr>
      <w:r>
        <w:rPr>
          <w:rFonts w:ascii="Arial" w:hAnsi="Arial"/>
          <w:sz w:val="22"/>
        </w:rPr>
        <w:t>Cette méthode applique des multiples de CA observés sur des transactions comparables de PME de services techniques en marchés émergents :</w:t>
      </w:r>
    </w:p>
    <w:tbl>
      <w:tblPr>
        <w:tblW w:type="auto" w:w="0"/>
        <w:jc w:val="center"/>
        <w:tblLook w:firstColumn="1" w:firstRow="1" w:lastColumn="0" w:lastRow="0" w:noHBand="0" w:noVBand="1" w:val="04A0"/>
      </w:tblPr>
      <w:tblGrid>
        <w:gridCol w:w="2353"/>
        <w:gridCol w:w="2353"/>
        <w:gridCol w:w="2353"/>
        <w:gridCol w:w="2353"/>
      </w:tblGrid>
      <w:tr>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Multiple EV/Sales (2025 trailing)</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Bas (0,40x)</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Central (0,55x)</w:t>
            </w:r>
          </w:p>
        </w:tc>
        <w:tc>
          <w:tcPr>
            <w:tcW w:type="dxa" w:w="2353"/>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Haut (0,75x)</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CA 2025 réel (M XOF)</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752,5</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752,5</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752,5</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d'Entreprise (EV)</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301</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414</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564</w:t>
            </w:r>
          </w:p>
        </w:tc>
      </w:tr>
      <w:tr>
        <w:tc>
          <w:tcPr>
            <w:tcW w:type="dxa" w:w="2353"/>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 Trésorerie nette − Provisions</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−142</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−92</w:t>
            </w:r>
          </w:p>
        </w:tc>
        <w:tc>
          <w:tcPr>
            <w:tcW w:type="dxa" w:w="2353"/>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−42</w:t>
            </w:r>
          </w:p>
        </w:tc>
      </w:tr>
      <w:tr>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D'ÉQUITÉ</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159</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322</w:t>
            </w:r>
          </w:p>
        </w:tc>
        <w:tc>
          <w:tcPr>
            <w:tcW w:type="dxa" w:w="2353"/>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522</w:t>
            </w:r>
          </w:p>
        </w:tc>
      </w:tr>
    </w:tbl>
    <w:p>
      <w:pPr>
        <w:keepNext/>
        <w:spacing w:before="240" w:after="80"/>
      </w:pPr>
      <w:r>
        <w:rPr>
          <w:rFonts w:ascii="Arial" w:hAnsi="Arial"/>
          <w:b/>
          <w:color w:val="305496"/>
          <w:sz w:val="26"/>
        </w:rPr>
        <w:t>4.4 Méthode patrimoniale (ANR)</w:t>
      </w:r>
    </w:p>
    <w:p>
      <w:pPr>
        <w:spacing w:after="80"/>
        <w:jc w:val="both"/>
      </w:pPr>
      <w:r>
        <w:rPr>
          <w:rFonts w:ascii="Arial" w:hAnsi="Arial"/>
          <w:sz w:val="22"/>
        </w:rPr>
        <w:t>La méthode patrimoniale réévalue le bilan au 31/12/2025 et y ajoute un goodwill estimatif au titre de la clientèle et du savoir-faire. Elle constitue un plancher de valeur peu pertinent pour une activité de services.</w:t>
      </w:r>
    </w:p>
    <w:tbl>
      <w:tblPr>
        <w:tblW w:type="auto" w:w="0"/>
        <w:jc w:val="center"/>
        <w:tblLook w:firstColumn="1" w:firstRow="1" w:lastColumn="0" w:lastRow="0" w:noHBand="0" w:noVBand="1" w:val="04A0"/>
      </w:tblPr>
      <w:tblGrid>
        <w:gridCol w:w="4706"/>
        <w:gridCol w:w="4706"/>
      </w:tblGrid>
      <w:tr>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Poste</w:t>
            </w:r>
          </w:p>
        </w:tc>
        <w:tc>
          <w:tcPr>
            <w:tcW w:type="dxa" w:w="4706"/>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 XOF</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sz w:val="20"/>
              </w:rPr>
              <w:t>Total actif réévalué</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69,5</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 Dettes (incl. provision fiscale)</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−112,8</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 Goodwill clientèle / savoir-faire</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+100</w:t>
            </w:r>
          </w:p>
        </w:tc>
      </w:tr>
      <w:tr>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VALEUR PATRIMONIALE (centrale)</w:t>
            </w:r>
          </w:p>
        </w:tc>
        <w:tc>
          <w:tcPr>
            <w:tcW w:type="dxa" w:w="4706"/>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57</w:t>
            </w:r>
          </w:p>
        </w:tc>
      </w:tr>
      <w:tr>
        <w:tc>
          <w:tcPr>
            <w:tcW w:type="dxa" w:w="4706"/>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Fourchette ±40 %</w:t>
            </w:r>
          </w:p>
        </w:tc>
        <w:tc>
          <w:tcPr>
            <w:tcW w:type="dxa" w:w="4706"/>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34 – 79</w:t>
            </w:r>
          </w:p>
        </w:tc>
      </w:tr>
    </w:tbl>
    <w:p>
      <w:r>
        <w:br w:type="page"/>
      </w:r>
    </w:p>
    <w:p>
      <w:pPr>
        <w:keepNext/>
        <w:spacing w:before="360" w:after="120"/>
      </w:pPr>
      <w:r>
        <w:rPr>
          <w:rFonts w:ascii="Arial" w:hAnsi="Arial"/>
          <w:b/>
          <w:color w:val="1F4E78"/>
          <w:sz w:val="32"/>
        </w:rPr>
        <w:t>5. SYNTHÈSE DE LA FOURCHETTE DE VALORISATION</w:t>
      </w:r>
    </w:p>
    <w:p>
      <w:pPr>
        <w:keepNext/>
        <w:spacing w:before="240" w:after="80"/>
      </w:pPr>
      <w:r>
        <w:rPr>
          <w:rFonts w:ascii="Arial" w:hAnsi="Arial"/>
          <w:b/>
          <w:color w:val="305496"/>
          <w:sz w:val="26"/>
        </w:rPr>
        <w:t>5.1 Pondération des méthodes</w:t>
      </w:r>
    </w:p>
    <w:tbl>
      <w:tblPr>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Méthode</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Bas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Central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Haut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Pondération</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DCF</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950</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1 267</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1 584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30 %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Multiple EV/EBITDA</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309</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754</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1 312</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40 %</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Multiple EV/Sales</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159</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322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522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20 %</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Patrimoniale</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34</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57</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79</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10 %</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VALORISATION CENTRALE PONDÉRÉE</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444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752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1 112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100 %</w:t>
            </w:r>
          </w:p>
        </w:tc>
      </w:tr>
    </w:tbl>
    <w:p>
      <w:pPr>
        <w:spacing w:after="80"/>
        <w:jc w:val="both"/>
      </w:pPr>
      <w:r>
        <w:rPr>
          <w:rFonts w:ascii="Arial" w:hAnsi="Arial"/>
          <w:sz w:val="22"/>
        </w:rPr>
        <w:t>La pondération privilégie les méthodes de rentabilité (DCF + multiples d'EBITDA = 70 %) qui sont les plus pertinentes pour une activité de services rentable et en croissance. Le multiple de chiffre d'affaires apporte un benchmark complémentaire (20 %), tandis que la méthode patrimoniale joue un rôle de plancher (10 %).</w:t>
      </w:r>
    </w:p>
    <w:p>
      <w:pPr>
        <w:keepNext/>
        <w:spacing w:before="240" w:after="80"/>
      </w:pPr>
      <w:r>
        <w:rPr>
          <w:rFonts w:ascii="Arial" w:hAnsi="Arial"/>
          <w:b/>
          <w:color w:val="305496"/>
          <w:sz w:val="26"/>
        </w:rPr>
        <w:t>5.2 Décote de liquidité — Vente à très court terme</w:t>
      </w:r>
    </w:p>
    <w:p>
      <w:pPr>
        <w:spacing w:after="80"/>
        <w:jc w:val="both"/>
      </w:pPr>
      <w:r>
        <w:rPr>
          <w:rFonts w:ascii="Arial" w:hAnsi="Arial"/>
          <w:sz w:val="22"/>
        </w:rPr>
        <w:t>Une cession à très court terme implique typiquement une décote de liquidité comprise entre 10 % et 30 % par rapport à la valeur de marché théorique. Cette décote reflète :</w:t>
      </w:r>
    </w:p>
    <w:p>
      <w:pPr>
        <w:pStyle w:val="ListBullet"/>
        <w:spacing w:after="40"/>
        <w:ind w:left="397"/>
      </w:pPr>
      <w:r>
        <w:rPr>
          <w:rFonts w:ascii="Arial" w:hAnsi="Arial"/>
          <w:sz w:val="21"/>
        </w:rPr>
        <w:t>Le nombre limité d'acquéreurs sollicités dans un calendrier serré.</w:t>
      </w:r>
    </w:p>
    <w:p>
      <w:pPr>
        <w:pStyle w:val="ListBullet"/>
        <w:spacing w:after="40"/>
        <w:ind w:left="397"/>
      </w:pPr>
      <w:r>
        <w:rPr>
          <w:rFonts w:ascii="Arial" w:hAnsi="Arial"/>
          <w:sz w:val="21"/>
        </w:rPr>
        <w:t>La difficulté de mener une mise en concurrence formelle.</w:t>
      </w:r>
    </w:p>
    <w:p>
      <w:pPr>
        <w:pStyle w:val="ListBullet"/>
        <w:spacing w:after="40"/>
        <w:ind w:left="397"/>
      </w:pPr>
      <w:r>
        <w:rPr>
          <w:rFonts w:ascii="Arial" w:hAnsi="Arial"/>
          <w:sz w:val="21"/>
        </w:rPr>
        <w:t>L'asymétrie d'information en faveur de l'acquéreur (due diligence accélérée).</w:t>
      </w:r>
    </w:p>
    <w:p>
      <w:pPr>
        <w:pStyle w:val="ListBullet"/>
        <w:spacing w:after="40"/>
        <w:ind w:left="397"/>
      </w:pPr>
      <w:r>
        <w:rPr>
          <w:rFonts w:ascii="Arial" w:hAnsi="Arial"/>
          <w:sz w:val="21"/>
        </w:rPr>
        <w:t>Le risque que le vendeur soit en position de faiblesse perçue.</w:t>
      </w:r>
    </w:p>
    <w:tbl>
      <w:tblPr>
        <w:tblW w:type="auto" w:w="0"/>
        <w:jc w:val="center"/>
        <w:tblLook w:firstColumn="1" w:firstRow="1" w:lastColumn="0" w:lastRow="0" w:noHBand="0" w:noVBand="1" w:val="04A0"/>
      </w:tblPr>
      <w:tblGrid>
        <w:gridCol w:w="1882"/>
        <w:gridCol w:w="1882"/>
        <w:gridCol w:w="1882"/>
        <w:gridCol w:w="1882"/>
        <w:gridCol w:w="1882"/>
      </w:tblGrid>
      <w:tr>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Scénario</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Avant décote</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Décote</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Après décote (M XOF)</w:t>
            </w:r>
          </w:p>
        </w:tc>
        <w:tc>
          <w:tcPr>
            <w:tcW w:type="dxa" w:w="1882"/>
            <w:tcBorders>
              <w:top w:val="single" w:sz="4" w:color="999999"/>
              <w:left w:val="single" w:sz="4" w:color="999999"/>
              <w:bottom w:val="single" w:sz="4" w:color="999999"/>
              <w:right w:val="single" w:sz="4" w:color="999999"/>
            </w:tcBorders>
            <w:vAlign w:val="center"/>
            <w:shd w:val="clear" w:color="auto" w:fill="305496"/>
          </w:tcPr>
          <w:p>
            <w:pPr>
              <w:spacing w:after="0"/>
              <w:jc w:val="center"/>
            </w:pPr>
            <w:r/>
            <w:r>
              <w:rPr>
                <w:rFonts w:ascii="Arial" w:hAnsi="Arial"/>
                <w:b/>
                <w:color w:val="FFFFFF"/>
                <w:sz w:val="20"/>
              </w:rPr>
              <w:t>k EUR</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Bas</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444</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−30 %</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311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474</w:t>
            </w:r>
          </w:p>
        </w:tc>
      </w:tr>
      <w:tr>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pPr>
            <w:r/>
            <w:r>
              <w:rPr>
                <w:rFonts w:ascii="Arial" w:hAnsi="Arial"/>
                <w:b w:val="0"/>
                <w:sz w:val="20"/>
              </w:rPr>
              <w:t>Central</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752</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−20 %</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602</w:t>
            </w:r>
          </w:p>
        </w:tc>
        <w:tc>
          <w:tcPr>
            <w:tcW w:type="dxa" w:w="1882"/>
            <w:tcBorders>
              <w:top w:val="single" w:sz="4" w:color="999999"/>
              <w:left w:val="single" w:sz="4" w:color="999999"/>
              <w:bottom w:val="single" w:sz="4" w:color="999999"/>
              <w:right w:val="single" w:sz="4" w:color="999999"/>
            </w:tcBorders>
            <w:vAlign w:val="center"/>
            <w:shd w:val="clear" w:color="auto" w:fill="F2F2F2"/>
          </w:tcPr>
          <w:p>
            <w:pPr>
              <w:spacing w:after="0"/>
              <w:jc w:val="right"/>
            </w:pPr>
            <w:r/>
            <w:r>
              <w:rPr>
                <w:rFonts w:ascii="Arial" w:hAnsi="Arial"/>
                <w:sz w:val="20"/>
              </w:rPr>
              <w:t>917</w:t>
            </w:r>
          </w:p>
        </w:tc>
      </w:tr>
      <w:tr>
        <w:tc>
          <w:tcPr>
            <w:tcW w:type="dxa" w:w="1882"/>
            <w:tcBorders>
              <w:top w:val="single" w:sz="4" w:color="999999"/>
              <w:left w:val="single" w:sz="4" w:color="999999"/>
              <w:bottom w:val="single" w:sz="4" w:color="999999"/>
              <w:right w:val="single" w:sz="4" w:color="999999"/>
            </w:tcBorders>
            <w:vAlign w:val="center"/>
          </w:tcPr>
          <w:p>
            <w:pPr>
              <w:spacing w:after="0"/>
            </w:pPr>
            <w:r/>
            <w:r>
              <w:rPr>
                <w:rFonts w:ascii="Arial" w:hAnsi="Arial"/>
                <w:b w:val="0"/>
                <w:sz w:val="20"/>
              </w:rPr>
              <w:t>Haut</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1 112</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−10 %</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1 001</w:t>
            </w:r>
          </w:p>
        </w:tc>
        <w:tc>
          <w:tcPr>
            <w:tcW w:type="dxa" w:w="1882"/>
            <w:tcBorders>
              <w:top w:val="single" w:sz="4" w:color="999999"/>
              <w:left w:val="single" w:sz="4" w:color="999999"/>
              <w:bottom w:val="single" w:sz="4" w:color="999999"/>
              <w:right w:val="single" w:sz="4" w:color="999999"/>
            </w:tcBorders>
            <w:vAlign w:val="center"/>
          </w:tcPr>
          <w:p>
            <w:pPr>
              <w:spacing w:after="0"/>
              <w:jc w:val="right"/>
            </w:pPr>
            <w:r/>
            <w:r>
              <w:rPr>
                <w:rFonts w:ascii="Arial" w:hAnsi="Arial"/>
                <w:sz w:val="20"/>
              </w:rPr>
              <w:t>1 526</w:t>
            </w:r>
          </w:p>
        </w:tc>
      </w:tr>
    </w:tbl>
    <w:p>
      <w:pPr>
        <w:keepNext/>
        <w:spacing w:before="240" w:after="80"/>
      </w:pPr>
      <w:r>
        <w:rPr>
          <w:rFonts w:ascii="Arial" w:hAnsi="Arial"/>
          <w:b/>
          <w:color w:val="305496"/>
          <w:sz w:val="26"/>
        </w:rPr>
        <w:t>5.3 Recommandation finale</w:t>
      </w:r>
    </w:p>
    <w:p>
      <w:pPr>
        <w:spacing w:after="80"/>
        <w:jc w:val="both"/>
      </w:pPr>
      <w:r>
        <w:rPr>
          <w:rFonts w:ascii="Arial" w:hAnsi="Arial"/>
          <w:b/>
          <w:color w:val="1F4E78"/>
          <w:sz w:val="28"/>
        </w:rPr>
        <w:t>PRIX INDICATIF DEMANDÉ : 600 M XOF (≈ 915 k EUR)</w:t>
      </w:r>
    </w:p>
    <w:p>
      <w:pPr>
        <w:spacing w:after="80"/>
        <w:jc w:val="both"/>
      </w:pPr>
      <w:r>
        <w:rPr>
          <w:rFonts w:ascii="Arial" w:hAnsi="Arial"/>
          <w:b/>
          <w:color w:val="305496"/>
          <w:sz w:val="24"/>
        </w:rPr>
        <w:t>FOURCHETTE DE NÉGOCIATION : 310 – 1 000 M XOF (470 – 1 525 k EUR)</w:t>
      </w:r>
    </w:p>
    <w:p>
      <w:pPr>
        <w:spacing w:after="80"/>
        <w:jc w:val="both"/>
      </w:pPr>
      <w:r>
        <w:rPr>
          <w:rFonts w:ascii="Arial" w:hAnsi="Arial"/>
          <w:sz w:val="22"/>
        </w:rPr>
        <w:t>Pour optimiser la valeur de cession, il est recommandé de :</w:t>
      </w:r>
    </w:p>
    <w:p>
      <w:pPr>
        <w:pStyle w:val="ListBullet"/>
        <w:spacing w:after="40"/>
        <w:ind w:left="397"/>
      </w:pPr>
      <w:r>
        <w:rPr>
          <w:rFonts w:ascii="Arial" w:hAnsi="Arial"/>
          <w:sz w:val="21"/>
        </w:rPr>
        <w:t>Sécuriser un audit fiscal avant la phase de DD acquéreur, afin de borner objectivement le risque de régularisation et neutraliser un argument de décote.</w:t>
      </w:r>
    </w:p>
    <w:p>
      <w:pPr>
        <w:pStyle w:val="ListBullet"/>
        <w:spacing w:after="40"/>
        <w:ind w:left="397"/>
      </w:pPr>
      <w:r>
        <w:rPr>
          <w:rFonts w:ascii="Arial" w:hAnsi="Arial"/>
          <w:sz w:val="21"/>
        </w:rPr>
        <w:t>Documenter les contrats clients récurrents (Bessac Afrique, SPAC, Seureca, SICMA) avec une visibilité sur 12-24 mois.</w:t>
      </w:r>
    </w:p>
    <w:p>
      <w:pPr>
        <w:pStyle w:val="ListBullet"/>
        <w:spacing w:after="40"/>
        <w:ind w:left="397"/>
      </w:pPr>
      <w:r>
        <w:rPr>
          <w:rFonts w:ascii="Arial" w:hAnsi="Arial"/>
          <w:sz w:val="21"/>
        </w:rPr>
        <w:t>Mettre en place un management package retenant le gérant 12 à 24 mois post-cession (earn-out ou rétention partielle).</w:t>
      </w:r>
    </w:p>
    <w:p>
      <w:pPr>
        <w:pStyle w:val="ListBullet"/>
        <w:spacing w:after="40"/>
        <w:ind w:left="397"/>
      </w:pPr>
      <w:r>
        <w:rPr>
          <w:rFonts w:ascii="Arial" w:hAnsi="Arial"/>
          <w:sz w:val="21"/>
        </w:rPr>
        <w:t>Solliciter en parallèle 3 à 5 acquéreurs potentiels (groupes d'ingénierie panafricains, fonds sectoriels) pour générer une mise en concurrence et réduire la décote de liquidité.</w:t>
      </w:r>
    </w:p>
    <w:p>
      <w:r>
        <w:br w:type="page"/>
      </w:r>
    </w:p>
    <w:p>
      <w:pPr>
        <w:keepNext/>
        <w:spacing w:before="360" w:after="120"/>
      </w:pPr>
      <w:r>
        <w:rPr>
          <w:rFonts w:ascii="Arial" w:hAnsi="Arial"/>
          <w:b/>
          <w:color w:val="1F4E78"/>
          <w:sz w:val="32"/>
        </w:rPr>
        <w:t>6. POINTS D'ATTENTION DE L'ACQUÉREUR</w:t>
      </w:r>
    </w:p>
    <w:p>
      <w:pPr>
        <w:keepNext/>
        <w:spacing w:before="240" w:after="80"/>
      </w:pPr>
      <w:r>
        <w:rPr>
          <w:rFonts w:ascii="Arial" w:hAnsi="Arial"/>
          <w:b/>
          <w:color w:val="305496"/>
          <w:sz w:val="26"/>
        </w:rPr>
        <w:t>6.1 Risques fiscaux et comptables</w:t>
      </w:r>
    </w:p>
    <w:p>
      <w:pPr>
        <w:pStyle w:val="ListBullet"/>
        <w:spacing w:after="40"/>
        <w:ind w:left="397"/>
      </w:pPr>
      <w:r>
        <w:rPr>
          <w:rFonts w:ascii="Arial" w:hAnsi="Arial"/>
          <w:sz w:val="21"/>
        </w:rPr>
        <w:t>Écart de 67 % entre CA déclaré (244 M XOF) et CA réel facturé (752 M XOF) en 2025 — exposition principale.</w:t>
      </w:r>
    </w:p>
    <w:p>
      <w:pPr>
        <w:pStyle w:val="ListBullet"/>
        <w:spacing w:after="40"/>
        <w:ind w:left="397"/>
      </w:pPr>
      <w:r>
        <w:rPr>
          <w:rFonts w:ascii="Arial" w:hAnsi="Arial"/>
          <w:sz w:val="21"/>
        </w:rPr>
        <w:t>Pénalités fiscales budgétées 2026 (≈ 11 M XOF) : laisser entrevoir un contentieux en cours.</w:t>
      </w:r>
    </w:p>
    <w:p>
      <w:pPr>
        <w:pStyle w:val="ListBullet"/>
        <w:spacing w:after="40"/>
        <w:ind w:left="397"/>
      </w:pPr>
      <w:r>
        <w:rPr>
          <w:rFonts w:ascii="Arial" w:hAnsi="Arial"/>
          <w:sz w:val="21"/>
        </w:rPr>
        <w:t>Régime fiscal applicable (passage Micro-Entreprise → RSI suggéré dans le plan de trésorerie) : valider la conformité.</w:t>
      </w:r>
    </w:p>
    <w:p>
      <w:pPr>
        <w:pStyle w:val="ListBullet"/>
        <w:spacing w:after="40"/>
        <w:ind w:left="397"/>
      </w:pPr>
      <w:r>
        <w:rPr>
          <w:rFonts w:ascii="Arial" w:hAnsi="Arial"/>
          <w:sz w:val="21"/>
        </w:rPr>
        <w:t>États financiers 2025 « provisoires » : exiger version définitive et certifiée avant signing.</w:t>
      </w:r>
    </w:p>
    <w:p>
      <w:pPr>
        <w:keepNext/>
        <w:spacing w:before="240" w:after="80"/>
      </w:pPr>
      <w:r>
        <w:rPr>
          <w:rFonts w:ascii="Arial" w:hAnsi="Arial"/>
          <w:b/>
          <w:color w:val="305496"/>
          <w:sz w:val="26"/>
        </w:rPr>
        <w:t>6.2 Risques opérationnels</w:t>
      </w:r>
    </w:p>
    <w:p>
      <w:pPr>
        <w:pStyle w:val="ListBullet"/>
        <w:spacing w:after="40"/>
        <w:ind w:left="397"/>
      </w:pPr>
      <w:r>
        <w:rPr>
          <w:rFonts w:ascii="Arial" w:hAnsi="Arial"/>
          <w:sz w:val="21"/>
        </w:rPr>
        <w:t>Concentration client : Bessac Afrique = 30 % du CA cumulé 2024-2025.</w:t>
      </w:r>
    </w:p>
    <w:p>
      <w:pPr>
        <w:pStyle w:val="ListBullet"/>
        <w:spacing w:after="40"/>
        <w:ind w:left="397"/>
      </w:pPr>
      <w:r>
        <w:rPr>
          <w:rFonts w:ascii="Arial" w:hAnsi="Arial"/>
          <w:sz w:val="21"/>
        </w:rPr>
        <w:t>Dépendance forte au gérant et au portefeuille relationnel personnel.</w:t>
      </w:r>
    </w:p>
    <w:p>
      <w:pPr>
        <w:pStyle w:val="ListBullet"/>
        <w:spacing w:after="40"/>
        <w:ind w:left="397"/>
      </w:pPr>
      <w:r>
        <w:rPr>
          <w:rFonts w:ascii="Arial" w:hAnsi="Arial"/>
          <w:sz w:val="21"/>
        </w:rPr>
        <w:t>Croissance budgétée 2026 ambitieuse (+127 %) à valider mensuellement face au rythme YTD.</w:t>
      </w:r>
    </w:p>
    <w:p>
      <w:pPr>
        <w:pStyle w:val="ListBullet"/>
        <w:spacing w:after="40"/>
        <w:ind w:left="397"/>
      </w:pPr>
      <w:r>
        <w:rPr>
          <w:rFonts w:ascii="Arial" w:hAnsi="Arial"/>
          <w:sz w:val="21"/>
        </w:rPr>
        <w:t>Effectifs en très forte hausse selon le plan de trésorerie (charges salariales × 2,5 entre janvier et décembre 2026) : capacité de recrutement et d'encadrement à valider.</w:t>
      </w:r>
    </w:p>
    <w:p>
      <w:pPr>
        <w:keepNext/>
        <w:spacing w:before="240" w:after="80"/>
      </w:pPr>
      <w:r>
        <w:rPr>
          <w:rFonts w:ascii="Arial" w:hAnsi="Arial"/>
          <w:b/>
          <w:color w:val="305496"/>
          <w:sz w:val="26"/>
        </w:rPr>
        <w:t>6.3 Risques marché et pays</w:t>
      </w:r>
    </w:p>
    <w:p>
      <w:pPr>
        <w:pStyle w:val="ListBullet"/>
        <w:spacing w:after="40"/>
        <w:ind w:left="397"/>
      </w:pPr>
      <w:r>
        <w:rPr>
          <w:rFonts w:ascii="Arial" w:hAnsi="Arial"/>
          <w:sz w:val="21"/>
        </w:rPr>
        <w:t>Risque pays Côte d'Ivoire : globalement stable mais sensible aux cycles politiques.</w:t>
      </w:r>
    </w:p>
    <w:p>
      <w:pPr>
        <w:pStyle w:val="ListBullet"/>
        <w:spacing w:after="40"/>
        <w:ind w:left="397"/>
      </w:pPr>
      <w:r>
        <w:rPr>
          <w:rFonts w:ascii="Arial" w:hAnsi="Arial"/>
          <w:sz w:val="21"/>
        </w:rPr>
        <w:t>Risque de change limité (peg fixe XOF/EUR), mais conversion vers EUR à anticiper sur le prix de cession.</w:t>
      </w:r>
    </w:p>
    <w:p>
      <w:pPr>
        <w:pStyle w:val="ListBullet"/>
        <w:spacing w:after="40"/>
        <w:ind w:left="397"/>
      </w:pPr>
      <w:r>
        <w:rPr>
          <w:rFonts w:ascii="Arial" w:hAnsi="Arial"/>
          <w:sz w:val="21"/>
        </w:rPr>
        <w:t>Concurrence sectorielle : marché des services techniques en croissance mais avec entrée de groupes internationaux.</w:t>
      </w:r>
    </w:p>
    <w:p>
      <w:pPr>
        <w:keepNext/>
        <w:spacing w:before="240" w:after="80"/>
      </w:pPr>
      <w:r>
        <w:rPr>
          <w:rFonts w:ascii="Arial" w:hAnsi="Arial"/>
          <w:b/>
          <w:color w:val="305496"/>
          <w:sz w:val="26"/>
        </w:rPr>
        <w:t>6.4 Atouts à valoriser</w:t>
      </w:r>
    </w:p>
    <w:p>
      <w:pPr>
        <w:pStyle w:val="ListBullet"/>
        <w:spacing w:after="40"/>
        <w:ind w:left="397"/>
      </w:pPr>
      <w:r>
        <w:rPr>
          <w:rFonts w:ascii="Arial" w:hAnsi="Arial"/>
          <w:sz w:val="21"/>
        </w:rPr>
        <w:t>Croissance soutenue +44 % entre 2024 et 2025 sur des comptes B2B/industriels solides.</w:t>
      </w:r>
    </w:p>
    <w:p>
      <w:pPr>
        <w:pStyle w:val="ListBullet"/>
        <w:spacing w:after="40"/>
        <w:ind w:left="397"/>
      </w:pPr>
      <w:r>
        <w:rPr>
          <w:rFonts w:ascii="Arial" w:hAnsi="Arial"/>
          <w:sz w:val="21"/>
        </w:rPr>
        <w:t>Trésorerie nette positive (+7,8 M XOF) et bilan rétabli (capitaux propres +59 M XOF).</w:t>
      </w:r>
    </w:p>
    <w:p>
      <w:pPr>
        <w:pStyle w:val="ListBullet"/>
        <w:spacing w:after="40"/>
        <w:ind w:left="397"/>
      </w:pPr>
      <w:r>
        <w:rPr>
          <w:rFonts w:ascii="Arial" w:hAnsi="Arial"/>
          <w:sz w:val="21"/>
        </w:rPr>
        <w:t>Pipeline 2026 démarré sur un rythme soutenu (367 M XOF sur 4 mois).</w:t>
      </w:r>
    </w:p>
    <w:p>
      <w:pPr>
        <w:pStyle w:val="ListBullet"/>
        <w:spacing w:after="40"/>
        <w:ind w:left="397"/>
      </w:pPr>
      <w:r>
        <w:rPr>
          <w:rFonts w:ascii="Arial" w:hAnsi="Arial"/>
          <w:sz w:val="21"/>
        </w:rPr>
        <w:t>Diversification progressive du portefeuille avec apparition de nouveaux clients en 2026.</w:t>
      </w:r>
    </w:p>
    <w:p>
      <w:r>
        <w:br w:type="page"/>
      </w:r>
    </w:p>
    <w:p>
      <w:pPr>
        <w:keepNext/>
        <w:spacing w:before="360" w:after="120"/>
      </w:pPr>
      <w:r>
        <w:rPr>
          <w:rFonts w:ascii="Arial" w:hAnsi="Arial"/>
          <w:b/>
          <w:color w:val="1F4E78"/>
          <w:sz w:val="32"/>
        </w:rPr>
        <w:t>7. ANNEXES MÉTHODOLOGIQUES</w:t>
      </w:r>
    </w:p>
    <w:p>
      <w:pPr>
        <w:keepNext/>
        <w:spacing w:before="240" w:after="80"/>
      </w:pPr>
      <w:r>
        <w:rPr>
          <w:rFonts w:ascii="Arial" w:hAnsi="Arial"/>
          <w:b/>
          <w:color w:val="305496"/>
          <w:sz w:val="26"/>
        </w:rPr>
        <w:t>7.1 Sources des données</w:t>
      </w:r>
    </w:p>
    <w:p>
      <w:pPr>
        <w:pStyle w:val="ListBullet"/>
        <w:spacing w:after="40"/>
        <w:ind w:left="397"/>
      </w:pPr>
      <w:r>
        <w:rPr>
          <w:rFonts w:ascii="Arial" w:hAnsi="Arial"/>
          <w:sz w:val="21"/>
        </w:rPr>
        <w:t>Fichier de facturation : Chiffre d'affaire 2024 2025 et 2026.xlsx (674 lignes de factures, statuts Comptabilisé / Brouillon / Annulé).</w:t>
      </w:r>
    </w:p>
    <w:p>
      <w:pPr>
        <w:pStyle w:val="ListBullet"/>
        <w:spacing w:after="40"/>
        <w:ind w:left="397"/>
      </w:pPr>
      <w:r>
        <w:rPr>
          <w:rFonts w:ascii="Arial" w:hAnsi="Arial"/>
          <w:sz w:val="21"/>
        </w:rPr>
        <w:t>Plan de trésorerie : AT225 — Plan de trésorerie 2026 v2.0.xlsx.</w:t>
      </w:r>
    </w:p>
    <w:p>
      <w:pPr>
        <w:pStyle w:val="ListBullet"/>
        <w:spacing w:after="40"/>
        <w:ind w:left="397"/>
      </w:pPr>
      <w:r>
        <w:rPr>
          <w:rFonts w:ascii="Arial" w:hAnsi="Arial"/>
          <w:sz w:val="21"/>
        </w:rPr>
        <w:t>États financiers : AT225 ETATS FINANCIERS provisoires 2025.pdf — bilan, compte de résultat et flux de trésorerie en système normal SYSCOHADA.</w:t>
      </w:r>
    </w:p>
    <w:p>
      <w:pPr>
        <w:keepNext/>
        <w:spacing w:before="240" w:after="80"/>
      </w:pPr>
      <w:r>
        <w:rPr>
          <w:rFonts w:ascii="Arial" w:hAnsi="Arial"/>
          <w:b/>
          <w:color w:val="305496"/>
          <w:sz w:val="26"/>
        </w:rPr>
        <w:t>7.2 Conversion devises</w:t>
      </w:r>
    </w:p>
    <w:p>
      <w:pPr>
        <w:spacing w:after="80"/>
        <w:jc w:val="both"/>
      </w:pPr>
      <w:r>
        <w:rPr>
          <w:rFonts w:ascii="Arial" w:hAnsi="Arial"/>
          <w:sz w:val="22"/>
        </w:rPr>
        <w:t>Le franc CFA Ouest-Africain (XOF) est rattaché à l'euro par un peg fixe à 1 EUR = 655,957 XOF (parité BCEAO).</w:t>
      </w:r>
    </w:p>
    <w:p>
      <w:pPr>
        <w:keepNext/>
        <w:spacing w:before="240" w:after="80"/>
      </w:pPr>
      <w:r>
        <w:rPr>
          <w:rFonts w:ascii="Arial" w:hAnsi="Arial"/>
          <w:b/>
          <w:color w:val="305496"/>
          <w:sz w:val="26"/>
        </w:rPr>
        <w:t>7.3 Précautions d'usage</w:t>
      </w:r>
    </w:p>
    <w:p>
      <w:pPr>
        <w:spacing w:after="80"/>
        <w:jc w:val="both"/>
      </w:pPr>
      <w:r>
        <w:rPr>
          <w:rFonts w:ascii="Arial" w:hAnsi="Arial"/>
          <w:i/>
          <w:sz w:val="20"/>
        </w:rPr>
        <w:t>Cette valorisation a un caractère indicatif. Elle est établie à des fins de cadrage préalable à un processus de cession et ne saurait se substituer à une expertise indépendante (commissaire aux comptes ou cabinet d'évaluation agréé) ni à une due diligence acquéreur. Les hypothèses de marge, de croissance et de multiples sont modifiables dans le modèle Excel joint pour permettre des analyses de sensibilité.</w:t>
      </w:r>
    </w:p>
    <w:p>
      <w:pPr>
        <w:keepNext/>
        <w:spacing w:before="240" w:after="80"/>
      </w:pPr>
      <w:r>
        <w:rPr>
          <w:rFonts w:ascii="Arial" w:hAnsi="Arial"/>
          <w:b/>
          <w:color w:val="305496"/>
          <w:sz w:val="26"/>
        </w:rPr>
        <w:t>7.4 Glossaire</w:t>
      </w:r>
    </w:p>
    <w:p>
      <w:pPr>
        <w:pStyle w:val="ListBullet"/>
        <w:spacing w:after="40"/>
        <w:ind w:left="397"/>
      </w:pPr>
      <w:r>
        <w:rPr>
          <w:rFonts w:ascii="Arial" w:hAnsi="Arial"/>
          <w:sz w:val="21"/>
        </w:rPr>
        <w:t>EBITDA : Earnings Before Interest, Taxes, Depreciation and Amortization (résultat avant intérêts, impôts, dotations aux amortissements et provisions).</w:t>
      </w:r>
    </w:p>
    <w:p>
      <w:pPr>
        <w:pStyle w:val="ListBullet"/>
        <w:spacing w:after="40"/>
        <w:ind w:left="397"/>
      </w:pPr>
      <w:r>
        <w:rPr>
          <w:rFonts w:ascii="Arial" w:hAnsi="Arial"/>
          <w:sz w:val="21"/>
        </w:rPr>
        <w:t>WACC : Weighted Average Cost of Capital (coût moyen pondéré du capital).</w:t>
      </w:r>
    </w:p>
    <w:p>
      <w:pPr>
        <w:pStyle w:val="ListBullet"/>
        <w:spacing w:after="40"/>
        <w:ind w:left="397"/>
      </w:pPr>
      <w:r>
        <w:rPr>
          <w:rFonts w:ascii="Arial" w:hAnsi="Arial"/>
          <w:sz w:val="21"/>
        </w:rPr>
        <w:t>DCF : Discounted Cash Flow (méthode des flux de trésorerie actualisés).</w:t>
      </w:r>
    </w:p>
    <w:p>
      <w:pPr>
        <w:pStyle w:val="ListBullet"/>
        <w:spacing w:after="40"/>
        <w:ind w:left="397"/>
      </w:pPr>
      <w:r>
        <w:rPr>
          <w:rFonts w:ascii="Arial" w:hAnsi="Arial"/>
          <w:sz w:val="21"/>
        </w:rPr>
        <w:t>EV : Enterprise Value (Valeur d'Entreprise = Valeur d'Équité + Dette nette).</w:t>
      </w:r>
    </w:p>
    <w:p>
      <w:pPr>
        <w:pStyle w:val="ListBullet"/>
        <w:spacing w:after="40"/>
        <w:ind w:left="397"/>
      </w:pPr>
      <w:r>
        <w:rPr>
          <w:rFonts w:ascii="Arial" w:hAnsi="Arial"/>
          <w:sz w:val="21"/>
        </w:rPr>
        <w:t>ANR : Actif Net Réévalué.</w:t>
      </w:r>
    </w:p>
    <w:p>
      <w:pPr>
        <w:pStyle w:val="ListBullet"/>
        <w:spacing w:after="40"/>
        <w:ind w:left="397"/>
      </w:pPr>
      <w:r>
        <w:rPr>
          <w:rFonts w:ascii="Arial" w:hAnsi="Arial"/>
          <w:sz w:val="21"/>
        </w:rPr>
        <w:t>XOF : Franc CFA de la zone UEMOA (Afrique de l'Ouest).</w:t>
      </w:r>
    </w:p>
    <w:p>
      <w:pPr>
        <w:pStyle w:val="ListBullet"/>
        <w:spacing w:after="40"/>
        <w:ind w:left="397"/>
      </w:pPr>
      <w:r>
        <w:rPr>
          <w:rFonts w:ascii="Arial" w:hAnsi="Arial"/>
          <w:sz w:val="21"/>
        </w:rPr>
        <w:t>BFR : Besoin en Fonds de Roulement.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