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ASSISTANCE TECHNIQUE 225 (AT225)</w:t>
      </w:r>
    </w:p>
    <w:p>
      <w:r>
        <w:t xml:space="preserve">Mockeyville, Grand Bassam – Abidjan, Côte d'Ivoire</w:t>
      </w:r>
    </w:p>
    <w:p>
      <w:r>
        <w:t xml:space="preserve">Représentée par Erwan PAUL, Gérant</w:t>
      </w:r>
    </w:p>
    <w:p>
      <w:r>
        <w:t xml:space="preserve"/>
      </w:r>
    </w:p>
    <w:p>
      <w:r>
        <w:t xml:space="preserve"/>
      </w:r>
    </w:p>
    <w:p>
      <w:pPr>
        <w:jc w:val="right"/>
      </w:pPr>
      <w:r>
        <w:t xml:space="preserve">Abidjan, le 15 juin 2026</w:t>
      </w:r>
    </w:p>
    <w:p>
      <w:r>
        <w:t xml:space="preserve"/>
      </w:r>
    </w:p>
    <w:p>
      <w:r>
        <w:t xml:space="preserve"/>
      </w:r>
    </w:p>
    <w:p>
      <w:r>
        <w:rPr>
          <w:b/>
          <w:bCs/>
        </w:rPr>
        <w:t xml:space="preserve">À l'attention de Monsieur Xavier DE CHARENTENAY</w:t>
      </w:r>
    </w:p>
    <w:p>
      <w:r>
        <w:rPr>
          <w:b/>
          <w:bCs/>
        </w:rPr>
        <w:t xml:space="preserve">Directeur Général</w:t>
      </w:r>
    </w:p>
    <w:p>
      <w:r>
        <w:rPr>
          <w:b/>
          <w:bCs/>
        </w:rPr>
        <w:t xml:space="preserve">BIOVEA Énergie SA</w:t>
      </w:r>
    </w:p>
    <w:p>
      <w:r>
        <w:t xml:space="preserve">Immeuble Privilège 2020, Boulevard Valéry Giscard d'Estaing</w:t>
      </w:r>
    </w:p>
    <w:p>
      <w:r>
        <w:t xml:space="preserve">Zone 4, Marcory, Abidjan – Côte d'Ivoire</w:t>
      </w:r>
    </w:p>
    <w:p>
      <w:r>
        <w:t xml:space="preserve"/>
      </w:r>
    </w:p>
    <w:p>
      <w:r>
        <w:t xml:space="preserve"/>
      </w:r>
    </w:p>
    <w:p>
      <w:r>
        <w:rPr>
          <w:b/>
          <w:bCs/>
        </w:rPr>
        <w:t xml:space="preserve">Objet : </w:t>
      </w:r>
      <w:r>
        <w:rPr>
          <w:b/>
          <w:bCs/>
        </w:rPr>
        <w:t xml:space="preserve">MISE EN DEMEURE – Résiliation abusive du contrat de prestation de services – Demande de réparation du préjudice subi</w:t>
      </w:r>
    </w:p>
    <w:p>
      <w:r>
        <w:rPr>
          <w:b/>
          <w:bCs/>
        </w:rPr>
        <w:t xml:space="preserve">Réf. contrat : </w:t>
      </w:r>
      <w:r>
        <w:t xml:space="preserve">FORTIL IS 16.02.2023, Avenant du 28/08/2023, Accord de passation AT225-BIOVEA du 31/08/2025</w:t>
      </w:r>
    </w:p>
    <w:p>
      <w:r>
        <w:t xml:space="preserve"/>
      </w:r>
    </w:p>
    <w:p>
      <w:r>
        <w:t xml:space="preserve"/>
      </w:r>
    </w:p>
    <w:p>
      <w:r>
        <w:t xml:space="preserve">Monsieur le Directeur Général,</w:t>
      </w:r>
    </w:p>
    <w:p>
      <w:r>
        <w:t xml:space="preserve"/>
      </w:r>
    </w:p>
    <w:p>
      <w:r>
        <w:rPr>
          <w:b/>
          <w:bCs/>
          <w:u w:val="single"/>
        </w:rPr>
        <w:t xml:space="preserve">I. RAPPEL DU CADRE CONTRACTUEL</w:t>
      </w:r>
    </w:p>
    <w:p>
      <w:r>
        <w:t xml:space="preserve"/>
      </w:r>
    </w:p>
    <w:p>
      <w:pPr>
        <w:jc w:val="both"/>
      </w:pPr>
      <w:r>
        <w:t xml:space="preserve">Depuis le 1er septembre 2025, notre société Assistance Technique 225 (AT225) est votre interlocuteur contractuel direct pour la prestation de portage salarial relative à Madame KILI Youenon Eulalie Armande épouse SANGARÉ, Contract Manager, aux termes de l'accord de passation tripartite signé entre FORTIL Côte d'Ivoire, AT225 et BIOVEA Énergie le 31 août 2025, lequel faisait suite au contrat initial FORTIL IS 16.02.2023 et à son avenant du 28 août 2023.</w:t>
      </w:r>
    </w:p>
    <w:p>
      <w:r>
        <w:t xml:space="preserve"/>
      </w:r>
    </w:p>
    <w:p>
      <w:pPr>
        <w:jc w:val="both"/>
      </w:pPr>
      <w:r>
        <w:t xml:space="preserve">Dans ce cadre, AT225 avait conclu avec Madame SANGARÉ un contrat de travail à durée indéterminée en date du 15 janvier 2024, aux termes duquel elle était employée en qualité de Contract Manager et mise à disposition de votre société pour l'exécution de sa mission.</w:t>
      </w:r>
    </w:p>
    <w:p>
      <w:r>
        <w:t xml:space="preserve"/>
      </w:r>
    </w:p>
    <w:p>
      <w:r>
        <w:rPr>
          <w:b/>
          <w:bCs/>
          <w:u w:val="single"/>
        </w:rPr>
        <w:t xml:space="preserve">II. UNE RÉSILIATION CONTRACTUELLEMENT ET LÉGALEMENT NON FONDÉE</w:t>
      </w:r>
    </w:p>
    <w:p>
      <w:r>
        <w:t xml:space="preserve"/>
      </w:r>
    </w:p>
    <w:p>
      <w:pPr>
        <w:jc w:val="both"/>
      </w:pPr>
      <w:r>
        <w:t xml:space="preserve">Par courrier en date du 24 mars 2026 (réf. BIOV-AT25-LAR-20260324-140), votre société a notifié à AT225 la résiliation immédiate du contrat de prestation de services, invoquant le défaut de remplacement du personnel absent au-delà du 7ème jour travaillé, conformément aux engagements contractuels.</w:t>
      </w:r>
    </w:p>
    <w:p>
      <w:r>
        <w:t xml:space="preserve"/>
      </w:r>
    </w:p>
    <w:p>
      <w:pPr>
        <w:jc w:val="both"/>
      </w:pPr>
      <w:r>
        <w:t xml:space="preserve">AT225 conteste fermement le bien-fondé de cette résiliation, pour les raisons suivantes :</w:t>
      </w:r>
    </w:p>
    <w:p>
      <w:r>
        <w:t xml:space="preserve"/>
      </w:r>
    </w:p>
    <w:p>
      <w:pPr>
        <w:jc w:val="both"/>
      </w:pPr>
      <w:r>
        <w:rPr>
          <w:b/>
          <w:bCs/>
        </w:rPr>
        <w:t xml:space="preserve">1. Des absences médicalement justifiées par arrêts de travail réguliers.</w:t>
      </w:r>
    </w:p>
    <w:p>
      <w:pPr>
        <w:jc w:val="both"/>
      </w:pPr>
      <w:r>
        <w:t xml:space="preserve">L'absence de Madame SANGARÉ n'était pas un manquement à ses obligations professionnelles, mais résultait d'arrêts de travail médicalement prescrits, dûment établis et transmis à votre société dès le mois de février 2026. Ces arrêts, délivrés par le Docteur YESUFU AKIM, Gynécologue Obstétricien à la Polyclinique PISAM d'Abidjan, couvrent légalement et médicalement les périodes d'absence concernées. Il s'agit d'une situation de maladie, attestée et reconduite par un professionnel de santé qualifié.</w:t>
      </w:r>
    </w:p>
    <w:p>
      <w:r>
        <w:t xml:space="preserve"/>
      </w:r>
    </w:p>
    <w:p>
      <w:pPr>
        <w:jc w:val="both"/>
      </w:pPr>
      <w:r>
        <w:rPr>
          <w:b/>
          <w:bCs/>
        </w:rPr>
        <w:t xml:space="preserve">2. La clause de remplacement est inapplicable à une situation d'arrêt maladie.</w:t>
      </w:r>
    </w:p>
    <w:p>
      <w:pPr>
        <w:jc w:val="both"/>
      </w:pPr>
      <w:r>
        <w:t xml:space="preserve">La clause contractuelle invoquée – relative au remplacement du personnel au-delà du 7ème jour d'absence préjudiciable – ne saurait légalement s'appliquer à un salarié dont l'absence est couverte par un arrêt de travail médical régulièrement établi. En droit ivoirien du travail, le salarié en arrêt maladie bénéficie d'une protection légale contre toute mesure de rupture fondée sur son état de santé. Admettre l'opposabilité d'une telle clause à une absence médicalement justifiée reviendrait à permettre à un donneur d'ordre de contourner les protections élémentaires du droit du travail, ce que les règles d'ordre public prohibent.</w:t>
      </w:r>
    </w:p>
    <w:p>
      <w:r>
        <w:t xml:space="preserve"/>
      </w:r>
    </w:p>
    <w:p>
      <w:pPr>
        <w:jc w:val="both"/>
      </w:pPr>
      <w:r>
        <w:rPr>
          <w:b/>
          <w:bCs/>
        </w:rPr>
        <w:t xml:space="preserve">3. Une résiliation sans préavis disproportionnée.</w:t>
      </w:r>
    </w:p>
    <w:p>
      <w:pPr>
        <w:jc w:val="both"/>
      </w:pPr>
      <w:r>
        <w:t xml:space="preserve">Indépendamment de toute question sur le fond, BIOVEA a prononcé la résiliation avec effet immédiat à réception de la lettre du 24 mars 2026, sans mise en demeure préalable, sans délai raisonnable permettant à AT225 d'organiser la continuité de la prestation. Cette brutalité dans la rupture constitue, en tout état de cause, une faute contractuelle engageant la responsabilité de votre société.</w:t>
      </w:r>
    </w:p>
    <w:p>
      <w:r>
        <w:t xml:space="preserve"/>
      </w:r>
    </w:p>
    <w:p>
      <w:r>
        <w:rPr>
          <w:b/>
          <w:bCs/>
          <w:u w:val="single"/>
        </w:rPr>
        <w:t xml:space="preserve">III. LE PRÉJUDICE SUBI PAR AT225</w:t>
      </w:r>
    </w:p>
    <w:p>
      <w:r>
        <w:t xml:space="preserve"/>
      </w:r>
    </w:p>
    <w:p>
      <w:pPr>
        <w:jc w:val="both"/>
      </w:pPr>
      <w:r>
        <w:t xml:space="preserve">La résiliation abrupte et sans fondement légal prononcée par BIOVEA a eu des conséquences financières directes et considérables pour AT225. La fin immédiate de la mission de Madame SANGARÉ a placé notre société dans l'impossibilité absolue de lui fournir une nouvelle affectation correspondant à ses qualifications, nous contraignant à procéder à une rupture négociée de son contrat de travail dans les conditions les plus onéreuses possibles.</w:t>
      </w:r>
    </w:p>
    <w:p>
      <w:r>
        <w:t xml:space="preserve"/>
      </w:r>
    </w:p>
    <w:p>
      <w:pPr>
        <w:jc w:val="both"/>
      </w:pPr>
      <w:r>
        <w:t xml:space="preserve">Le préjudice directement imputable à votre résiliation abusive se décompose comme suit :</w:t>
      </w:r>
    </w:p>
    <w:p>
      <w:r>
        <w:t xml:space="preserve"/>
      </w:r>
    </w:p>
    <w:p>
      <w:pPr>
        <w:jc w:val="both"/>
      </w:pPr>
      <w:r>
        <w:rPr>
          <w:b/>
          <w:bCs/>
        </w:rPr>
        <w:t xml:space="preserve">–  Indemnité de rupture négociée versée à Madame SANGARÉ : </w:t>
      </w:r>
      <w:r>
        <w:t xml:space="preserve">12 000 000 FCFA</w:t>
      </w:r>
    </w:p>
    <w:p>
      <w:pPr>
        <w:jc w:val="both"/>
      </w:pPr>
      <w:r>
        <w:rPr>
          <w:b/>
          <w:bCs/>
        </w:rPr>
        <w:t xml:space="preserve">–  Frais d'honoraires d'avocat engagés pour la gestion juridique de la situation : </w:t>
      </w:r>
      <w:r>
        <w:t xml:space="preserve">2 000 000 FCFA</w:t>
      </w:r>
    </w:p>
    <w:p>
      <w:r>
        <w:t xml:space="preserve"/>
      </w:r>
    </w:p>
    <w:p>
      <w:pPr>
        <w:jc w:val="both"/>
      </w:pPr>
      <w:r>
        <w:rPr>
          <w:b/>
          <w:bCs/>
        </w:rPr>
        <w:t xml:space="preserve">TOTAL DU PRÉJUDICE : 14 000 000 FCFA (quatorze millions de francs CFA)</w:t>
      </w:r>
    </w:p>
    <w:p>
      <w:r>
        <w:t xml:space="preserve"/>
      </w:r>
    </w:p>
    <w:p>
      <w:pPr>
        <w:jc w:val="both"/>
      </w:pPr>
      <w:r>
        <w:t xml:space="preserve">Ces sommes ont été décaissées par AT225 directement et exclusivement en conséquence de la décision unilatérale de votre société. Le lien de causalité entre la résiliation abusive de BIOVEA et les préjudices subis par AT225 est direct, certain et documenté.</w:t>
      </w:r>
    </w:p>
    <w:p>
      <w:r>
        <w:t xml:space="preserve"/>
      </w:r>
    </w:p>
    <w:p>
      <w:r>
        <w:rPr>
          <w:b/>
          <w:bCs/>
          <w:u w:val="single"/>
        </w:rPr>
        <w:t xml:space="preserve">IV. MISE EN DEMEURE ET DEMANDE DE RÉPARATION</w:t>
      </w:r>
    </w:p>
    <w:p>
      <w:r>
        <w:t xml:space="preserve"/>
      </w:r>
    </w:p>
    <w:p>
      <w:pPr>
        <w:jc w:val="both"/>
      </w:pPr>
      <w:r>
        <w:t xml:space="preserve">En conséquence de ce qui précède, nous mettons en demeure BIOVEA Énergie SA de procéder au règlement d'une indemnité réparatrice à hauteur de 14 000 000 FCFA (quatorze millions de francs CFA) en réparation du préjudice directement subi par AT225 du fait de la résiliation abusive du contrat de prestation de services.</w:t>
      </w:r>
    </w:p>
    <w:p>
      <w:r>
        <w:t xml:space="preserve"/>
      </w:r>
    </w:p>
    <w:p>
      <w:pPr>
        <w:jc w:val="both"/>
      </w:pPr>
      <w:r>
        <w:t xml:space="preserve">Nous vous demandons de nous faire parvenir votre réponse et une proposition de règlement amiable dans un délai de trente (30) jours calendaires à compter de la réception du présent courrier.</w:t>
      </w:r>
    </w:p>
    <w:p>
      <w:r>
        <w:t xml:space="preserve"/>
      </w:r>
    </w:p>
    <w:p>
      <w:pPr>
        <w:jc w:val="both"/>
      </w:pPr>
      <w:r>
        <w:t xml:space="preserve">À défaut de réponse satisfaisante dans ce délai, AT225 se réserve le droit de saisir toute juridiction compétente, notamment le Tribunal de Commerce d'Abidjan, afin de faire valoir l'intégralité de ses droits, et d'engager toute procédure utile à la réparation du préjudice subi. Nous nous réservons également la possibilité de porter ce litige à la connaissance des instances et partenaires institutionnels concernés.</w:t>
      </w:r>
    </w:p>
    <w:p>
      <w:r>
        <w:t xml:space="preserve"/>
      </w:r>
    </w:p>
    <w:p>
      <w:pPr>
        <w:jc w:val="both"/>
      </w:pPr>
      <w:r>
        <w:t xml:space="preserve">Nous demeurons bien entendu ouverts à un règlement amiable et rapide de ce différend, qui serait dans l'intérêt des deux parties.</w:t>
      </w:r>
    </w:p>
    <w:p>
      <w:r>
        <w:t xml:space="preserve"/>
      </w:r>
    </w:p>
    <w:p>
      <w:r>
        <w:t xml:space="preserve"/>
      </w:r>
    </w:p>
    <w:p>
      <w:r>
        <w:t xml:space="preserve">Veuillez agréer, Monsieur le Directeur Général, l'expression de mes salutations distinguées.</w:t>
      </w:r>
    </w:p>
    <w:p>
      <w:r>
        <w:t xml:space="preserve"/>
      </w:r>
    </w:p>
    <w:p>
      <w:r>
        <w:t xml:space="preserve"/>
      </w:r>
    </w:p>
    <w:p>
      <w:r>
        <w:t xml:space="preserve"/>
      </w:r>
    </w:p>
    <w:p>
      <w:r>
        <w:rPr>
          <w:b/>
          <w:bCs/>
        </w:rPr>
        <w:t xml:space="preserve">Erwan PAUL</w:t>
      </w:r>
    </w:p>
    <w:p>
      <w:r>
        <w:t xml:space="preserve">Gérant – Assistance Technique 225 (AT225)</w:t>
      </w:r>
    </w:p>
    <w:p>
      <w:r>
        <w:t xml:space="preserve">Zone 4, Perusia, Abidjan, Côte d'Ivoire</w:t>
      </w:r>
    </w:p>
    <w:p>
      <w:r>
        <w:t xml:space="preserve"/>
      </w:r>
    </w:p>
    <w:p>
      <w:r>
        <w:rPr>
          <w:b/>
          <w:bCs/>
        </w:rPr>
        <w:t xml:space="preserve">P.J. : </w:t>
      </w:r>
      <w:r>
        <w:t xml:space="preserve">Arrêts de travail de Madame SANGARÉ (février–avril 2026) ; Documents contractuels (contrat FORTIL-BIOVEA, avenant, accord de passation du 31/08/2025) ; CDI AT225-SANGARÉ du 15/01/2024.</w:t>
      </w:r>
    </w:p>
    <w:sectPr>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2026-06-15T12:58:21.624Z</dcterms:created>
  <dcterms:modified xsi:type="dcterms:W3CDTF">2026-06-15T12:58:21.624Z</dcterms:modified>
</cp:coreProperties>
</file>

<file path=docProps/custom.xml><?xml version="1.0" encoding="utf-8"?>
<Properties xmlns="http://schemas.openxmlformats.org/officeDocument/2006/custom-properties" xmlns:vt="http://schemas.openxmlformats.org/officeDocument/2006/docPropsVTypes"/>
</file>