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7AB2F" w14:textId="77777777" w:rsidR="002A5EDB" w:rsidRPr="002A5EDB" w:rsidRDefault="002A5EDB" w:rsidP="002A5EDB">
      <w:r w:rsidRPr="002A5EDB">
        <w:t>Outils chargés, lu un fichier, outil utilisé</w:t>
      </w:r>
    </w:p>
    <w:p w14:paraId="6EAEE258" w14:textId="77777777" w:rsidR="002A5EDB" w:rsidRPr="002A5EDB" w:rsidRDefault="002A5EDB" w:rsidP="002A5EDB">
      <w:r w:rsidRPr="002A5EDB">
        <w:t>Outils chargés, lu un fichier, outil utilisé</w:t>
      </w:r>
    </w:p>
    <w:p w14:paraId="462E339E" w14:textId="77777777" w:rsidR="002A5EDB" w:rsidRPr="002A5EDB" w:rsidRDefault="002A5EDB" w:rsidP="002A5EDB">
      <w:r w:rsidRPr="002A5EDB">
        <w:t>Voici les 5 contrats révisés (v2.0). Voici le résumé des protections ajoutées dans chaque document :</w:t>
      </w:r>
    </w:p>
    <w:p w14:paraId="757F12BB" w14:textId="77777777" w:rsidR="002A5EDB" w:rsidRPr="002A5EDB" w:rsidRDefault="002A5EDB" w:rsidP="002A5EDB">
      <w:r w:rsidRPr="002A5EDB">
        <w:pict w14:anchorId="2B49FB34">
          <v:rect id="_x0000_i1055" style="width:0;height:1.5pt" o:hralign="center" o:hrstd="t" o:hr="t" fillcolor="#a0a0a0" stroked="f"/>
        </w:pict>
      </w:r>
    </w:p>
    <w:p w14:paraId="26FE8413" w14:textId="77777777" w:rsidR="002A5EDB" w:rsidRPr="002A5EDB" w:rsidRDefault="002A5EDB" w:rsidP="002A5EDB">
      <w:r w:rsidRPr="002A5EDB">
        <w:rPr>
          <w:b/>
          <w:bCs/>
        </w:rPr>
        <w:t>Contrat CDD (v2.0) — 3 changements clés :</w:t>
      </w:r>
    </w:p>
    <w:p w14:paraId="0D1D955D" w14:textId="77777777" w:rsidR="002A5EDB" w:rsidRPr="002A5EDB" w:rsidRDefault="002A5EDB" w:rsidP="002A5EDB">
      <w:pPr>
        <w:numPr>
          <w:ilvl w:val="0"/>
          <w:numId w:val="1"/>
        </w:numPr>
      </w:pPr>
      <w:r w:rsidRPr="002A5EDB">
        <w:rPr>
          <w:b/>
          <w:bCs/>
        </w:rPr>
        <w:t>Art. 6</w:t>
      </w:r>
      <w:r w:rsidRPr="002A5EDB">
        <w:t xml:space="preserve"> — La reconduction tacite est supprimée. Tout renouvellement exige un acte écrit signé. Plus de risque de transformation automatique en CDI.</w:t>
      </w:r>
    </w:p>
    <w:p w14:paraId="42F7B6B3" w14:textId="77777777" w:rsidR="002A5EDB" w:rsidRPr="002A5EDB" w:rsidRDefault="002A5EDB" w:rsidP="002A5EDB">
      <w:pPr>
        <w:numPr>
          <w:ilvl w:val="0"/>
          <w:numId w:val="1"/>
        </w:numPr>
      </w:pPr>
      <w:r w:rsidRPr="002A5EDB">
        <w:rPr>
          <w:b/>
          <w:bCs/>
        </w:rPr>
        <w:t>Art. 12</w:t>
      </w:r>
      <w:r w:rsidRPr="002A5EDB">
        <w:t xml:space="preserve"> — Ajout de la CMU (Couverture Maladie Universelle) en plus de la CNPS, conformément à la loi en vigueur.</w:t>
      </w:r>
    </w:p>
    <w:p w14:paraId="3428C76C" w14:textId="77777777" w:rsidR="002A5EDB" w:rsidRPr="002A5EDB" w:rsidRDefault="002A5EDB" w:rsidP="002A5EDB">
      <w:pPr>
        <w:numPr>
          <w:ilvl w:val="0"/>
          <w:numId w:val="1"/>
        </w:numPr>
      </w:pPr>
      <w:r w:rsidRPr="002A5EDB">
        <w:rPr>
          <w:b/>
          <w:bCs/>
        </w:rPr>
        <w:t>Art. 19bis (nouveau)</w:t>
      </w:r>
      <w:r w:rsidRPr="002A5EDB">
        <w:t xml:space="preserve"> — Clause de lien mission/CDD : si le client arrête la mission avant terme, c'est qualifié de force majeure. L'employé reconnaît expressément cette modalité, s'interdit toute action directe contre l'entreprise utilisatrice, et ses droits sont limités au minimum légal — récupérable ensuite par AT225 auprès du client.</w:t>
      </w:r>
    </w:p>
    <w:p w14:paraId="1B773E46" w14:textId="77777777" w:rsidR="002A5EDB" w:rsidRPr="002A5EDB" w:rsidRDefault="002A5EDB" w:rsidP="002A5EDB">
      <w:r w:rsidRPr="002A5EDB">
        <w:pict w14:anchorId="5036BB87">
          <v:rect id="_x0000_i1056" style="width:0;height:1.5pt" o:hralign="center" o:hrstd="t" o:hr="t" fillcolor="#a0a0a0" stroked="f"/>
        </w:pict>
      </w:r>
    </w:p>
    <w:p w14:paraId="489CB435" w14:textId="77777777" w:rsidR="002A5EDB" w:rsidRPr="002A5EDB" w:rsidRDefault="002A5EDB" w:rsidP="002A5EDB">
      <w:r w:rsidRPr="002A5EDB">
        <w:rPr>
          <w:b/>
          <w:bCs/>
        </w:rPr>
        <w:t>Contrat CDI (v2.0) — 4 changements clés :</w:t>
      </w:r>
    </w:p>
    <w:p w14:paraId="3EBA389C" w14:textId="77777777" w:rsidR="002A5EDB" w:rsidRPr="002A5EDB" w:rsidRDefault="002A5EDB" w:rsidP="002A5EDB">
      <w:pPr>
        <w:numPr>
          <w:ilvl w:val="0"/>
          <w:numId w:val="2"/>
        </w:numPr>
      </w:pPr>
      <w:r w:rsidRPr="002A5EDB">
        <w:rPr>
          <w:b/>
          <w:bCs/>
        </w:rPr>
        <w:t>Art. 4</w:t>
      </w:r>
      <w:r w:rsidRPr="002A5EDB">
        <w:t xml:space="preserve"> — Correction de la faute : "L'Employeur devra" → "L'Employé devra".</w:t>
      </w:r>
    </w:p>
    <w:p w14:paraId="091A8CF8" w14:textId="77777777" w:rsidR="002A5EDB" w:rsidRPr="002A5EDB" w:rsidRDefault="002A5EDB" w:rsidP="002A5EDB">
      <w:pPr>
        <w:numPr>
          <w:ilvl w:val="0"/>
          <w:numId w:val="2"/>
        </w:numPr>
      </w:pPr>
      <w:r w:rsidRPr="002A5EDB">
        <w:rPr>
          <w:b/>
          <w:bCs/>
        </w:rPr>
        <w:t>Art. 12</w:t>
      </w:r>
      <w:r w:rsidRPr="002A5EDB">
        <w:t xml:space="preserve"> — Ajout CMU.</w:t>
      </w:r>
    </w:p>
    <w:p w14:paraId="5A9EC6D5" w14:textId="77777777" w:rsidR="002A5EDB" w:rsidRPr="002A5EDB" w:rsidRDefault="002A5EDB" w:rsidP="002A5EDB">
      <w:pPr>
        <w:numPr>
          <w:ilvl w:val="0"/>
          <w:numId w:val="2"/>
        </w:numPr>
      </w:pPr>
      <w:r w:rsidRPr="002A5EDB">
        <w:rPr>
          <w:b/>
          <w:bCs/>
        </w:rPr>
        <w:t>Art. 23 (nouveau)</w:t>
      </w:r>
      <w:r w:rsidRPr="002A5EDB">
        <w:t xml:space="preserve"> — Clause maternité : l'employée doit déclarer sa grossesse par écrit avant la fin du 3ème mois avec certificat médical. AT225 garantit tous les droits légaux, mais toute réclamation au-delà du cadre légal impose un examen contradictoire avant tout recours judiciaire.</w:t>
      </w:r>
    </w:p>
    <w:p w14:paraId="183EB0D3" w14:textId="77777777" w:rsidR="002A5EDB" w:rsidRPr="002A5EDB" w:rsidRDefault="002A5EDB" w:rsidP="002A5EDB">
      <w:pPr>
        <w:numPr>
          <w:ilvl w:val="0"/>
          <w:numId w:val="2"/>
        </w:numPr>
      </w:pPr>
      <w:r w:rsidRPr="002A5EDB">
        <w:rPr>
          <w:b/>
          <w:bCs/>
        </w:rPr>
        <w:t>Art. 24 (nouveau)</w:t>
      </w:r>
      <w:r w:rsidRPr="002A5EDB">
        <w:t xml:space="preserve"> — Clause inter-mission : fin de mission ≠ rupture du CDI. L'employé reste disponible et rémunéré jusqu'à 3 mois maximum, après quoi les parties se concertent.</w:t>
      </w:r>
    </w:p>
    <w:p w14:paraId="38124128" w14:textId="77777777" w:rsidR="002A5EDB" w:rsidRPr="002A5EDB" w:rsidRDefault="002A5EDB" w:rsidP="002A5EDB">
      <w:r w:rsidRPr="002A5EDB">
        <w:pict w14:anchorId="5EC50860">
          <v:rect id="_x0000_i1057" style="width:0;height:1.5pt" o:hralign="center" o:hrstd="t" o:hr="t" fillcolor="#a0a0a0" stroked="f"/>
        </w:pict>
      </w:r>
    </w:p>
    <w:p w14:paraId="2F5A5F58" w14:textId="77777777" w:rsidR="002A5EDB" w:rsidRPr="002A5EDB" w:rsidRDefault="002A5EDB" w:rsidP="002A5EDB">
      <w:r w:rsidRPr="002A5EDB">
        <w:rPr>
          <w:b/>
          <w:bCs/>
        </w:rPr>
        <w:t>Contrats Clients Mise à dispo v2.0 (les deux versions) — Article 14bis (nouveau) :</w:t>
      </w:r>
    </w:p>
    <w:p w14:paraId="39087535" w14:textId="77777777" w:rsidR="002A5EDB" w:rsidRPr="002A5EDB" w:rsidRDefault="002A5EDB" w:rsidP="002A5EDB">
      <w:pPr>
        <w:numPr>
          <w:ilvl w:val="0"/>
          <w:numId w:val="3"/>
        </w:numPr>
      </w:pPr>
      <w:r w:rsidRPr="002A5EDB">
        <w:rPr>
          <w:b/>
          <w:bCs/>
        </w:rPr>
        <w:t>Préavis obligatoire de 60 jours</w:t>
      </w:r>
      <w:r w:rsidRPr="002A5EDB">
        <w:t xml:space="preserve"> pour toute résiliation anticipée par le client.</w:t>
      </w:r>
    </w:p>
    <w:p w14:paraId="14853B9D" w14:textId="77777777" w:rsidR="002A5EDB" w:rsidRPr="002A5EDB" w:rsidRDefault="002A5EDB" w:rsidP="002A5EDB">
      <w:pPr>
        <w:numPr>
          <w:ilvl w:val="0"/>
          <w:numId w:val="3"/>
        </w:numPr>
      </w:pPr>
      <w:r w:rsidRPr="002A5EDB">
        <w:rPr>
          <w:b/>
          <w:bCs/>
        </w:rPr>
        <w:t>Indemnité forfaitaire de 3 mois</w:t>
      </w:r>
      <w:r w:rsidRPr="002A5EDB">
        <w:t xml:space="preserve"> de facturation mensuelle due par le client en cas de résiliation avant terme.</w:t>
      </w:r>
    </w:p>
    <w:p w14:paraId="564CA2D7" w14:textId="77777777" w:rsidR="002A5EDB" w:rsidRPr="002A5EDB" w:rsidRDefault="002A5EDB" w:rsidP="002A5EDB">
      <w:pPr>
        <w:numPr>
          <w:ilvl w:val="0"/>
          <w:numId w:val="3"/>
        </w:numPr>
      </w:pPr>
      <w:r w:rsidRPr="002A5EDB">
        <w:rPr>
          <w:b/>
          <w:bCs/>
        </w:rPr>
        <w:t>Prise en charge des coûts sociaux</w:t>
      </w:r>
      <w:r w:rsidRPr="002A5EDB">
        <w:t xml:space="preserve"> : le client rembourse à AT225 toutes les indemnités légales (rupture de CDD, préavis, etc.) sur justificatifs.</w:t>
      </w:r>
    </w:p>
    <w:p w14:paraId="551003C5" w14:textId="77777777" w:rsidR="002A5EDB" w:rsidRPr="002A5EDB" w:rsidRDefault="002A5EDB" w:rsidP="002A5EDB">
      <w:pPr>
        <w:numPr>
          <w:ilvl w:val="0"/>
          <w:numId w:val="3"/>
        </w:numPr>
      </w:pPr>
      <w:r w:rsidRPr="002A5EDB">
        <w:rPr>
          <w:b/>
          <w:bCs/>
        </w:rPr>
        <w:t>Pénalité de non-respect du préavis</w:t>
      </w:r>
      <w:r w:rsidRPr="002A5EDB">
        <w:t xml:space="preserve"> : indemnité supplémentaire au prorata des jours manquants.</w:t>
      </w:r>
    </w:p>
    <w:p w14:paraId="626D8B75" w14:textId="77777777" w:rsidR="002A5EDB" w:rsidRPr="002A5EDB" w:rsidRDefault="002A5EDB" w:rsidP="002A5EDB">
      <w:r w:rsidRPr="002A5EDB">
        <w:pict w14:anchorId="47DF3F04">
          <v:rect id="_x0000_i1058" style="width:0;height:1.5pt" o:hralign="center" o:hrstd="t" o:hr="t" fillcolor="#a0a0a0" stroked="f"/>
        </w:pict>
      </w:r>
    </w:p>
    <w:p w14:paraId="1F8C011D" w14:textId="77777777" w:rsidR="002A5EDB" w:rsidRPr="002A5EDB" w:rsidRDefault="002A5EDB" w:rsidP="002A5EDB">
      <w:r w:rsidRPr="002A5EDB">
        <w:rPr>
          <w:b/>
          <w:bCs/>
        </w:rPr>
        <w:lastRenderedPageBreak/>
        <w:t>Contrat Journalier (v2.0) :</w:t>
      </w:r>
      <w:r w:rsidRPr="002A5EDB">
        <w:t xml:space="preserve"> Mise à jour de la référence légale (loi 1995 → loi n°2015-532 du 20 juillet 2015).</w:t>
      </w:r>
    </w:p>
    <w:p w14:paraId="591387CE" w14:textId="77777777" w:rsidR="002A5EDB" w:rsidRPr="002A5EDB" w:rsidRDefault="002A5EDB" w:rsidP="002A5EDB">
      <w:r w:rsidRPr="002A5EDB">
        <w:pict w14:anchorId="5A8144C2">
          <v:rect id="_x0000_i1059" style="width:0;height:1.5pt" o:hralign="center" o:hrstd="t" o:hr="t" fillcolor="#a0a0a0" stroked="f"/>
        </w:pict>
      </w:r>
    </w:p>
    <w:p w14:paraId="5D4DD49B" w14:textId="77777777" w:rsidR="002A5EDB" w:rsidRPr="002A5EDB" w:rsidRDefault="002A5EDB" w:rsidP="002A5EDB">
      <w:r w:rsidRPr="002A5EDB">
        <w:rPr>
          <w:rFonts w:ascii="Segoe UI Emoji" w:hAnsi="Segoe UI Emoji" w:cs="Segoe UI Emoji"/>
        </w:rPr>
        <w:t>⚠️</w:t>
      </w:r>
      <w:r w:rsidRPr="002A5EDB">
        <w:t xml:space="preserve"> </w:t>
      </w:r>
      <w:r w:rsidRPr="002A5EDB">
        <w:rPr>
          <w:b/>
          <w:bCs/>
        </w:rPr>
        <w:t>Note importante</w:t>
      </w:r>
      <w:r w:rsidRPr="002A5EDB">
        <w:t xml:space="preserve"> : Ces contrats renforcent significativement votre position, mais je vous recommande de les faire valider par un avocat spécialisé en droit du travail ivoirien avant utilisation. En particulier, la qualification de "force majeure" pour l'arrêt anticipé de mission (Art. 19bis du CDD) peut être contestée par un employé devant le Tribunal du Travail — la protection la plus solide reste celle de l'Art. 14bis dans le contrat client, qui oblige le client à financer les indemnités.</w:t>
      </w:r>
    </w:p>
    <w:p w14:paraId="2D796B9D" w14:textId="77777777" w:rsidR="00380F1D" w:rsidRDefault="00380F1D"/>
    <w:sectPr w:rsidR="00380F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157"/>
    <w:multiLevelType w:val="multilevel"/>
    <w:tmpl w:val="1AC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42D7C"/>
    <w:multiLevelType w:val="multilevel"/>
    <w:tmpl w:val="5758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72A13"/>
    <w:multiLevelType w:val="multilevel"/>
    <w:tmpl w:val="C53C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48279">
    <w:abstractNumId w:val="1"/>
  </w:num>
  <w:num w:numId="2" w16cid:durableId="1954431968">
    <w:abstractNumId w:val="0"/>
  </w:num>
  <w:num w:numId="3" w16cid:durableId="1448044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8B1"/>
    <w:rsid w:val="002108B1"/>
    <w:rsid w:val="002A5EDB"/>
    <w:rsid w:val="00380F1D"/>
    <w:rsid w:val="00A812D2"/>
    <w:rsid w:val="00C577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49539F-7F11-41EC-8DD2-3A855259C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0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0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08B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08B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08B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08B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08B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08B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08B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08B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08B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08B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08B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08B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08B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08B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08B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08B1"/>
    <w:rPr>
      <w:rFonts w:eastAsiaTheme="majorEastAsia" w:cstheme="majorBidi"/>
      <w:color w:val="272727" w:themeColor="text1" w:themeTint="D8"/>
    </w:rPr>
  </w:style>
  <w:style w:type="paragraph" w:styleId="Titre">
    <w:name w:val="Title"/>
    <w:basedOn w:val="Normal"/>
    <w:next w:val="Normal"/>
    <w:link w:val="TitreCar"/>
    <w:uiPriority w:val="10"/>
    <w:qFormat/>
    <w:rsid w:val="00210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08B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08B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08B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08B1"/>
    <w:pPr>
      <w:spacing w:before="160"/>
      <w:jc w:val="center"/>
    </w:pPr>
    <w:rPr>
      <w:i/>
      <w:iCs/>
      <w:color w:val="404040" w:themeColor="text1" w:themeTint="BF"/>
    </w:rPr>
  </w:style>
  <w:style w:type="character" w:customStyle="1" w:styleId="CitationCar">
    <w:name w:val="Citation Car"/>
    <w:basedOn w:val="Policepardfaut"/>
    <w:link w:val="Citation"/>
    <w:uiPriority w:val="29"/>
    <w:rsid w:val="002108B1"/>
    <w:rPr>
      <w:i/>
      <w:iCs/>
      <w:color w:val="404040" w:themeColor="text1" w:themeTint="BF"/>
    </w:rPr>
  </w:style>
  <w:style w:type="paragraph" w:styleId="Paragraphedeliste">
    <w:name w:val="List Paragraph"/>
    <w:basedOn w:val="Normal"/>
    <w:uiPriority w:val="34"/>
    <w:qFormat/>
    <w:rsid w:val="002108B1"/>
    <w:pPr>
      <w:ind w:left="720"/>
      <w:contextualSpacing/>
    </w:pPr>
  </w:style>
  <w:style w:type="character" w:styleId="Accentuationintense">
    <w:name w:val="Intense Emphasis"/>
    <w:basedOn w:val="Policepardfaut"/>
    <w:uiPriority w:val="21"/>
    <w:qFormat/>
    <w:rsid w:val="002108B1"/>
    <w:rPr>
      <w:i/>
      <w:iCs/>
      <w:color w:val="0F4761" w:themeColor="accent1" w:themeShade="BF"/>
    </w:rPr>
  </w:style>
  <w:style w:type="paragraph" w:styleId="Citationintense">
    <w:name w:val="Intense Quote"/>
    <w:basedOn w:val="Normal"/>
    <w:next w:val="Normal"/>
    <w:link w:val="CitationintenseCar"/>
    <w:uiPriority w:val="30"/>
    <w:qFormat/>
    <w:rsid w:val="00210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08B1"/>
    <w:rPr>
      <w:i/>
      <w:iCs/>
      <w:color w:val="0F4761" w:themeColor="accent1" w:themeShade="BF"/>
    </w:rPr>
  </w:style>
  <w:style w:type="character" w:styleId="Rfrenceintense">
    <w:name w:val="Intense Reference"/>
    <w:basedOn w:val="Policepardfaut"/>
    <w:uiPriority w:val="32"/>
    <w:qFormat/>
    <w:rsid w:val="00210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2170</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Assistance Technique 225</dc:creator>
  <cp:keywords/>
  <dc:description/>
  <cp:lastModifiedBy>Assistance Technique 225</cp:lastModifiedBy>
  <cp:revision>2</cp:revision>
  <dcterms:created xsi:type="dcterms:W3CDTF">2026-06-15T13:58:00Z</dcterms:created>
  <dcterms:modified xsi:type="dcterms:W3CDTF">2026-06-15T13:58:00Z</dcterms:modified>
</cp:coreProperties>
</file>