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EF8A" w14:textId="116BB836" w:rsidR="00064AF3" w:rsidRPr="00430AFA" w:rsidRDefault="0061281E">
      <w:pPr>
        <w:rPr>
          <w:rFonts w:ascii="Times New Roman" w:hAnsi="Times New Roman" w:cs="Times New Roman"/>
        </w:rPr>
      </w:pPr>
      <w:r w:rsidRPr="00430AFA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D418730" wp14:editId="2D514807">
            <wp:simplePos x="0" y="0"/>
            <wp:positionH relativeFrom="column">
              <wp:posOffset>28575</wp:posOffset>
            </wp:positionH>
            <wp:positionV relativeFrom="paragraph">
              <wp:posOffset>-628650</wp:posOffset>
            </wp:positionV>
            <wp:extent cx="5731510" cy="895993"/>
            <wp:effectExtent l="0" t="0" r="2540" b="0"/>
            <wp:wrapNone/>
            <wp:docPr id="2" name="Picture 2" descr="D:\SIT Nagpur - SIU\Logos\SIU_SITLogos\SIU_SITLogos\SIT Nagpur\SIT_NGP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T Nagpur - SIU\Logos\SIU_SITLogos\SIU_SITLogos\SIT Nagpur\SIT_NGPR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100E9" w14:textId="618DAC5B" w:rsidR="00064AF3" w:rsidRPr="00430AFA" w:rsidRDefault="00064AF3">
      <w:pPr>
        <w:rPr>
          <w:rFonts w:ascii="Times New Roman" w:hAnsi="Times New Roman" w:cs="Times New Roman"/>
        </w:rPr>
      </w:pPr>
    </w:p>
    <w:p w14:paraId="1957A812" w14:textId="744F70A6" w:rsidR="00064AF3" w:rsidRPr="00430AFA" w:rsidRDefault="00430AFA" w:rsidP="00064AF3">
      <w:pPr>
        <w:jc w:val="center"/>
        <w:rPr>
          <w:rFonts w:ascii="Times New Roman" w:hAnsi="Times New Roman" w:cs="Times New Roman"/>
          <w:sz w:val="52"/>
          <w:szCs w:val="52"/>
        </w:rPr>
      </w:pPr>
      <w:r w:rsidRPr="00430AFA">
        <w:rPr>
          <w:rFonts w:ascii="Times New Roman" w:hAnsi="Times New Roman" w:cs="Times New Roman"/>
          <w:sz w:val="52"/>
          <w:szCs w:val="52"/>
        </w:rPr>
        <w:t>Predictive Sepsis Detection and Post-Op Health Report Automation</w:t>
      </w:r>
    </w:p>
    <w:p w14:paraId="1CA51A42" w14:textId="77777777" w:rsidR="00430AFA" w:rsidRPr="00430AFA" w:rsidRDefault="00430AFA" w:rsidP="00064AF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1E8EECE" w14:textId="6F3794CD" w:rsidR="00064AF3" w:rsidRPr="00430AFA" w:rsidRDefault="0077776E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 xml:space="preserve">PBL </w:t>
      </w:r>
      <w:r w:rsidR="00064AF3" w:rsidRPr="00430AFA">
        <w:rPr>
          <w:rFonts w:ascii="Times New Roman" w:hAnsi="Times New Roman" w:cs="Times New Roman"/>
          <w:sz w:val="44"/>
          <w:szCs w:val="44"/>
        </w:rPr>
        <w:t>Review Report – I</w:t>
      </w:r>
    </w:p>
    <w:p w14:paraId="2D28C6B0" w14:textId="77777777" w:rsidR="00064AF3" w:rsidRPr="00430AFA" w:rsidRDefault="00064AF3" w:rsidP="00064AF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008F6" w14:textId="596CC1EA" w:rsidR="00064AF3" w:rsidRPr="00430AFA" w:rsidRDefault="00064AF3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Submitted To:</w:t>
      </w:r>
    </w:p>
    <w:p w14:paraId="1B9FB6AB" w14:textId="77777777" w:rsidR="00430AFA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 xml:space="preserve">Dr. Pradnya </w:t>
      </w:r>
      <w:proofErr w:type="spellStart"/>
      <w:r w:rsidRPr="00430AFA">
        <w:rPr>
          <w:rFonts w:ascii="Times New Roman" w:hAnsi="Times New Roman" w:cs="Times New Roman"/>
          <w:sz w:val="44"/>
          <w:szCs w:val="44"/>
        </w:rPr>
        <w:t>Sulas</w:t>
      </w:r>
      <w:proofErr w:type="spellEnd"/>
      <w:r w:rsidRPr="00430AFA">
        <w:rPr>
          <w:rFonts w:ascii="Times New Roman" w:hAnsi="Times New Roman" w:cs="Times New Roman"/>
          <w:sz w:val="44"/>
          <w:szCs w:val="44"/>
        </w:rPr>
        <w:t xml:space="preserve"> Borkar</w:t>
      </w:r>
    </w:p>
    <w:p w14:paraId="508C7AF1" w14:textId="4406FD13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Mentor</w:t>
      </w:r>
      <w:r w:rsidR="00064AF3" w:rsidRPr="00430AFA">
        <w:rPr>
          <w:rFonts w:ascii="Times New Roman" w:hAnsi="Times New Roman" w:cs="Times New Roman"/>
          <w:sz w:val="44"/>
          <w:szCs w:val="44"/>
        </w:rPr>
        <w:br/>
      </w:r>
    </w:p>
    <w:p w14:paraId="17268D89" w14:textId="5082DF85" w:rsidR="00064AF3" w:rsidRPr="00430AFA" w:rsidRDefault="00064AF3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br/>
        <w:t>Submitted By:</w:t>
      </w:r>
      <w:r w:rsidRPr="00430AFA">
        <w:rPr>
          <w:rFonts w:ascii="Times New Roman" w:hAnsi="Times New Roman" w:cs="Times New Roman"/>
          <w:sz w:val="44"/>
          <w:szCs w:val="44"/>
        </w:rPr>
        <w:br/>
      </w:r>
      <w:r w:rsidR="00430AFA" w:rsidRPr="00430AFA">
        <w:rPr>
          <w:rFonts w:ascii="Times New Roman" w:hAnsi="Times New Roman" w:cs="Times New Roman"/>
          <w:sz w:val="44"/>
          <w:szCs w:val="44"/>
        </w:rPr>
        <w:t>Tanmay Kalinkar, 23070521189</w:t>
      </w:r>
    </w:p>
    <w:p w14:paraId="73F963D2" w14:textId="40478EF5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V</w:t>
      </w:r>
      <w:r w:rsidRPr="00430AFA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430AFA">
        <w:rPr>
          <w:rFonts w:ascii="Times New Roman" w:hAnsi="Times New Roman" w:cs="Times New Roman"/>
          <w:sz w:val="44"/>
          <w:szCs w:val="44"/>
        </w:rPr>
        <w:t>, C</w:t>
      </w:r>
    </w:p>
    <w:p w14:paraId="2D39CDF6" w14:textId="15FD6405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 xml:space="preserve">Siddhesh </w:t>
      </w:r>
      <w:proofErr w:type="spellStart"/>
      <w:r w:rsidRPr="00430AFA">
        <w:rPr>
          <w:rFonts w:ascii="Times New Roman" w:hAnsi="Times New Roman" w:cs="Times New Roman"/>
          <w:sz w:val="44"/>
          <w:szCs w:val="44"/>
        </w:rPr>
        <w:t>Mawale</w:t>
      </w:r>
      <w:proofErr w:type="spellEnd"/>
      <w:r w:rsidRPr="00430AFA">
        <w:rPr>
          <w:rFonts w:ascii="Times New Roman" w:hAnsi="Times New Roman" w:cs="Times New Roman"/>
          <w:sz w:val="44"/>
          <w:szCs w:val="44"/>
        </w:rPr>
        <w:t>, 23070521229</w:t>
      </w:r>
    </w:p>
    <w:p w14:paraId="6110B733" w14:textId="77777777" w:rsidR="00430AFA" w:rsidRPr="00430AFA" w:rsidRDefault="00430AFA" w:rsidP="00430AFA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V</w:t>
      </w:r>
      <w:r w:rsidRPr="00430AFA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430AFA">
        <w:rPr>
          <w:rFonts w:ascii="Times New Roman" w:hAnsi="Times New Roman" w:cs="Times New Roman"/>
          <w:sz w:val="44"/>
          <w:szCs w:val="44"/>
        </w:rPr>
        <w:t>, C</w:t>
      </w:r>
    </w:p>
    <w:p w14:paraId="166E9249" w14:textId="51AAF8AC" w:rsidR="00064AF3" w:rsidRPr="00430AFA" w:rsidRDefault="00430AFA" w:rsidP="00064AF3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430AFA">
        <w:rPr>
          <w:rFonts w:ascii="Times New Roman" w:hAnsi="Times New Roman" w:cs="Times New Roman"/>
          <w:sz w:val="44"/>
          <w:szCs w:val="44"/>
        </w:rPr>
        <w:t>Eavam</w:t>
      </w:r>
      <w:proofErr w:type="spellEnd"/>
      <w:r w:rsidRPr="00430AFA">
        <w:rPr>
          <w:rFonts w:ascii="Times New Roman" w:hAnsi="Times New Roman" w:cs="Times New Roman"/>
          <w:sz w:val="44"/>
          <w:szCs w:val="44"/>
        </w:rPr>
        <w:t xml:space="preserve"> Margamwar, 23070521209</w:t>
      </w:r>
    </w:p>
    <w:p w14:paraId="623974E9" w14:textId="5B278A5B" w:rsidR="00430AFA" w:rsidRPr="00430AFA" w:rsidRDefault="00430AFA" w:rsidP="00430AFA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V</w:t>
      </w:r>
      <w:r w:rsidRPr="00430AFA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430AFA">
        <w:rPr>
          <w:rFonts w:ascii="Times New Roman" w:hAnsi="Times New Roman" w:cs="Times New Roman"/>
          <w:sz w:val="44"/>
          <w:szCs w:val="44"/>
        </w:rPr>
        <w:t>, C</w:t>
      </w:r>
    </w:p>
    <w:p w14:paraId="24B8F4C9" w14:textId="77777777" w:rsidR="00430AFA" w:rsidRPr="00430AFA" w:rsidRDefault="00E6182C" w:rsidP="00430AFA">
      <w:pPr>
        <w:jc w:val="center"/>
        <w:rPr>
          <w:rFonts w:ascii="Times New Roman" w:hAnsi="Times New Roman" w:cs="Times New Roman"/>
          <w:sz w:val="44"/>
          <w:szCs w:val="44"/>
        </w:rPr>
      </w:pPr>
      <w:r w:rsidRPr="00430AFA">
        <w:rPr>
          <w:rFonts w:ascii="Times New Roman" w:hAnsi="Times New Roman" w:cs="Times New Roman"/>
          <w:sz w:val="44"/>
          <w:szCs w:val="44"/>
        </w:rPr>
        <w:t>August</w:t>
      </w:r>
      <w:r w:rsidR="008F286A" w:rsidRPr="00430AFA">
        <w:rPr>
          <w:rFonts w:ascii="Times New Roman" w:hAnsi="Times New Roman" w:cs="Times New Roman"/>
          <w:sz w:val="44"/>
          <w:szCs w:val="44"/>
        </w:rPr>
        <w:t xml:space="preserve"> 2025</w:t>
      </w:r>
    </w:p>
    <w:p w14:paraId="3BDD1516" w14:textId="49F059FC" w:rsidR="00430AFA" w:rsidRPr="00536616" w:rsidRDefault="00430AFA" w:rsidP="0053661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14:paraId="2B7ECD6D" w14:textId="73A74CF9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Sepsis is a life-threatening condition affecting over 50 million patients globally with 11 million deaths annually, representing 20% of global mortality. Traditional sepsis detection methods like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and SOFA scores often fail in early identification, particularly in non-ICU settings where monitoring frequency is limited. Machine learning approaches have emerged as promising solutions, achieving superior performance with AUCs ranging from 0.87 to 0.99 across various studies</w:t>
      </w:r>
      <w:r w:rsidRPr="00536616">
        <w:rPr>
          <w:rFonts w:ascii="Times New Roman" w:eastAsia="inter" w:hAnsi="Times New Roman" w:cs="Times New Roman"/>
          <w:color w:val="000000"/>
        </w:rPr>
        <w:t>.</w:t>
      </w:r>
    </w:p>
    <w:p w14:paraId="3A9B9FAC" w14:textId="756E530F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Post-operative complications, including sepsis, affect millions of surgical patients worldwide with significant morbidity and mortality implications. Current postoperative monitoring relies heavily on manual processes with vital signs checked every 4-8 hours on surgical wards, leading to delayed detection of deteriorating conditions. Remote patient monitoring and automated health reporting systems offer potential solutions to bridge these gaps in care delivery.</w:t>
      </w:r>
    </w:p>
    <w:p w14:paraId="73AF5D06" w14:textId="77777777" w:rsidR="00430AFA" w:rsidRPr="00536616" w:rsidRDefault="00430AFA" w:rsidP="00536616">
      <w:pPr>
        <w:spacing w:before="210" w:after="0" w:line="360" w:lineRule="auto"/>
        <w:jc w:val="center"/>
        <w:rPr>
          <w:rFonts w:ascii="Times New Roman" w:eastAsia="inter" w:hAnsi="Times New Roman" w:cs="Times New Roman"/>
          <w:b/>
          <w:color w:val="000000"/>
        </w:rPr>
      </w:pPr>
    </w:p>
    <w:p w14:paraId="3AC8179B" w14:textId="27A157BB" w:rsidR="00430AFA" w:rsidRPr="00536616" w:rsidRDefault="00430AFA" w:rsidP="00536616">
      <w:pPr>
        <w:spacing w:before="21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Problem Statement</w:t>
      </w:r>
    </w:p>
    <w:p w14:paraId="293E5E11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Primary Problems:</w:t>
      </w:r>
    </w:p>
    <w:p w14:paraId="58AB73F6" w14:textId="64ACFB62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Late sepsis detection</w:t>
      </w:r>
      <w:r w:rsidRPr="00536616">
        <w:rPr>
          <w:rFonts w:ascii="Times New Roman" w:eastAsia="inter" w:hAnsi="Times New Roman" w:cs="Times New Roman"/>
          <w:color w:val="000000"/>
        </w:rPr>
        <w:t xml:space="preserve"> - Traditional scoring systems achieve AUCs of only 0.17-0.73 compared to ML models achieving 0.87-0.99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Manual monitoring limitations</w:t>
      </w:r>
      <w:r w:rsidRPr="00536616">
        <w:rPr>
          <w:rFonts w:ascii="Times New Roman" w:eastAsia="inter" w:hAnsi="Times New Roman" w:cs="Times New Roman"/>
          <w:color w:val="000000"/>
        </w:rPr>
        <w:t xml:space="preserve"> - Vital signs monitored only every 4-8 hours postoperatively with no continuous surveillance after discharge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High false alarm rates</w:t>
      </w:r>
      <w:r w:rsidRPr="00536616">
        <w:rPr>
          <w:rFonts w:ascii="Times New Roman" w:eastAsia="inter" w:hAnsi="Times New Roman" w:cs="Times New Roman"/>
          <w:color w:val="000000"/>
        </w:rPr>
        <w:t xml:space="preserve"> - Existing sepsis alert systems suffer from alarm fatigue among clinicians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Limited interpretability</w:t>
      </w:r>
      <w:r w:rsidRPr="00536616">
        <w:rPr>
          <w:rFonts w:ascii="Times New Roman" w:eastAsia="inter" w:hAnsi="Times New Roman" w:cs="Times New Roman"/>
          <w:color w:val="000000"/>
        </w:rPr>
        <w:t xml:space="preserve"> - Current ML models lack clinical explainability for practical adoption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Fragmented care</w:t>
      </w:r>
      <w:r w:rsidRPr="00536616">
        <w:rPr>
          <w:rFonts w:ascii="Times New Roman" w:eastAsia="inter" w:hAnsi="Times New Roman" w:cs="Times New Roman"/>
          <w:color w:val="000000"/>
        </w:rPr>
        <w:t xml:space="preserve"> - No integrated system connecting sepsis prediction with postoperative health monitoring</w:t>
      </w:r>
    </w:p>
    <w:p w14:paraId="610E7A9D" w14:textId="77777777" w:rsidR="00536616" w:rsidRDefault="00536616" w:rsidP="00536616">
      <w:pPr>
        <w:spacing w:before="315" w:after="105" w:line="360" w:lineRule="auto"/>
        <w:ind w:left="-30"/>
        <w:rPr>
          <w:rFonts w:ascii="Times New Roman" w:eastAsia="inter" w:hAnsi="Times New Roman" w:cs="Times New Roman"/>
          <w:b/>
          <w:color w:val="000000"/>
        </w:rPr>
      </w:pPr>
    </w:p>
    <w:p w14:paraId="4BC102C2" w14:textId="77777777" w:rsidR="00536616" w:rsidRDefault="00536616" w:rsidP="00536616">
      <w:pPr>
        <w:spacing w:before="315" w:after="105" w:line="360" w:lineRule="auto"/>
        <w:ind w:left="-30"/>
        <w:rPr>
          <w:rFonts w:ascii="Times New Roman" w:eastAsia="inter" w:hAnsi="Times New Roman" w:cs="Times New Roman"/>
          <w:b/>
          <w:color w:val="000000"/>
        </w:rPr>
      </w:pPr>
    </w:p>
    <w:p w14:paraId="448C90A3" w14:textId="0382CB61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lastRenderedPageBreak/>
        <w:t>Clinical Impact:</w:t>
      </w:r>
    </w:p>
    <w:p w14:paraId="28942C48" w14:textId="5773913C" w:rsidR="00536616" w:rsidRDefault="00430AFA" w:rsidP="00536616">
      <w:pPr>
        <w:spacing w:after="210" w:line="360" w:lineRule="auto"/>
        <w:rPr>
          <w:rFonts w:ascii="Times New Roman" w:eastAsia="inter" w:hAnsi="Times New Roman" w:cs="Times New Roman"/>
          <w:color w:val="000000"/>
        </w:rPr>
      </w:pPr>
      <w:r w:rsidRPr="00536616">
        <w:rPr>
          <w:rFonts w:ascii="Times New Roman" w:eastAsia="inter" w:hAnsi="Times New Roman" w:cs="Times New Roman"/>
          <w:color w:val="000000"/>
        </w:rPr>
        <w:t>• Every hour of delayed sepsis treatment increases mortality risk by 4-9%</w:t>
      </w:r>
      <w:r w:rsidRPr="00536616">
        <w:rPr>
          <w:rFonts w:ascii="Times New Roman" w:eastAsia="inter" w:hAnsi="Times New Roman" w:cs="Times New Roman"/>
          <w:color w:val="000000"/>
        </w:rPr>
        <w:br/>
        <w:t>• Approximately 350,000 sepsis-related deaths annually in the US alone</w:t>
      </w:r>
      <w:r w:rsidRPr="00536616">
        <w:rPr>
          <w:rFonts w:ascii="Times New Roman" w:eastAsia="inter" w:hAnsi="Times New Roman" w:cs="Times New Roman"/>
          <w:color w:val="000000"/>
        </w:rPr>
        <w:br/>
        <w:t>• Substantial proportion of postoperative deaths occur after discharge</w:t>
      </w:r>
    </w:p>
    <w:p w14:paraId="44000A8B" w14:textId="77777777" w:rsidR="00536616" w:rsidRPr="00536616" w:rsidRDefault="00536616" w:rsidP="00536616">
      <w:pPr>
        <w:spacing w:after="210" w:line="360" w:lineRule="auto"/>
        <w:rPr>
          <w:rFonts w:ascii="Times New Roman" w:eastAsia="inter" w:hAnsi="Times New Roman" w:cs="Times New Roman"/>
          <w:color w:val="000000"/>
        </w:rPr>
      </w:pPr>
    </w:p>
    <w:p w14:paraId="1C892C85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Objectives</w:t>
      </w:r>
    </w:p>
    <w:p w14:paraId="557D9FBD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Primary Objective:</w:t>
      </w:r>
    </w:p>
    <w:p w14:paraId="4F66030E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Develop a scalable machine learning system for early sepsis prediction integrated with automated postoperative health monitoring</w:t>
      </w:r>
    </w:p>
    <w:p w14:paraId="1790116C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Specific Objectives:</w:t>
      </w:r>
    </w:p>
    <w:p w14:paraId="0CF90DD7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Early Detection</w:t>
      </w:r>
      <w:r w:rsidRPr="00536616">
        <w:rPr>
          <w:rFonts w:ascii="Times New Roman" w:eastAsia="inter" w:hAnsi="Times New Roman" w:cs="Times New Roman"/>
          <w:color w:val="000000"/>
        </w:rPr>
        <w:t>: Predict sepsis onset 6-48 hours before clinical manifestation with &gt;85% sensitivity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Real-time Monitoring</w:t>
      </w:r>
      <w:r w:rsidRPr="00536616">
        <w:rPr>
          <w:rFonts w:ascii="Times New Roman" w:eastAsia="inter" w:hAnsi="Times New Roman" w:cs="Times New Roman"/>
          <w:color w:val="000000"/>
        </w:rPr>
        <w:t>: Implement continuous postoperative vital sign tracking and automated reporting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Clinical Integration</w:t>
      </w:r>
      <w:r w:rsidRPr="00536616">
        <w:rPr>
          <w:rFonts w:ascii="Times New Roman" w:eastAsia="inter" w:hAnsi="Times New Roman" w:cs="Times New Roman"/>
          <w:color w:val="000000"/>
        </w:rPr>
        <w:t>: Create interpretable models using SHAP/LIME for clinical decision support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Scalability</w:t>
      </w:r>
      <w:r w:rsidRPr="00536616">
        <w:rPr>
          <w:rFonts w:ascii="Times New Roman" w:eastAsia="inter" w:hAnsi="Times New Roman" w:cs="Times New Roman"/>
          <w:color w:val="000000"/>
        </w:rPr>
        <w:t>: Design web-based platform capable of handling multiple healthcare facilities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Risk Stratification</w:t>
      </w:r>
      <w:r w:rsidRPr="00536616">
        <w:rPr>
          <w:rFonts w:ascii="Times New Roman" w:eastAsia="inter" w:hAnsi="Times New Roman" w:cs="Times New Roman"/>
          <w:color w:val="000000"/>
        </w:rPr>
        <w:t>: Identify high-risk surgical patients for targeted monitoring</w:t>
      </w:r>
    </w:p>
    <w:p w14:paraId="4994AE06" w14:textId="440CAB80" w:rsidR="00430AFA" w:rsidRPr="00536616" w:rsidRDefault="00430AFA" w:rsidP="00536616">
      <w:pPr>
        <w:spacing w:before="210" w:after="0" w:line="360" w:lineRule="auto"/>
        <w:rPr>
          <w:rFonts w:ascii="Times New Roman" w:hAnsi="Times New Roman" w:cs="Times New Roman"/>
        </w:rPr>
      </w:pPr>
    </w:p>
    <w:p w14:paraId="69BD58CE" w14:textId="2004D458" w:rsidR="00535B17" w:rsidRPr="00535B17" w:rsidRDefault="00430AFA" w:rsidP="00535B17">
      <w:pPr>
        <w:spacing w:before="315" w:after="105" w:line="360" w:lineRule="auto"/>
        <w:ind w:left="-30"/>
        <w:jc w:val="center"/>
        <w:rPr>
          <w:rFonts w:ascii="Times New Roman" w:eastAsia="inter" w:hAnsi="Times New Roman" w:cs="Times New Roman"/>
          <w:b/>
          <w:color w:val="000000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Engineering Systems, Tools and Key Parameters</w:t>
      </w:r>
    </w:p>
    <w:p w14:paraId="3D379E5F" w14:textId="77777777" w:rsidR="00536616" w:rsidRDefault="00430AFA" w:rsidP="00535B17">
      <w:pPr>
        <w:spacing w:before="240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Technology Stack (Revised):</w:t>
      </w:r>
    </w:p>
    <w:p w14:paraId="5778A255" w14:textId="58CFF6B0" w:rsidR="007A1E81" w:rsidRPr="00536616" w:rsidRDefault="007A1E81" w:rsidP="00536616">
      <w:pPr>
        <w:spacing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Frontend</w:t>
      </w:r>
    </w:p>
    <w:p w14:paraId="5A8EEA0C" w14:textId="0790404E" w:rsidR="007A1E81" w:rsidRPr="00536616" w:rsidRDefault="007A1E81" w:rsidP="00536616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Framework:</w:t>
      </w:r>
      <w:r w:rsidRPr="00536616">
        <w:rPr>
          <w:rFonts w:ascii="Times New Roman" w:eastAsia="inter" w:hAnsi="Times New Roman" w:cs="Times New Roman"/>
          <w:color w:val="000000"/>
        </w:rPr>
        <w:t xml:space="preserve"> React with TypeScript</w:t>
      </w:r>
      <w:r w:rsidRPr="00536616">
        <w:rPr>
          <w:rFonts w:ascii="Times New Roman" w:eastAsia="inter" w:hAnsi="Times New Roman" w:cs="Times New Roman"/>
          <w:color w:val="000000"/>
        </w:rPr>
        <w:br/>
        <w:t>Stable, widely used, excellent for scalable web apps</w:t>
      </w:r>
    </w:p>
    <w:p w14:paraId="37B5C0ED" w14:textId="6E75E401" w:rsidR="007A1E81" w:rsidRPr="00536616" w:rsidRDefault="007A1E81" w:rsidP="00536616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Data Visualization:</w:t>
      </w:r>
      <w:r w:rsidRPr="00536616">
        <w:rPr>
          <w:rFonts w:ascii="Times New Roman" w:eastAsia="inter" w:hAnsi="Times New Roman" w:cs="Times New Roman"/>
          <w:color w:val="000000"/>
        </w:rPr>
        <w:t xml:space="preserve"> D3.js or Chart.js</w:t>
      </w:r>
      <w:r w:rsidRPr="00536616">
        <w:rPr>
          <w:rFonts w:ascii="Times New Roman" w:eastAsia="inter" w:hAnsi="Times New Roman" w:cs="Times New Roman"/>
          <w:color w:val="000000"/>
        </w:rPr>
        <w:br/>
        <w:t>Powerful and flexible for clinical charts and dashboards</w:t>
      </w:r>
    </w:p>
    <w:p w14:paraId="4241C877" w14:textId="19D37938" w:rsidR="00536616" w:rsidRPr="00536616" w:rsidRDefault="007A1E81" w:rsidP="00536616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Progressive Web App (PWA)</w:t>
      </w:r>
      <w:r w:rsidR="00536616" w:rsidRPr="00536616">
        <w:rPr>
          <w:rFonts w:ascii="Times New Roman" w:eastAsia="inter" w:hAnsi="Times New Roman" w:cs="Times New Roman"/>
          <w:b/>
          <w:color w:val="000000"/>
        </w:rPr>
        <w:t xml:space="preserve"> </w:t>
      </w:r>
      <w:r w:rsidR="00536616">
        <w:rPr>
          <w:rFonts w:ascii="Times New Roman" w:eastAsia="inter" w:hAnsi="Times New Roman" w:cs="Times New Roman"/>
          <w:b/>
          <w:color w:val="000000"/>
        </w:rPr>
        <w:t>(optional)</w:t>
      </w:r>
      <w:r w:rsidRPr="00536616">
        <w:rPr>
          <w:rFonts w:ascii="Times New Roman" w:eastAsia="inter" w:hAnsi="Times New Roman" w:cs="Times New Roman"/>
          <w:b/>
          <w:color w:val="000000"/>
        </w:rPr>
        <w:t>:</w:t>
      </w:r>
      <w:r w:rsidRPr="00536616">
        <w:rPr>
          <w:rFonts w:ascii="Times New Roman" w:eastAsia="inter" w:hAnsi="Times New Roman" w:cs="Times New Roman"/>
          <w:color w:val="000000"/>
        </w:rPr>
        <w:t xml:space="preserve"> Service Workers for offline support</w:t>
      </w:r>
    </w:p>
    <w:p w14:paraId="5474C3D6" w14:textId="43FFAAA1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lastRenderedPageBreak/>
        <w:t>Backend</w:t>
      </w:r>
    </w:p>
    <w:p w14:paraId="1E89BF83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Framework:</w:t>
      </w:r>
      <w:r w:rsidRPr="00536616">
        <w:rPr>
          <w:rFonts w:ascii="Times New Roman" w:eastAsia="inter" w:hAnsi="Times New Roman" w:cs="Times New Roman"/>
          <w:color w:val="000000"/>
        </w:rPr>
        <w:t xml:space="preserve">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(Python)</w:t>
      </w:r>
      <w:r w:rsidRPr="00536616">
        <w:rPr>
          <w:rFonts w:ascii="Times New Roman" w:eastAsia="inter" w:hAnsi="Times New Roman" w:cs="Times New Roman"/>
          <w:color w:val="000000"/>
        </w:rPr>
        <w:br/>
        <w:t>Lightweight, fast, async-ready, ideal for ML model serving</w:t>
      </w:r>
    </w:p>
    <w:p w14:paraId="2584C51B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Model Training &amp; Serving:</w:t>
      </w:r>
    </w:p>
    <w:p w14:paraId="718A5F58" w14:textId="77777777" w:rsidR="007A1E81" w:rsidRPr="00536616" w:rsidRDefault="007A1E81" w:rsidP="00536616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536616">
        <w:rPr>
          <w:rFonts w:ascii="Times New Roman" w:eastAsia="inter" w:hAnsi="Times New Roman" w:cs="Times New Roman"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/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LightGBM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for model building (open source)</w:t>
      </w:r>
    </w:p>
    <w:p w14:paraId="64789832" w14:textId="77777777" w:rsidR="007A1E81" w:rsidRPr="00536616" w:rsidRDefault="007A1E81" w:rsidP="00536616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proofErr w:type="spellStart"/>
      <w:r w:rsidRPr="00536616">
        <w:rPr>
          <w:rFonts w:ascii="Times New Roman" w:eastAsia="inter" w:hAnsi="Times New Roman" w:cs="Times New Roman"/>
          <w:color w:val="000000"/>
        </w:rPr>
        <w:t>MLflow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for experiment tracking and model versioning (open source)</w:t>
      </w:r>
    </w:p>
    <w:p w14:paraId="01739F4B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Streaming:</w:t>
      </w:r>
      <w:r w:rsidRPr="00536616">
        <w:rPr>
          <w:rFonts w:ascii="Times New Roman" w:eastAsia="inter" w:hAnsi="Times New Roman" w:cs="Times New Roman"/>
          <w:color w:val="000000"/>
        </w:rPr>
        <w:t xml:space="preserve"> Apache Kafka or Redis Streams (self-hosted, open source) for real-time vital signs ingestion</w:t>
      </w:r>
    </w:p>
    <w:p w14:paraId="4BB2ADA7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Caching:</w:t>
      </w:r>
      <w:r w:rsidRPr="00536616">
        <w:rPr>
          <w:rFonts w:ascii="Times New Roman" w:eastAsia="inter" w:hAnsi="Times New Roman" w:cs="Times New Roman"/>
          <w:color w:val="000000"/>
        </w:rPr>
        <w:t xml:space="preserve"> Redis (open source)</w:t>
      </w:r>
    </w:p>
    <w:p w14:paraId="20BCBC5C" w14:textId="77777777" w:rsidR="007A1E81" w:rsidRPr="00536616" w:rsidRDefault="007A1E81" w:rsidP="00536616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Authentication &amp; Security:</w:t>
      </w:r>
      <w:r w:rsidRPr="00536616">
        <w:rPr>
          <w:rFonts w:ascii="Times New Roman" w:eastAsia="inter" w:hAnsi="Times New Roman" w:cs="Times New Roman"/>
          <w:color w:val="000000"/>
        </w:rPr>
        <w:t xml:space="preserve"> OAuth 2.0 with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FastAPI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Security utilities</w:t>
      </w:r>
    </w:p>
    <w:p w14:paraId="0392C874" w14:textId="77777777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Databases</w:t>
      </w:r>
    </w:p>
    <w:p w14:paraId="3120B201" w14:textId="77777777" w:rsidR="007A1E81" w:rsidRPr="00536616" w:rsidRDefault="007A1E81" w:rsidP="00536616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Relational DB:</w:t>
      </w:r>
      <w:r w:rsidRPr="00536616">
        <w:rPr>
          <w:rFonts w:ascii="Times New Roman" w:eastAsia="inter" w:hAnsi="Times New Roman" w:cs="Times New Roman"/>
          <w:color w:val="000000"/>
        </w:rPr>
        <w:t xml:space="preserve"> PostgreSQL (open source) for structured clinical data</w:t>
      </w:r>
    </w:p>
    <w:p w14:paraId="4E599C1E" w14:textId="698AF57A" w:rsidR="007A1E81" w:rsidRPr="00536616" w:rsidRDefault="007A1E81" w:rsidP="00536616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Time-series DB:</w:t>
      </w:r>
      <w:r w:rsidRPr="00536616">
        <w:rPr>
          <w:rFonts w:ascii="Times New Roman" w:eastAsia="inter" w:hAnsi="Times New Roman" w:cs="Times New Roman"/>
          <w:color w:val="000000"/>
        </w:rPr>
        <w:t xml:space="preserve">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InfluxDB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(open source) for continuous vital signs data</w:t>
      </w:r>
    </w:p>
    <w:p w14:paraId="5EC6F6E0" w14:textId="77777777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Cloud &amp; Deployment</w:t>
      </w:r>
    </w:p>
    <w:p w14:paraId="11F9D043" w14:textId="56A893B3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Containerization:</w:t>
      </w:r>
      <w:r w:rsidRPr="00536616">
        <w:rPr>
          <w:rFonts w:ascii="Times New Roman" w:eastAsia="inter" w:hAnsi="Times New Roman" w:cs="Times New Roman"/>
          <w:color w:val="000000"/>
        </w:rPr>
        <w:t xml:space="preserve"> Docker</w:t>
      </w:r>
    </w:p>
    <w:p w14:paraId="37B7487F" w14:textId="7256C3F8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Orchestration:</w:t>
      </w:r>
      <w:r w:rsidRPr="00536616">
        <w:rPr>
          <w:rFonts w:ascii="Times New Roman" w:eastAsia="inter" w:hAnsi="Times New Roman" w:cs="Times New Roman"/>
          <w:color w:val="000000"/>
        </w:rPr>
        <w:t xml:space="preserve"> Kubernetes</w:t>
      </w:r>
    </w:p>
    <w:p w14:paraId="0D6505C8" w14:textId="0BADAD3E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Cloud Providers:</w:t>
      </w:r>
    </w:p>
    <w:p w14:paraId="779B94BB" w14:textId="3026C665" w:rsidR="007A1E81" w:rsidRPr="00536616" w:rsidRDefault="007A1E81" w:rsidP="00536616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AWS</w:t>
      </w:r>
    </w:p>
    <w:p w14:paraId="26A5CA4A" w14:textId="3FAD2A9F" w:rsidR="007A1E81" w:rsidRPr="00536616" w:rsidRDefault="007A1E81" w:rsidP="00536616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Google Cloud Platform</w:t>
      </w:r>
    </w:p>
    <w:p w14:paraId="414E3234" w14:textId="7148DAEB" w:rsidR="007A1E81" w:rsidRPr="00536616" w:rsidRDefault="007A1E81" w:rsidP="00536616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>Microsoft Azure</w:t>
      </w:r>
    </w:p>
    <w:p w14:paraId="6FE8CD01" w14:textId="13035C50" w:rsidR="007A1E81" w:rsidRPr="00536616" w:rsidRDefault="007A1E81" w:rsidP="00536616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Monitoring:</w:t>
      </w:r>
      <w:r w:rsidRPr="00536616">
        <w:rPr>
          <w:rFonts w:ascii="Times New Roman" w:eastAsia="inter" w:hAnsi="Times New Roman" w:cs="Times New Roman"/>
          <w:color w:val="000000"/>
        </w:rPr>
        <w:t xml:space="preserve"> Prometheus + Grafana (self-hosted)</w:t>
      </w:r>
    </w:p>
    <w:p w14:paraId="510D9094" w14:textId="77777777" w:rsidR="007A1E81" w:rsidRPr="00536616" w:rsidRDefault="007A1E81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Development Tools</w:t>
      </w:r>
    </w:p>
    <w:p w14:paraId="1070694A" w14:textId="77777777" w:rsidR="007A1E81" w:rsidRPr="00536616" w:rsidRDefault="007A1E81" w:rsidP="0053661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ETL &amp; Workflow:</w:t>
      </w:r>
      <w:r w:rsidRPr="00536616">
        <w:rPr>
          <w:rFonts w:ascii="Times New Roman" w:eastAsia="inter" w:hAnsi="Times New Roman" w:cs="Times New Roman"/>
          <w:color w:val="000000"/>
        </w:rPr>
        <w:t xml:space="preserve"> Apache Airflow (open source)</w:t>
      </w:r>
    </w:p>
    <w:p w14:paraId="43840876" w14:textId="47183F92" w:rsidR="007A1E81" w:rsidRPr="00536616" w:rsidRDefault="007A1E81" w:rsidP="0053661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Version Control:</w:t>
      </w:r>
      <w:r w:rsidRPr="00536616">
        <w:rPr>
          <w:rFonts w:ascii="Times New Roman" w:eastAsia="inter" w:hAnsi="Times New Roman" w:cs="Times New Roman"/>
          <w:color w:val="000000"/>
        </w:rPr>
        <w:t xml:space="preserve"> Git and GitHub</w:t>
      </w:r>
    </w:p>
    <w:p w14:paraId="12F09E07" w14:textId="6D453328" w:rsidR="00536616" w:rsidRPr="00536616" w:rsidRDefault="007A1E81" w:rsidP="00536616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API Gateway (optional):</w:t>
      </w:r>
      <w:r w:rsidRPr="00536616">
        <w:rPr>
          <w:rFonts w:ascii="Times New Roman" w:eastAsia="inter" w:hAnsi="Times New Roman" w:cs="Times New Roman"/>
          <w:color w:val="000000"/>
        </w:rPr>
        <w:t xml:space="preserve"> Kong (open source) or cloud-native gateways within free tiers</w:t>
      </w:r>
    </w:p>
    <w:p w14:paraId="210A1718" w14:textId="3E105098" w:rsidR="00430AFA" w:rsidRPr="00536616" w:rsidRDefault="00430AFA" w:rsidP="00536616">
      <w:pPr>
        <w:spacing w:before="105" w:after="105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lastRenderedPageBreak/>
        <w:t>Key Clinical Parameters:</w:t>
      </w:r>
    </w:p>
    <w:p w14:paraId="1B24C3D2" w14:textId="4A774E02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Sepsis Prediction Features:</w:t>
      </w:r>
      <w:r w:rsidRPr="00536616">
        <w:rPr>
          <w:rFonts w:ascii="Times New Roman" w:eastAsia="inter" w:hAnsi="Times New Roman" w:cs="Times New Roman"/>
          <w:color w:val="000000"/>
        </w:rPr>
        <w:br/>
        <w:t>• Vital signs: Heart rate, blood pressure, temperature, respiratory rate, oxygen saturation</w:t>
      </w:r>
      <w:r w:rsidRPr="00536616">
        <w:rPr>
          <w:rFonts w:ascii="Times New Roman" w:eastAsia="inter" w:hAnsi="Times New Roman" w:cs="Times New Roman"/>
          <w:color w:val="000000"/>
        </w:rPr>
        <w:br/>
        <w:t>• Laboratory values: Lactate, white blood cell count, prothrombin time, creatinine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Clinical scores: SOFA,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components</w:t>
      </w:r>
      <w:r w:rsidRPr="00536616">
        <w:rPr>
          <w:rFonts w:ascii="Times New Roman" w:eastAsia="inter" w:hAnsi="Times New Roman" w:cs="Times New Roman"/>
          <w:color w:val="000000"/>
        </w:rPr>
        <w:br/>
        <w:t>• Demographics: Age, gender, comorbidities</w:t>
      </w:r>
    </w:p>
    <w:p w14:paraId="6C79096E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Postoperative Monitoring:</w:t>
      </w:r>
      <w:r w:rsidRPr="00536616">
        <w:rPr>
          <w:rFonts w:ascii="Times New Roman" w:eastAsia="inter" w:hAnsi="Times New Roman" w:cs="Times New Roman"/>
          <w:color w:val="000000"/>
        </w:rPr>
        <w:br/>
        <w:t>• Wound healing indicators</w:t>
      </w:r>
      <w:r w:rsidRPr="00536616">
        <w:rPr>
          <w:rFonts w:ascii="Times New Roman" w:eastAsia="inter" w:hAnsi="Times New Roman" w:cs="Times New Roman"/>
          <w:color w:val="000000"/>
        </w:rPr>
        <w:br/>
        <w:t>• Pain assessment scores</w:t>
      </w:r>
      <w:r w:rsidRPr="00536616">
        <w:rPr>
          <w:rFonts w:ascii="Times New Roman" w:eastAsia="inter" w:hAnsi="Times New Roman" w:cs="Times New Roman"/>
          <w:color w:val="000000"/>
        </w:rPr>
        <w:br/>
        <w:t>• Functional status measures</w:t>
      </w:r>
      <w:r w:rsidRPr="00536616">
        <w:rPr>
          <w:rFonts w:ascii="Times New Roman" w:eastAsia="inter" w:hAnsi="Times New Roman" w:cs="Times New Roman"/>
          <w:color w:val="000000"/>
        </w:rPr>
        <w:br/>
        <w:t>• Medication adherence tracking</w:t>
      </w:r>
      <w:r w:rsidRPr="00536616">
        <w:rPr>
          <w:rFonts w:ascii="Times New Roman" w:eastAsia="inter" w:hAnsi="Times New Roman" w:cs="Times New Roman"/>
          <w:color w:val="000000"/>
        </w:rPr>
        <w:br/>
        <w:t>• Early warning signs of complications</w:t>
      </w:r>
    </w:p>
    <w:p w14:paraId="7A6BBF5D" w14:textId="03F6DD94" w:rsidR="00430AFA" w:rsidRPr="00536616" w:rsidRDefault="00430AFA" w:rsidP="00536616">
      <w:pPr>
        <w:spacing w:before="210" w:after="0" w:line="360" w:lineRule="auto"/>
        <w:rPr>
          <w:rFonts w:ascii="Times New Roman" w:hAnsi="Times New Roman" w:cs="Times New Roman"/>
        </w:rPr>
      </w:pPr>
    </w:p>
    <w:p w14:paraId="12993D1D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Existing Methods</w:t>
      </w:r>
    </w:p>
    <w:p w14:paraId="1BCA2B6C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Traditional Sepsis Detection:</w:t>
      </w:r>
    </w:p>
    <w:p w14:paraId="35F09651" w14:textId="4D66F4DB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proofErr w:type="spellStart"/>
      <w:r w:rsidRPr="00536616">
        <w:rPr>
          <w:rFonts w:ascii="Times New Roman" w:eastAsia="inter" w:hAnsi="Times New Roman" w:cs="Times New Roman"/>
          <w:b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b/>
          <w:color w:val="000000"/>
        </w:rPr>
        <w:t xml:space="preserve"> Score</w:t>
      </w:r>
      <w:r w:rsidRPr="00536616">
        <w:rPr>
          <w:rFonts w:ascii="Times New Roman" w:eastAsia="inter" w:hAnsi="Times New Roman" w:cs="Times New Roman"/>
          <w:color w:val="000000"/>
        </w:rPr>
        <w:t>: AUC 0.76, limited sensitivity for early detection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SOFA Score</w:t>
      </w:r>
      <w:r w:rsidRPr="00536616">
        <w:rPr>
          <w:rFonts w:ascii="Times New Roman" w:eastAsia="inter" w:hAnsi="Times New Roman" w:cs="Times New Roman"/>
          <w:color w:val="000000"/>
        </w:rPr>
        <w:t>: AUC 0.17-0.73, requires ICU-level monitoring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SIRS Criteria</w:t>
      </w:r>
      <w:r w:rsidRPr="00536616">
        <w:rPr>
          <w:rFonts w:ascii="Times New Roman" w:eastAsia="inter" w:hAnsi="Times New Roman" w:cs="Times New Roman"/>
          <w:color w:val="000000"/>
        </w:rPr>
        <w:t>: High false positive rates, poor specificity</w:t>
      </w:r>
    </w:p>
    <w:p w14:paraId="69C37139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Current ML Approaches:</w:t>
      </w:r>
    </w:p>
    <w:p w14:paraId="09DB82B5" w14:textId="6EF61AF3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proofErr w:type="spellStart"/>
      <w:r w:rsidRPr="00536616">
        <w:rPr>
          <w:rFonts w:ascii="Times New Roman" w:eastAsia="inter" w:hAnsi="Times New Roman" w:cs="Times New Roman"/>
          <w:b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b/>
          <w:color w:val="000000"/>
        </w:rPr>
        <w:t xml:space="preserve"> Models</w:t>
      </w:r>
      <w:r w:rsidRPr="00536616">
        <w:rPr>
          <w:rFonts w:ascii="Times New Roman" w:eastAsia="inter" w:hAnsi="Times New Roman" w:cs="Times New Roman"/>
          <w:color w:val="000000"/>
        </w:rPr>
        <w:t>: Achieving AUCs 0.82-0.91 across multiple studies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Deep Learning</w:t>
      </w:r>
      <w:r w:rsidRPr="00536616">
        <w:rPr>
          <w:rFonts w:ascii="Times New Roman" w:eastAsia="inter" w:hAnsi="Times New Roman" w:cs="Times New Roman"/>
          <w:color w:val="000000"/>
        </w:rPr>
        <w:t>: LSTM networks with AUCs 0.94-0.99 but limited interpretability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Random Forest</w:t>
      </w:r>
      <w:r w:rsidRPr="00536616">
        <w:rPr>
          <w:rFonts w:ascii="Times New Roman" w:eastAsia="inter" w:hAnsi="Times New Roman" w:cs="Times New Roman"/>
          <w:color w:val="000000"/>
        </w:rPr>
        <w:t>: Consistent performance with AUC 0.87, good feature importance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Gradient Boosting</w:t>
      </w:r>
      <w:r w:rsidRPr="00536616">
        <w:rPr>
          <w:rFonts w:ascii="Times New Roman" w:eastAsia="inter" w:hAnsi="Times New Roman" w:cs="Times New Roman"/>
          <w:color w:val="000000"/>
        </w:rPr>
        <w:t>: Strong performance in MIMIC-IV studies with AUCs 0.83-0.91</w:t>
      </w:r>
    </w:p>
    <w:p w14:paraId="45321BEA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Postoperative Monitoring Systems:</w:t>
      </w:r>
    </w:p>
    <w:p w14:paraId="11D391C5" w14:textId="5DF87FC9" w:rsidR="00430AFA" w:rsidRPr="00536616" w:rsidRDefault="00430AFA" w:rsidP="00E16FB0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Manual Vital Signs</w:t>
      </w:r>
      <w:r w:rsidRPr="00536616">
        <w:rPr>
          <w:rFonts w:ascii="Times New Roman" w:eastAsia="inter" w:hAnsi="Times New Roman" w:cs="Times New Roman"/>
          <w:color w:val="000000"/>
        </w:rPr>
        <w:t>: Every 4-8 hours, prone to human error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Remote Patient Monitoring</w:t>
      </w:r>
      <w:r w:rsidRPr="00536616">
        <w:rPr>
          <w:rFonts w:ascii="Times New Roman" w:eastAsia="inter" w:hAnsi="Times New Roman" w:cs="Times New Roman"/>
          <w:color w:val="000000"/>
        </w:rPr>
        <w:t>: Limited adoption, mixed results in reducing readmissions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Wearable Devices</w:t>
      </w:r>
      <w:r w:rsidRPr="00536616">
        <w:rPr>
          <w:rFonts w:ascii="Times New Roman" w:eastAsia="inter" w:hAnsi="Times New Roman" w:cs="Times New Roman"/>
          <w:color w:val="000000"/>
        </w:rPr>
        <w:t>: Emerging technology with promising results for continuous monitoring</w:t>
      </w:r>
    </w:p>
    <w:p w14:paraId="7C8BFD7E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Comparative Analysis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63"/>
        <w:gridCol w:w="2640"/>
        <w:gridCol w:w="3271"/>
        <w:gridCol w:w="1546"/>
      </w:tblGrid>
      <w:tr w:rsidR="00535B17" w:rsidRPr="00536616" w14:paraId="169E1F1C" w14:textId="77777777" w:rsidTr="00535B17">
        <w:trPr>
          <w:cantSplit/>
          <w:trHeight w:val="46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188BD31" w14:textId="77777777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Approach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5CEC25E" w14:textId="77777777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Advantages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8034127" w14:textId="77777777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Disadvantages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4" w:space="0" w:color="auto"/>
            </w:tcBorders>
          </w:tcPr>
          <w:p w14:paraId="6FE74710" w14:textId="51CFAEA8" w:rsidR="00430AFA" w:rsidRPr="00535B17" w:rsidRDefault="00430AFA" w:rsidP="0053661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AUC</w:t>
            </w:r>
            <w:r w:rsidR="00535B17"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 xml:space="preserve"> </w:t>
            </w:r>
            <w:r w:rsidRPr="00535B17">
              <w:rPr>
                <w:rFonts w:ascii="Times New Roman" w:eastAsia="inter" w:hAnsi="Times New Roman" w:cs="Times New Roman"/>
                <w:b/>
                <w:bCs/>
                <w:color w:val="000000"/>
                <w:sz w:val="17"/>
              </w:rPr>
              <w:t>Performance</w:t>
            </w:r>
          </w:p>
        </w:tc>
      </w:tr>
      <w:tr w:rsidR="00535B17" w:rsidRPr="00536616" w14:paraId="370DCF12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C3709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Traditional Scoring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782126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Established clinical use, Simple calculation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C7037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Poor sensitivity, Late detection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89DDC7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0.17-0.76</w:t>
            </w:r>
          </w:p>
        </w:tc>
      </w:tr>
      <w:tr w:rsidR="00535B17" w:rsidRPr="00536616" w14:paraId="297C1903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DACB9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Machine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7FE1D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High accuracy, Early prediction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8C6E42" w14:textId="79E3EFF2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Requires validation, Black box models</w:t>
            </w:r>
            <w:r w:rsidR="00E16FB0">
              <w:rPr>
                <w:rFonts w:ascii="Times New Roman" w:eastAsia="inter" w:hAnsi="Times New Roman" w:cs="Times New Roman"/>
                <w:color w:val="000000"/>
                <w:sz w:val="17"/>
              </w:rPr>
              <w:t>(SHAP/LIME)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6EBE01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0.87-0.99</w:t>
            </w:r>
          </w:p>
        </w:tc>
      </w:tr>
      <w:tr w:rsidR="00535B17" w:rsidRPr="00536616" w14:paraId="4E992B66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D84A41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Deep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56200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Excellent performance, Pattern recognition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D714B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Limited interpretability, High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E0152D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0.94-0.99</w:t>
            </w:r>
          </w:p>
        </w:tc>
      </w:tr>
      <w:tr w:rsidR="00535B17" w:rsidRPr="00536616" w14:paraId="2C550FA9" w14:textId="77777777" w:rsidTr="00F35BB5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22CFE7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b/>
                <w:color w:val="000000"/>
                <w:sz w:val="17"/>
              </w:rPr>
              <w:t>Hybrid Approach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EC7AF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Combines accuracy with interpretability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F343B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Implementation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D382FD" w14:textId="77777777" w:rsidR="00430AFA" w:rsidRPr="00536616" w:rsidRDefault="00430AFA" w:rsidP="0053661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6616">
              <w:rPr>
                <w:rFonts w:ascii="Times New Roman" w:eastAsia="inter" w:hAnsi="Times New Roman" w:cs="Times New Roman"/>
                <w:color w:val="000000"/>
                <w:sz w:val="17"/>
              </w:rPr>
              <w:t>0.85-0.95</w:t>
            </w:r>
          </w:p>
        </w:tc>
      </w:tr>
    </w:tbl>
    <w:p w14:paraId="564681A9" w14:textId="77777777" w:rsidR="00430AFA" w:rsidRPr="00536616" w:rsidRDefault="00430AFA" w:rsidP="00536616">
      <w:pPr>
        <w:spacing w:line="360" w:lineRule="auto"/>
        <w:rPr>
          <w:rFonts w:ascii="Times New Roman" w:hAnsi="Times New Roman" w:cs="Times New Roman"/>
        </w:rPr>
      </w:pPr>
    </w:p>
    <w:p w14:paraId="69E9243B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Performance Comparison from Literature:</w:t>
      </w:r>
    </w:p>
    <w:p w14:paraId="301FE498" w14:textId="78815FD6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LGBM (Lin et al.)</w:t>
      </w:r>
      <w:r w:rsidRPr="00536616">
        <w:rPr>
          <w:rFonts w:ascii="Times New Roman" w:eastAsia="inter" w:hAnsi="Times New Roman" w:cs="Times New Roman"/>
          <w:color w:val="000000"/>
        </w:rPr>
        <w:t>: AUC 0.90 using CBC data only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Random Forest (Zhou et al.)</w:t>
      </w:r>
      <w:r w:rsidRPr="00536616">
        <w:rPr>
          <w:rFonts w:ascii="Times New Roman" w:eastAsia="inter" w:hAnsi="Times New Roman" w:cs="Times New Roman"/>
          <w:color w:val="000000"/>
        </w:rPr>
        <w:t>: AUC 0.87 with balanced datasets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proofErr w:type="spellStart"/>
      <w:r w:rsidRPr="00536616">
        <w:rPr>
          <w:rFonts w:ascii="Times New Roman" w:eastAsia="inter" w:hAnsi="Times New Roman" w:cs="Times New Roman"/>
          <w:b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b/>
          <w:color w:val="000000"/>
        </w:rPr>
        <w:t xml:space="preserve"> (Multiple studies)</w:t>
      </w:r>
      <w:r w:rsidRPr="00536616">
        <w:rPr>
          <w:rFonts w:ascii="Times New Roman" w:eastAsia="inter" w:hAnsi="Times New Roman" w:cs="Times New Roman"/>
          <w:color w:val="000000"/>
        </w:rPr>
        <w:t>: Consistent AUCs 0.82-0.91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Traditional Scores</w:t>
      </w:r>
      <w:r w:rsidRPr="00536616">
        <w:rPr>
          <w:rFonts w:ascii="Times New Roman" w:eastAsia="inter" w:hAnsi="Times New Roman" w:cs="Times New Roman"/>
          <w:color w:val="000000"/>
        </w:rPr>
        <w:t xml:space="preserve">: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(0.76), SOFA (0.73) significantly lower</w:t>
      </w:r>
    </w:p>
    <w:p w14:paraId="52916A0B" w14:textId="77777777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Recommended Solution</w:t>
      </w:r>
      <w:r w:rsidRPr="00536616">
        <w:rPr>
          <w:rFonts w:ascii="Times New Roman" w:eastAsia="inter" w:hAnsi="Times New Roman" w:cs="Times New Roman"/>
          <w:color w:val="000000"/>
        </w:rPr>
        <w:t xml:space="preserve">: Hybrid ML approach using </w:t>
      </w:r>
      <w:proofErr w:type="spellStart"/>
      <w:r w:rsidRPr="00536616">
        <w:rPr>
          <w:rFonts w:ascii="Times New Roman" w:eastAsia="inter" w:hAnsi="Times New Roman" w:cs="Times New Roman"/>
          <w:color w:val="000000"/>
        </w:rPr>
        <w:t>XGBoost</w:t>
      </w:r>
      <w:proofErr w:type="spellEnd"/>
      <w:r w:rsidRPr="00536616">
        <w:rPr>
          <w:rFonts w:ascii="Times New Roman" w:eastAsia="inter" w:hAnsi="Times New Roman" w:cs="Times New Roman"/>
          <w:color w:val="000000"/>
        </w:rPr>
        <w:t xml:space="preserve"> with SHAP interpretability, achieving optimal balance between performance and clinical usability.</w:t>
      </w:r>
    </w:p>
    <w:p w14:paraId="2F9E0522" w14:textId="146CE8DC" w:rsidR="00430AFA" w:rsidRPr="00536616" w:rsidRDefault="00430AFA" w:rsidP="00536616">
      <w:pPr>
        <w:spacing w:before="210" w:after="0" w:line="360" w:lineRule="auto"/>
        <w:rPr>
          <w:rFonts w:ascii="Times New Roman" w:hAnsi="Times New Roman" w:cs="Times New Roman"/>
        </w:rPr>
      </w:pPr>
    </w:p>
    <w:p w14:paraId="5C37BAB9" w14:textId="77777777" w:rsidR="00430AFA" w:rsidRPr="00536616" w:rsidRDefault="00430AFA" w:rsidP="00536616">
      <w:pPr>
        <w:spacing w:before="315" w:after="105" w:line="360" w:lineRule="auto"/>
        <w:ind w:left="-30"/>
        <w:jc w:val="center"/>
        <w:rPr>
          <w:rFonts w:ascii="Times New Roman" w:hAnsi="Times New Roman" w:cs="Times New Roman"/>
          <w:sz w:val="28"/>
          <w:szCs w:val="28"/>
        </w:rPr>
      </w:pPr>
      <w:r w:rsidRPr="00536616">
        <w:rPr>
          <w:rFonts w:ascii="Times New Roman" w:eastAsia="inter" w:hAnsi="Times New Roman" w:cs="Times New Roman"/>
          <w:b/>
          <w:color w:val="000000"/>
          <w:sz w:val="28"/>
          <w:szCs w:val="28"/>
        </w:rPr>
        <w:t>Future Trends</w:t>
      </w:r>
    </w:p>
    <w:p w14:paraId="61032F16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Emerging Technologies:</w:t>
      </w:r>
    </w:p>
    <w:p w14:paraId="52323DB3" w14:textId="55CED28A" w:rsidR="00430AFA" w:rsidRPr="00536616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Federated Learning</w:t>
      </w:r>
      <w:r w:rsidRPr="00536616">
        <w:rPr>
          <w:rFonts w:ascii="Times New Roman" w:eastAsia="inter" w:hAnsi="Times New Roman" w:cs="Times New Roman"/>
          <w:color w:val="000000"/>
        </w:rPr>
        <w:t>: Multi-hospital model training while preserving privacy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Edge Computing</w:t>
      </w:r>
      <w:r w:rsidRPr="00536616">
        <w:rPr>
          <w:rFonts w:ascii="Times New Roman" w:eastAsia="inter" w:hAnsi="Times New Roman" w:cs="Times New Roman"/>
          <w:color w:val="000000"/>
        </w:rPr>
        <w:t>: Real-time inference on wearable devices for immediate alerts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Multimodal Integration</w:t>
      </w:r>
      <w:r w:rsidRPr="00536616">
        <w:rPr>
          <w:rFonts w:ascii="Times New Roman" w:eastAsia="inter" w:hAnsi="Times New Roman" w:cs="Times New Roman"/>
          <w:color w:val="000000"/>
        </w:rPr>
        <w:t>: Combining clinical notes, imaging, and sensor data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Conformal Prediction</w:t>
      </w:r>
      <w:r w:rsidRPr="00536616">
        <w:rPr>
          <w:rFonts w:ascii="Times New Roman" w:eastAsia="inter" w:hAnsi="Times New Roman" w:cs="Times New Roman"/>
          <w:color w:val="000000"/>
        </w:rPr>
        <w:t>: Uncertainty quantification for safer clinical deployment</w:t>
      </w:r>
    </w:p>
    <w:p w14:paraId="6C75ECA4" w14:textId="77777777" w:rsidR="00430AFA" w:rsidRPr="00536616" w:rsidRDefault="00430AFA" w:rsidP="00536616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b/>
          <w:color w:val="000000"/>
        </w:rPr>
        <w:t>Clinical Integration:</w:t>
      </w:r>
    </w:p>
    <w:p w14:paraId="7470E56B" w14:textId="2A1E3AC0" w:rsidR="00535B17" w:rsidRDefault="00430AFA" w:rsidP="00536616">
      <w:pPr>
        <w:spacing w:after="210" w:line="360" w:lineRule="auto"/>
        <w:rPr>
          <w:rFonts w:ascii="Times New Roman" w:hAnsi="Times New Roman" w:cs="Times New Roman"/>
        </w:rPr>
      </w:pPr>
      <w:r w:rsidRPr="00536616">
        <w:rPr>
          <w:rFonts w:ascii="Times New Roman" w:eastAsia="inter" w:hAnsi="Times New Roman" w:cs="Times New Roman"/>
          <w:color w:val="000000"/>
        </w:rPr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EHR Integration</w:t>
      </w:r>
      <w:r w:rsidRPr="00536616">
        <w:rPr>
          <w:rFonts w:ascii="Times New Roman" w:eastAsia="inter" w:hAnsi="Times New Roman" w:cs="Times New Roman"/>
          <w:color w:val="000000"/>
        </w:rPr>
        <w:t>: Seamless integration with existing hospital information systems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Mobile Applications</w:t>
      </w:r>
      <w:r w:rsidRPr="00536616">
        <w:rPr>
          <w:rFonts w:ascii="Times New Roman" w:eastAsia="inter" w:hAnsi="Times New Roman" w:cs="Times New Roman"/>
          <w:color w:val="000000"/>
        </w:rPr>
        <w:t>: Point-of-care decision support on smartphones and tablets</w:t>
      </w:r>
      <w:r w:rsidRPr="00536616">
        <w:rPr>
          <w:rFonts w:ascii="Times New Roman" w:eastAsia="inter" w:hAnsi="Times New Roman" w:cs="Times New Roman"/>
          <w:color w:val="000000"/>
        </w:rPr>
        <w:br/>
      </w:r>
      <w:r w:rsidRPr="00536616">
        <w:rPr>
          <w:rFonts w:ascii="Times New Roman" w:eastAsia="inter" w:hAnsi="Times New Roman" w:cs="Times New Roman"/>
          <w:color w:val="000000"/>
        </w:rPr>
        <w:lastRenderedPageBreak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Regulatory Compliance</w:t>
      </w:r>
      <w:r w:rsidRPr="00536616">
        <w:rPr>
          <w:rFonts w:ascii="Times New Roman" w:eastAsia="inter" w:hAnsi="Times New Roman" w:cs="Times New Roman"/>
          <w:color w:val="000000"/>
        </w:rPr>
        <w:t>: FDA approval pathways for AI-based medical devices</w:t>
      </w:r>
      <w:r w:rsidRPr="00536616">
        <w:rPr>
          <w:rFonts w:ascii="Times New Roman" w:eastAsia="inter" w:hAnsi="Times New Roman" w:cs="Times New Roman"/>
          <w:color w:val="000000"/>
        </w:rPr>
        <w:br/>
        <w:t xml:space="preserve">• </w:t>
      </w:r>
      <w:r w:rsidRPr="00536616">
        <w:rPr>
          <w:rFonts w:ascii="Times New Roman" w:eastAsia="inter" w:hAnsi="Times New Roman" w:cs="Times New Roman"/>
          <w:b/>
          <w:color w:val="000000"/>
        </w:rPr>
        <w:t>Continuous Learning</w:t>
      </w:r>
      <w:r w:rsidRPr="00536616">
        <w:rPr>
          <w:rFonts w:ascii="Times New Roman" w:eastAsia="inter" w:hAnsi="Times New Roman" w:cs="Times New Roman"/>
          <w:color w:val="000000"/>
        </w:rPr>
        <w:t>: Models that adapt and improve with new clinical data</w:t>
      </w:r>
    </w:p>
    <w:p w14:paraId="4C16E5CF" w14:textId="77777777" w:rsidR="00535B17" w:rsidRPr="00535B17" w:rsidRDefault="00535B17" w:rsidP="00536616">
      <w:pPr>
        <w:spacing w:after="210" w:line="360" w:lineRule="auto"/>
        <w:rPr>
          <w:rFonts w:ascii="Times New Roman" w:hAnsi="Times New Roman" w:cs="Times New Roman"/>
        </w:rPr>
      </w:pPr>
    </w:p>
    <w:p w14:paraId="33CA9464" w14:textId="68F06E10" w:rsidR="00535B17" w:rsidRDefault="00535B17" w:rsidP="00535B17">
      <w:pPr>
        <w:spacing w:after="210" w:line="360" w:lineRule="auto"/>
        <w:jc w:val="center"/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35B17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Refrences</w:t>
      </w:r>
      <w:proofErr w:type="spellEnd"/>
    </w:p>
    <w:p w14:paraId="2CD754E5" w14:textId="77777777" w:rsidR="00535B17" w:rsidRPr="00535B17" w:rsidRDefault="00535B17" w:rsidP="00535B17">
      <w:pPr>
        <w:numPr>
          <w:ilvl w:val="0"/>
          <w:numId w:val="6"/>
        </w:numPr>
        <w:spacing w:before="240"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Lin et al. (2025) - Light Gradient Boosting Machine (LGBM) achieving AUC 0.90 using CBC data</w:t>
      </w:r>
      <w:r w:rsidRPr="00535B17">
        <w:rPr>
          <w:rFonts w:ascii="Times New Roman" w:eastAsia="inter" w:hAnsi="Times New Roman" w:cs="Times New Roman"/>
          <w:color w:val="000000"/>
        </w:rPr>
        <w:br/>
        <w:t>Paper: Journal of Medical Internet Research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6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5BE099F9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Zhou et al. (2024) - Random Forest model with AUC 0.87 on balanced datasets</w:t>
      </w:r>
      <w:r w:rsidRPr="00535B17">
        <w:rPr>
          <w:rFonts w:ascii="Times New Roman" w:eastAsia="inter" w:hAnsi="Times New Roman" w:cs="Times New Roman"/>
          <w:color w:val="000000"/>
        </w:rPr>
        <w:br/>
        <w:t>Paper: Preventive Medicine Reports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7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527FDBEB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 xml:space="preserve">Various studies using </w:t>
      </w:r>
      <w:proofErr w:type="spellStart"/>
      <w:r w:rsidRPr="00535B17">
        <w:rPr>
          <w:rFonts w:ascii="Times New Roman" w:eastAsia="inter" w:hAnsi="Times New Roman" w:cs="Times New Roman"/>
          <w:color w:val="000000"/>
        </w:rPr>
        <w:t>XGBoost</w:t>
      </w:r>
      <w:proofErr w:type="spellEnd"/>
      <w:r w:rsidRPr="00535B17">
        <w:rPr>
          <w:rFonts w:ascii="Times New Roman" w:eastAsia="inter" w:hAnsi="Times New Roman" w:cs="Times New Roman"/>
          <w:color w:val="000000"/>
        </w:rPr>
        <w:t xml:space="preserve"> with consistent AUCs 0.82-0.91</w:t>
      </w:r>
      <w:r w:rsidRPr="00535B17">
        <w:rPr>
          <w:rFonts w:ascii="Times New Roman" w:eastAsia="inter" w:hAnsi="Times New Roman" w:cs="Times New Roman"/>
          <w:color w:val="000000"/>
        </w:rPr>
        <w:br/>
        <w:t>Example review: Indian Journal of Critical Care Medicine (Shanmugam et al., 2025)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8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0E24A6E2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 xml:space="preserve">Traditional scoring methods: </w:t>
      </w:r>
      <w:proofErr w:type="spellStart"/>
      <w:r w:rsidRPr="00535B17">
        <w:rPr>
          <w:rFonts w:ascii="Times New Roman" w:eastAsia="inter" w:hAnsi="Times New Roman" w:cs="Times New Roman"/>
          <w:color w:val="000000"/>
        </w:rPr>
        <w:t>qSOFA</w:t>
      </w:r>
      <w:proofErr w:type="spellEnd"/>
      <w:r w:rsidRPr="00535B17">
        <w:rPr>
          <w:rFonts w:ascii="Times New Roman" w:eastAsia="inter" w:hAnsi="Times New Roman" w:cs="Times New Roman"/>
          <w:color w:val="000000"/>
        </w:rPr>
        <w:t xml:space="preserve"> and SOFA from multiple clinical validation studies</w:t>
      </w:r>
      <w:r w:rsidRPr="00535B17">
        <w:rPr>
          <w:rFonts w:ascii="Times New Roman" w:eastAsia="inter" w:hAnsi="Times New Roman" w:cs="Times New Roman"/>
          <w:color w:val="000000"/>
        </w:rPr>
        <w:br/>
        <w:t xml:space="preserve">Example: Improving sepsis prediction in intensive care with </w:t>
      </w:r>
      <w:proofErr w:type="spellStart"/>
      <w:r w:rsidRPr="00535B17">
        <w:rPr>
          <w:rFonts w:ascii="Times New Roman" w:eastAsia="inter" w:hAnsi="Times New Roman" w:cs="Times New Roman"/>
          <w:color w:val="000000"/>
        </w:rPr>
        <w:t>SepsisAI</w:t>
      </w:r>
      <w:proofErr w:type="spellEnd"/>
      <w:r w:rsidRPr="00535B17">
        <w:rPr>
          <w:rFonts w:ascii="Times New Roman" w:eastAsia="inter" w:hAnsi="Times New Roman" w:cs="Times New Roman"/>
          <w:color w:val="000000"/>
        </w:rPr>
        <w:t xml:space="preserve"> (2024)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9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2F22DDC8" w14:textId="77777777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Yadgarov et al. (2024) - Comprehensive network meta-analysis of Machine Learning algorithms for sepsis prediction</w:t>
      </w:r>
      <w:r w:rsidRPr="00535B17">
        <w:rPr>
          <w:rFonts w:ascii="Times New Roman" w:eastAsia="inter" w:hAnsi="Times New Roman" w:cs="Times New Roman"/>
          <w:color w:val="000000"/>
        </w:rPr>
        <w:br/>
        <w:t>Paper: Frontiers in Medicine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10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p w14:paraId="6430D3F6" w14:textId="46B2BBDF" w:rsidR="00535B17" w:rsidRPr="00535B17" w:rsidRDefault="00535B17" w:rsidP="00535B17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</w:rPr>
      </w:pPr>
      <w:r w:rsidRPr="00535B17">
        <w:rPr>
          <w:rFonts w:ascii="Times New Roman" w:eastAsia="inter" w:hAnsi="Times New Roman" w:cs="Times New Roman"/>
          <w:color w:val="000000"/>
        </w:rPr>
        <w:t>Liu et al. (2025) - Gradient Boosting on large scale MIMIC-IV dataset</w:t>
      </w:r>
      <w:r w:rsidRPr="00535B17">
        <w:rPr>
          <w:rFonts w:ascii="Times New Roman" w:eastAsia="inter" w:hAnsi="Times New Roman" w:cs="Times New Roman"/>
          <w:color w:val="000000"/>
        </w:rPr>
        <w:br/>
        <w:t>Paper: Scientific Reports</w:t>
      </w:r>
      <w:r w:rsidRPr="00535B17">
        <w:rPr>
          <w:rFonts w:ascii="Times New Roman" w:eastAsia="inter" w:hAnsi="Times New Roman" w:cs="Times New Roman"/>
          <w:color w:val="000000"/>
        </w:rPr>
        <w:br/>
      </w:r>
      <w:hyperlink r:id="rId11" w:history="1">
        <w:r w:rsidRPr="00535B17">
          <w:rPr>
            <w:rStyle w:val="Hyperlink"/>
            <w:rFonts w:ascii="Times New Roman" w:eastAsia="inter" w:hAnsi="Times New Roman" w:cs="Times New Roman"/>
            <w:color w:val="auto"/>
          </w:rPr>
          <w:t>Link to paper</w:t>
        </w:r>
      </w:hyperlink>
    </w:p>
    <w:sectPr w:rsidR="00535B17" w:rsidRPr="0053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2CA"/>
    <w:multiLevelType w:val="hybridMultilevel"/>
    <w:tmpl w:val="A94C3A44"/>
    <w:lvl w:ilvl="0" w:tplc="8C6ED3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9883C42">
      <w:numFmt w:val="decimal"/>
      <w:lvlText w:val=""/>
      <w:lvlJc w:val="left"/>
      <w:pPr>
        <w:ind w:left="0" w:firstLine="0"/>
      </w:pPr>
    </w:lvl>
    <w:lvl w:ilvl="2" w:tplc="38F8E712">
      <w:numFmt w:val="decimal"/>
      <w:lvlText w:val=""/>
      <w:lvlJc w:val="left"/>
      <w:pPr>
        <w:ind w:left="0" w:firstLine="0"/>
      </w:pPr>
    </w:lvl>
    <w:lvl w:ilvl="3" w:tplc="6354F622">
      <w:numFmt w:val="decimal"/>
      <w:lvlText w:val=""/>
      <w:lvlJc w:val="left"/>
      <w:pPr>
        <w:ind w:left="0" w:firstLine="0"/>
      </w:pPr>
    </w:lvl>
    <w:lvl w:ilvl="4" w:tplc="3A08D2A0">
      <w:numFmt w:val="decimal"/>
      <w:lvlText w:val=""/>
      <w:lvlJc w:val="left"/>
      <w:pPr>
        <w:ind w:left="0" w:firstLine="0"/>
      </w:pPr>
    </w:lvl>
    <w:lvl w:ilvl="5" w:tplc="02CCCF2A">
      <w:numFmt w:val="decimal"/>
      <w:lvlText w:val=""/>
      <w:lvlJc w:val="left"/>
      <w:pPr>
        <w:ind w:left="0" w:firstLine="0"/>
      </w:pPr>
    </w:lvl>
    <w:lvl w:ilvl="6" w:tplc="F8101690">
      <w:numFmt w:val="decimal"/>
      <w:lvlText w:val=""/>
      <w:lvlJc w:val="left"/>
      <w:pPr>
        <w:ind w:left="0" w:firstLine="0"/>
      </w:pPr>
    </w:lvl>
    <w:lvl w:ilvl="7" w:tplc="08B45C70">
      <w:numFmt w:val="decimal"/>
      <w:lvlText w:val=""/>
      <w:lvlJc w:val="left"/>
      <w:pPr>
        <w:ind w:left="0" w:firstLine="0"/>
      </w:pPr>
    </w:lvl>
    <w:lvl w:ilvl="8" w:tplc="ABB82A9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52E723B"/>
    <w:multiLevelType w:val="hybridMultilevel"/>
    <w:tmpl w:val="42760A3E"/>
    <w:lvl w:ilvl="0" w:tplc="6908B3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B46FBC">
      <w:numFmt w:val="decimal"/>
      <w:lvlText w:val=""/>
      <w:lvlJc w:val="left"/>
      <w:pPr>
        <w:ind w:left="0" w:firstLine="0"/>
      </w:pPr>
    </w:lvl>
    <w:lvl w:ilvl="2" w:tplc="00DC3C24">
      <w:numFmt w:val="decimal"/>
      <w:lvlText w:val=""/>
      <w:lvlJc w:val="left"/>
      <w:pPr>
        <w:ind w:left="0" w:firstLine="0"/>
      </w:pPr>
    </w:lvl>
    <w:lvl w:ilvl="3" w:tplc="A320A36A">
      <w:numFmt w:val="decimal"/>
      <w:lvlText w:val=""/>
      <w:lvlJc w:val="left"/>
      <w:pPr>
        <w:ind w:left="0" w:firstLine="0"/>
      </w:pPr>
    </w:lvl>
    <w:lvl w:ilvl="4" w:tplc="B4EC543A">
      <w:numFmt w:val="decimal"/>
      <w:lvlText w:val=""/>
      <w:lvlJc w:val="left"/>
      <w:pPr>
        <w:ind w:left="0" w:firstLine="0"/>
      </w:pPr>
    </w:lvl>
    <w:lvl w:ilvl="5" w:tplc="A10A6E9A">
      <w:numFmt w:val="decimal"/>
      <w:lvlText w:val=""/>
      <w:lvlJc w:val="left"/>
      <w:pPr>
        <w:ind w:left="0" w:firstLine="0"/>
      </w:pPr>
    </w:lvl>
    <w:lvl w:ilvl="6" w:tplc="9886D4E4">
      <w:numFmt w:val="decimal"/>
      <w:lvlText w:val=""/>
      <w:lvlJc w:val="left"/>
      <w:pPr>
        <w:ind w:left="0" w:firstLine="0"/>
      </w:pPr>
    </w:lvl>
    <w:lvl w:ilvl="7" w:tplc="C456D40A">
      <w:numFmt w:val="decimal"/>
      <w:lvlText w:val=""/>
      <w:lvlJc w:val="left"/>
      <w:pPr>
        <w:ind w:left="0" w:firstLine="0"/>
      </w:pPr>
    </w:lvl>
    <w:lvl w:ilvl="8" w:tplc="FB2A23D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037032C"/>
    <w:multiLevelType w:val="hybridMultilevel"/>
    <w:tmpl w:val="9650F094"/>
    <w:lvl w:ilvl="0" w:tplc="0CBE2E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4AE41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F722D52">
      <w:numFmt w:val="decimal"/>
      <w:lvlText w:val=""/>
      <w:lvlJc w:val="left"/>
      <w:pPr>
        <w:ind w:left="0" w:firstLine="0"/>
      </w:pPr>
    </w:lvl>
    <w:lvl w:ilvl="3" w:tplc="0650AC0E">
      <w:numFmt w:val="decimal"/>
      <w:lvlText w:val=""/>
      <w:lvlJc w:val="left"/>
      <w:pPr>
        <w:ind w:left="0" w:firstLine="0"/>
      </w:pPr>
    </w:lvl>
    <w:lvl w:ilvl="4" w:tplc="20D4C4F0">
      <w:numFmt w:val="decimal"/>
      <w:lvlText w:val=""/>
      <w:lvlJc w:val="left"/>
      <w:pPr>
        <w:ind w:left="0" w:firstLine="0"/>
      </w:pPr>
    </w:lvl>
    <w:lvl w:ilvl="5" w:tplc="C332C74A">
      <w:numFmt w:val="decimal"/>
      <w:lvlText w:val=""/>
      <w:lvlJc w:val="left"/>
      <w:pPr>
        <w:ind w:left="0" w:firstLine="0"/>
      </w:pPr>
    </w:lvl>
    <w:lvl w:ilvl="6" w:tplc="D85CFB48">
      <w:numFmt w:val="decimal"/>
      <w:lvlText w:val=""/>
      <w:lvlJc w:val="left"/>
      <w:pPr>
        <w:ind w:left="0" w:firstLine="0"/>
      </w:pPr>
    </w:lvl>
    <w:lvl w:ilvl="7" w:tplc="C4A6BAEC">
      <w:numFmt w:val="decimal"/>
      <w:lvlText w:val=""/>
      <w:lvlJc w:val="left"/>
      <w:pPr>
        <w:ind w:left="0" w:firstLine="0"/>
      </w:pPr>
    </w:lvl>
    <w:lvl w:ilvl="8" w:tplc="A08A7C8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1AF5AD9"/>
    <w:multiLevelType w:val="hybridMultilevel"/>
    <w:tmpl w:val="E63C1780"/>
    <w:lvl w:ilvl="0" w:tplc="D62835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208E64">
      <w:numFmt w:val="decimal"/>
      <w:lvlText w:val=""/>
      <w:lvlJc w:val="left"/>
      <w:pPr>
        <w:ind w:left="0" w:firstLine="0"/>
      </w:pPr>
    </w:lvl>
    <w:lvl w:ilvl="2" w:tplc="1D022AB6">
      <w:numFmt w:val="decimal"/>
      <w:lvlText w:val=""/>
      <w:lvlJc w:val="left"/>
      <w:pPr>
        <w:ind w:left="0" w:firstLine="0"/>
      </w:pPr>
    </w:lvl>
    <w:lvl w:ilvl="3" w:tplc="D4AE904A">
      <w:numFmt w:val="decimal"/>
      <w:lvlText w:val=""/>
      <w:lvlJc w:val="left"/>
      <w:pPr>
        <w:ind w:left="0" w:firstLine="0"/>
      </w:pPr>
    </w:lvl>
    <w:lvl w:ilvl="4" w:tplc="CC8463C2">
      <w:numFmt w:val="decimal"/>
      <w:lvlText w:val=""/>
      <w:lvlJc w:val="left"/>
      <w:pPr>
        <w:ind w:left="0" w:firstLine="0"/>
      </w:pPr>
    </w:lvl>
    <w:lvl w:ilvl="5" w:tplc="65E2055C">
      <w:numFmt w:val="decimal"/>
      <w:lvlText w:val=""/>
      <w:lvlJc w:val="left"/>
      <w:pPr>
        <w:ind w:left="0" w:firstLine="0"/>
      </w:pPr>
    </w:lvl>
    <w:lvl w:ilvl="6" w:tplc="12DA74AC">
      <w:numFmt w:val="decimal"/>
      <w:lvlText w:val=""/>
      <w:lvlJc w:val="left"/>
      <w:pPr>
        <w:ind w:left="0" w:firstLine="0"/>
      </w:pPr>
    </w:lvl>
    <w:lvl w:ilvl="7" w:tplc="566A9D5E">
      <w:numFmt w:val="decimal"/>
      <w:lvlText w:val=""/>
      <w:lvlJc w:val="left"/>
      <w:pPr>
        <w:ind w:left="0" w:firstLine="0"/>
      </w:pPr>
    </w:lvl>
    <w:lvl w:ilvl="8" w:tplc="9C8290BE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F5E6973"/>
    <w:multiLevelType w:val="hybridMultilevel"/>
    <w:tmpl w:val="671E7D00"/>
    <w:lvl w:ilvl="0" w:tplc="D84A47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42397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CCEFCB8">
      <w:numFmt w:val="decimal"/>
      <w:lvlText w:val=""/>
      <w:lvlJc w:val="left"/>
      <w:pPr>
        <w:ind w:left="0" w:firstLine="0"/>
      </w:pPr>
    </w:lvl>
    <w:lvl w:ilvl="3" w:tplc="ECF655DE">
      <w:numFmt w:val="decimal"/>
      <w:lvlText w:val=""/>
      <w:lvlJc w:val="left"/>
      <w:pPr>
        <w:ind w:left="0" w:firstLine="0"/>
      </w:pPr>
    </w:lvl>
    <w:lvl w:ilvl="4" w:tplc="B5BA1366">
      <w:numFmt w:val="decimal"/>
      <w:lvlText w:val=""/>
      <w:lvlJc w:val="left"/>
      <w:pPr>
        <w:ind w:left="0" w:firstLine="0"/>
      </w:pPr>
    </w:lvl>
    <w:lvl w:ilvl="5" w:tplc="AFB2E2D8">
      <w:numFmt w:val="decimal"/>
      <w:lvlText w:val=""/>
      <w:lvlJc w:val="left"/>
      <w:pPr>
        <w:ind w:left="0" w:firstLine="0"/>
      </w:pPr>
    </w:lvl>
    <w:lvl w:ilvl="6" w:tplc="041E5FFC">
      <w:numFmt w:val="decimal"/>
      <w:lvlText w:val=""/>
      <w:lvlJc w:val="left"/>
      <w:pPr>
        <w:ind w:left="0" w:firstLine="0"/>
      </w:pPr>
    </w:lvl>
    <w:lvl w:ilvl="7" w:tplc="DAD0DBBC">
      <w:numFmt w:val="decimal"/>
      <w:lvlText w:val=""/>
      <w:lvlJc w:val="left"/>
      <w:pPr>
        <w:ind w:left="0" w:firstLine="0"/>
      </w:pPr>
    </w:lvl>
    <w:lvl w:ilvl="8" w:tplc="53F8AAC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182523"/>
    <w:multiLevelType w:val="hybridMultilevel"/>
    <w:tmpl w:val="DE2002F8"/>
    <w:lvl w:ilvl="0" w:tplc="52B8C8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9A935C">
      <w:numFmt w:val="decimal"/>
      <w:lvlText w:val=""/>
      <w:lvlJc w:val="left"/>
      <w:pPr>
        <w:ind w:left="0" w:firstLine="0"/>
      </w:pPr>
    </w:lvl>
    <w:lvl w:ilvl="2" w:tplc="B46ADFD8">
      <w:numFmt w:val="decimal"/>
      <w:lvlText w:val=""/>
      <w:lvlJc w:val="left"/>
      <w:pPr>
        <w:ind w:left="0" w:firstLine="0"/>
      </w:pPr>
    </w:lvl>
    <w:lvl w:ilvl="3" w:tplc="E0FE2C24">
      <w:numFmt w:val="decimal"/>
      <w:lvlText w:val=""/>
      <w:lvlJc w:val="left"/>
      <w:pPr>
        <w:ind w:left="0" w:firstLine="0"/>
      </w:pPr>
    </w:lvl>
    <w:lvl w:ilvl="4" w:tplc="A686D452">
      <w:numFmt w:val="decimal"/>
      <w:lvlText w:val=""/>
      <w:lvlJc w:val="left"/>
      <w:pPr>
        <w:ind w:left="0" w:firstLine="0"/>
      </w:pPr>
    </w:lvl>
    <w:lvl w:ilvl="5" w:tplc="CA5CC87E">
      <w:numFmt w:val="decimal"/>
      <w:lvlText w:val=""/>
      <w:lvlJc w:val="left"/>
      <w:pPr>
        <w:ind w:left="0" w:firstLine="0"/>
      </w:pPr>
    </w:lvl>
    <w:lvl w:ilvl="6" w:tplc="11DCA9AC">
      <w:numFmt w:val="decimal"/>
      <w:lvlText w:val=""/>
      <w:lvlJc w:val="left"/>
      <w:pPr>
        <w:ind w:left="0" w:firstLine="0"/>
      </w:pPr>
    </w:lvl>
    <w:lvl w:ilvl="7" w:tplc="C1602824">
      <w:numFmt w:val="decimal"/>
      <w:lvlText w:val=""/>
      <w:lvlJc w:val="left"/>
      <w:pPr>
        <w:ind w:left="0" w:firstLine="0"/>
      </w:pPr>
    </w:lvl>
    <w:lvl w:ilvl="8" w:tplc="3F446774">
      <w:numFmt w:val="decimal"/>
      <w:lvlText w:val=""/>
      <w:lvlJc w:val="left"/>
      <w:pPr>
        <w:ind w:left="0" w:firstLine="0"/>
      </w:pPr>
    </w:lvl>
  </w:abstractNum>
  <w:num w:numId="1" w16cid:durableId="17308828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36537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82176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75981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272581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47152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MrO0tDAyNjMxNLBQ0lEKTi0uzszPAykwqgUA1yYiziwAAAA="/>
  </w:docVars>
  <w:rsids>
    <w:rsidRoot w:val="00064AF3"/>
    <w:rsid w:val="00064AF3"/>
    <w:rsid w:val="00287514"/>
    <w:rsid w:val="00366FAC"/>
    <w:rsid w:val="00430AFA"/>
    <w:rsid w:val="00492224"/>
    <w:rsid w:val="00494787"/>
    <w:rsid w:val="00535B17"/>
    <w:rsid w:val="00536616"/>
    <w:rsid w:val="0061281E"/>
    <w:rsid w:val="006A2D5F"/>
    <w:rsid w:val="0077776E"/>
    <w:rsid w:val="007A1E81"/>
    <w:rsid w:val="008F286A"/>
    <w:rsid w:val="009B5A82"/>
    <w:rsid w:val="00E16FB0"/>
    <w:rsid w:val="00E6182C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D876"/>
  <w15:chartTrackingRefBased/>
  <w15:docId w15:val="{4F5D8EF1-861E-4022-8B60-8EFE1462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FA"/>
  </w:style>
  <w:style w:type="paragraph" w:styleId="Heading1">
    <w:name w:val="heading 1"/>
    <w:basedOn w:val="Normal"/>
    <w:next w:val="Normal"/>
    <w:link w:val="Heading1Char"/>
    <w:uiPriority w:val="9"/>
    <w:qFormat/>
    <w:rsid w:val="0006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F3"/>
    <w:rPr>
      <w:b/>
      <w:bCs/>
      <w:smallCaps/>
      <w:color w:val="0F4761" w:themeColor="accent1" w:themeShade="BF"/>
      <w:spacing w:val="5"/>
    </w:rPr>
  </w:style>
  <w:style w:type="table" w:customStyle="1" w:styleId="NormalGrid">
    <w:name w:val="Normal Grid"/>
    <w:basedOn w:val="TableNormal"/>
    <w:uiPriority w:val="39"/>
    <w:rsid w:val="00430AFA"/>
    <w:pPr>
      <w:spacing w:after="0" w:line="240" w:lineRule="auto"/>
    </w:pPr>
    <w:rPr>
      <w:rFonts w:ascii="Georgia"/>
      <w:kern w:val="0"/>
      <w:sz w:val="21"/>
      <w:szCs w:val="22"/>
      <w:lang w:val="en-US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35B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ccm.org/doi/10.5005/jp-journals-10071-249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dpi.com/2075-4418/15/3/3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mir.org/2025/1/e74940" TargetMode="External"/><Relationship Id="rId11" Type="http://schemas.openxmlformats.org/officeDocument/2006/relationships/hyperlink" Target="https://www.nature.com/articles/s41598-025-99879-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ontiersin.org/articles/10.3389/fmed.2024.1500326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digitalhealth/article?id=10.1371/journal.pdig.0000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Sudhanshu Maurya</dc:creator>
  <cp:keywords/>
  <dc:description/>
  <cp:lastModifiedBy>Tanmay Kalinkar</cp:lastModifiedBy>
  <cp:revision>12</cp:revision>
  <dcterms:created xsi:type="dcterms:W3CDTF">2024-02-25T09:47:00Z</dcterms:created>
  <dcterms:modified xsi:type="dcterms:W3CDTF">2025-08-31T18:14:00Z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da86bb0e89d91d9080f2ce9e2b657e63d4fa522c373992a96f7d360a4fec49c5</vt:lpwstr>
  </property>
</Properties>
</file>