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9E0227" w14:paraId="3D3C85F7" w14:textId="77777777">
        <w:tc>
          <w:tcPr>
            <w:tcW w:w="9720" w:type="dxa"/>
            <w:shd w:val="clear" w:color="auto" w:fill="1B6B4A"/>
            <w:tcMar>
              <w:top w:w="440" w:type="dxa"/>
              <w:left w:w="480" w:type="dxa"/>
              <w:bottom w:w="440" w:type="dxa"/>
              <w:right w:w="480" w:type="dxa"/>
            </w:tcMar>
          </w:tcPr>
          <w:p w14:paraId="5212354A" w14:textId="77777777" w:rsidR="009E0227" w:rsidRDefault="00555B3C" w:rsidP="00930CAF">
            <w:pPr>
              <w:spacing w:after="120" w:line="360" w:lineRule="auto"/>
            </w:pPr>
            <w:r>
              <w:rPr>
                <w:b/>
                <w:bCs/>
                <w:color w:val="A8E6CF"/>
                <w:sz w:val="17"/>
                <w:szCs w:val="17"/>
              </w:rPr>
              <w:t xml:space="preserve">SUPPLY CHAIN </w:t>
            </w:r>
            <w:proofErr w:type="gramStart"/>
            <w:r>
              <w:rPr>
                <w:b/>
                <w:bCs/>
                <w:color w:val="A8E6CF"/>
                <w:sz w:val="17"/>
                <w:szCs w:val="17"/>
              </w:rPr>
              <w:t>STRATEGY  ·</w:t>
            </w:r>
            <w:proofErr w:type="gramEnd"/>
            <w:r>
              <w:rPr>
                <w:b/>
                <w:bCs/>
                <w:color w:val="A8E6CF"/>
                <w:sz w:val="17"/>
                <w:szCs w:val="17"/>
              </w:rPr>
              <w:t xml:space="preserve">  2022–2026 RESEARCH SYNTHESIS</w:t>
            </w:r>
          </w:p>
          <w:p w14:paraId="1F933B3D" w14:textId="77777777" w:rsidR="009E0227" w:rsidRDefault="00555B3C" w:rsidP="00930CAF">
            <w:pPr>
              <w:spacing w:after="160" w:line="360" w:lineRule="auto"/>
            </w:pPr>
            <w:r>
              <w:rPr>
                <w:b/>
                <w:bCs/>
                <w:color w:val="FFFFFF"/>
                <w:sz w:val="42"/>
                <w:szCs w:val="42"/>
              </w:rPr>
              <w:t>Going Circular to Stay Resilient</w:t>
            </w:r>
          </w:p>
          <w:p w14:paraId="6E546774" w14:textId="77777777" w:rsidR="009E0227" w:rsidRDefault="00555B3C" w:rsidP="00930CAF">
            <w:pPr>
              <w:spacing w:after="200" w:line="360" w:lineRule="auto"/>
            </w:pPr>
            <w:r>
              <w:rPr>
                <w:i/>
                <w:iCs/>
                <w:color w:val="D1FAE5"/>
                <w:sz w:val="23"/>
                <w:szCs w:val="23"/>
              </w:rPr>
              <w:t>How Circular Economy Practices Are Redefining Supply Chain Optimization in Fashion, Textile &amp; Manufacturing</w:t>
            </w:r>
          </w:p>
          <w:p w14:paraId="3711B43E" w14:textId="77777777" w:rsidR="009E0227" w:rsidRPr="00930CAF" w:rsidRDefault="00555B3C" w:rsidP="00930CAF">
            <w:pPr>
              <w:spacing w:line="360" w:lineRule="auto"/>
              <w:rPr>
                <w:b/>
                <w:bCs/>
              </w:rPr>
            </w:pPr>
            <w:r>
              <w:rPr>
                <w:b/>
                <w:color w:val="D6EADB"/>
                <w:sz w:val="28"/>
              </w:rPr>
              <w:t>By Abdulla Daabal  ·  April 2026  ·  3-min read</w:t>
            </w:r>
          </w:p>
        </w:tc>
      </w:tr>
    </w:tbl>
    <w:p w14:paraId="55EC2D98" w14:textId="77777777" w:rsidR="009E0227" w:rsidRDefault="009E0227" w:rsidP="00930CAF">
      <w:pPr>
        <w:spacing w:before="240" w:line="360" w:lineRule="auto"/>
      </w:pPr>
    </w:p>
    <w:p w14:paraId="440B31FF" w14:textId="77777777" w:rsidR="00D96D9F" w:rsidRDefault="00555B3C" w:rsidP="00D96D9F">
      <w:pPr>
        <w:spacing w:before="80" w:after="120" w:line="360" w:lineRule="auto"/>
        <w:rPr>
          <w:color w:val="000000" w:themeColor="text1"/>
        </w:rPr>
      </w:pPr>
      <w:r w:rsidRPr="00583B7F">
        <w:rPr>
          <w:color w:val="000000" w:themeColor="text1"/>
        </w:rPr>
        <w:t xml:space="preserve">Circular economy is no longer just a sustainability signal. </w:t>
      </w:r>
      <w:r>
        <w:rPr>
          <w:b/>
          <w:color w:val="1B6B4A"/>
        </w:rPr>
        <w:t xml:space="preserve">Recent empirical research shows it can also strengthen cost efficiency, recovery speed, and resource resilience. </w:t>
      </w:r>
      <w:r w:rsidRPr="00583B7F">
        <w:rPr>
          <w:color w:val="000000" w:themeColor="text1"/>
        </w:rPr>
        <w:t>(Pellegrino et al., 2025; Colombo et al., 2025; Cafforio et al., 2025).</w:t>
      </w:r>
      <w:r w:rsidR="00D96D9F">
        <w:rPr>
          <w:color w:val="000000" w:themeColor="text1"/>
        </w:rPr>
        <w:t xml:space="preserve"> </w:t>
      </w:r>
    </w:p>
    <w:p w14:paraId="2A0186EE" w14:textId="2193F42D" w:rsidR="009E0227" w:rsidRPr="00D96D9F" w:rsidRDefault="00D96D9F" w:rsidP="00D96D9F">
      <w:pPr>
        <w:spacing w:before="80" w:after="120" w:line="360" w:lineRule="auto"/>
      </w:pPr>
      <w:r w:rsidRPr="00D96D9F">
        <w:rPr>
          <w:color w:val="000000" w:themeColor="text1"/>
        </w:rPr>
        <w:t>This is particularly relevant in an era of repeated supply uncertainty, shaped by geopolitical risks, pandemic shocks, and maritime chokepoint disruptions, all of which have exposed the vulnerability of linear supply chains</w:t>
      </w:r>
      <w:r>
        <w:rPr>
          <w:color w:val="000000" w:themeColor="text1"/>
        </w:rPr>
        <w:t>.</w:t>
      </w:r>
      <w:r>
        <w:t xml:space="preserve"> </w:t>
      </w:r>
      <w:r w:rsidRPr="00583B7F">
        <w:rPr>
          <w:color w:val="000000" w:themeColor="text1"/>
        </w:rPr>
        <w:t>Across fashion, textile, and manufacturing, the message is consistent: circularity works best when it is designed as a supply chain strategy rather than a CSR add-on. (Colombo et al., 2025; Vietnam GSCM Study, 2022; Circular Fashion SC Empirical Study, 2024-2025).</w:t>
      </w:r>
    </w:p>
    <w:p w14:paraId="17A221D2" w14:textId="77777777" w:rsidR="009E0227" w:rsidRDefault="009E0227" w:rsidP="00930CAF">
      <w:pPr>
        <w:pBdr>
          <w:bottom w:val="single" w:sz="8" w:space="1" w:color="2E9E6F"/>
        </w:pBdr>
        <w:spacing w:before="40" w:after="200" w:line="360" w:lineRule="auto"/>
      </w:pPr>
    </w:p>
    <w:p w14:paraId="41F82219" w14:textId="77777777" w:rsidR="009E0227" w:rsidRDefault="00555B3C" w:rsidP="00930CAF">
      <w:pPr>
        <w:pStyle w:val="Heading2"/>
        <w:spacing w:line="360" w:lineRule="auto"/>
      </w:pPr>
      <w:r>
        <w:t>1. The Linear Model Is Broken — and Regulators Know It</w:t>
      </w:r>
    </w:p>
    <w:p w14:paraId="5084E8B6" w14:textId="77777777" w:rsidR="00D4779D" w:rsidRPr="00D4779D" w:rsidRDefault="00D4779D" w:rsidP="00D4779D">
      <w:pPr>
        <w:spacing w:before="80" w:after="120" w:line="360" w:lineRule="auto"/>
        <w:rPr>
          <w:color w:val="000000" w:themeColor="text1"/>
        </w:rPr>
      </w:pPr>
      <w:r w:rsidRPr="00D4779D">
        <w:rPr>
          <w:color w:val="000000" w:themeColor="text1"/>
        </w:rPr>
        <w:t xml:space="preserve">Linear supply chains are fragile because value leaves the system after use. Recent disruptions across sourcing regions and trade routes have shown how quickly that model can break under pressure, especially when firms remain dependent on virgin inputs and narrow supply channels. The emerging evidence base suggests that reuse, remanufacturing, reverse logistics, and supplier collaboration create alternative material pathways that reduce disruption risk and strengthen resilience. (Pellegrino et al., 2025; </w:t>
      </w:r>
      <w:proofErr w:type="spellStart"/>
      <w:r w:rsidRPr="00D4779D">
        <w:rPr>
          <w:color w:val="000000" w:themeColor="text1"/>
        </w:rPr>
        <w:t>Cafforio</w:t>
      </w:r>
      <w:proofErr w:type="spellEnd"/>
      <w:r w:rsidRPr="00D4779D">
        <w:rPr>
          <w:color w:val="000000" w:themeColor="text1"/>
        </w:rPr>
        <w:t xml:space="preserve"> et al., 2025).</w:t>
      </w:r>
    </w:p>
    <w:p w14:paraId="3F86727F" w14:textId="72CB74C9" w:rsidR="009E0227" w:rsidRPr="00583B7F" w:rsidRDefault="00D4779D" w:rsidP="00D4779D">
      <w:pPr>
        <w:spacing w:before="80" w:after="120" w:line="360" w:lineRule="auto"/>
        <w:rPr>
          <w:color w:val="000000" w:themeColor="text1"/>
        </w:rPr>
      </w:pPr>
      <w:r w:rsidRPr="00D4779D">
        <w:rPr>
          <w:color w:val="000000" w:themeColor="text1"/>
        </w:rPr>
        <w:t>That matters most in sectors facing input volatility, waste pressure, and sustainability scrutiny, where resilience and resource efficiency increasingly move together. (Colombo et al., 2025; Vietnam GSCM Study, 2022).</w:t>
      </w:r>
    </w:p>
    <w:p w14:paraId="23E34562" w14:textId="77777777" w:rsidR="009E0227" w:rsidRDefault="009E0227" w:rsidP="00930CAF">
      <w:pPr>
        <w:spacing w:before="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227" w14:paraId="51CB75A4" w14:textId="77777777">
        <w:tc>
          <w:tcPr>
            <w:tcW w:w="9360" w:type="dxa"/>
            <w:tcBorders>
              <w:top w:val="single" w:sz="2" w:space="0" w:color="2E9E6F"/>
              <w:left w:val="single" w:sz="2" w:space="0" w:color="2E9E6F"/>
              <w:bottom w:val="single" w:sz="2" w:space="0" w:color="2E9E6F"/>
              <w:right w:val="single" w:sz="2" w:space="0" w:color="2E9E6F"/>
            </w:tcBorders>
            <w:shd w:val="clear" w:color="auto" w:fill="D4EDE3"/>
            <w:tcMar>
              <w:top w:w="160" w:type="dxa"/>
              <w:left w:w="240" w:type="dxa"/>
              <w:bottom w:w="160" w:type="dxa"/>
              <w:right w:w="240" w:type="dxa"/>
            </w:tcMar>
          </w:tcPr>
          <w:p w14:paraId="60E992DF" w14:textId="77777777" w:rsidR="009E0227" w:rsidRDefault="00555B3C" w:rsidP="00930CAF">
            <w:pPr>
              <w:spacing w:after="60" w:line="360" w:lineRule="auto"/>
            </w:pPr>
            <w:r>
              <w:rPr>
                <w:b/>
                <w:color w:val="1B6B4A"/>
                <w:sz w:val="28"/>
              </w:rPr>
              <w:lastRenderedPageBreak/>
              <w:t>📖</w:t>
            </w:r>
            <w:r>
              <w:rPr>
                <w:b/>
                <w:color w:val="1B6B4A"/>
                <w:sz w:val="28"/>
              </w:rPr>
              <w:t xml:space="preserve"> DEFINITION: What Is a Circular Supply Chain?</w:t>
            </w:r>
          </w:p>
          <w:p w14:paraId="7BB45FC8" w14:textId="77777777" w:rsidR="009E0227" w:rsidRDefault="00555B3C" w:rsidP="00930CAF">
            <w:pPr>
              <w:spacing w:line="360" w:lineRule="auto"/>
            </w:pPr>
            <w:r w:rsidRPr="00583B7F">
              <w:rPr>
                <w:color w:val="000000" w:themeColor="text1"/>
              </w:rPr>
              <w:t>A circular supply chain keeps materials in productive use through reuse, remanufacturing, take-back, and closed-loop supplier collaboration, reducing reliance on virgin inputs over time. (Pellegrino et al., 2025).</w:t>
            </w:r>
          </w:p>
        </w:tc>
      </w:tr>
    </w:tbl>
    <w:p w14:paraId="056CE355" w14:textId="77777777" w:rsidR="009E0227" w:rsidRDefault="009E0227" w:rsidP="00930CAF">
      <w:pPr>
        <w:pBdr>
          <w:bottom w:val="single" w:sz="8" w:space="1" w:color="2E9E6F"/>
        </w:pBdr>
        <w:spacing w:before="40" w:after="200" w:line="360" w:lineRule="auto"/>
      </w:pPr>
    </w:p>
    <w:p w14:paraId="3D59E3AF" w14:textId="77777777" w:rsidR="009E0227" w:rsidRDefault="00555B3C" w:rsidP="00930CAF">
      <w:pPr>
        <w:pStyle w:val="Heading2"/>
        <w:spacing w:line="360" w:lineRule="auto"/>
      </w:pPr>
      <w:r>
        <w:t xml:space="preserve">2. </w:t>
      </w:r>
      <w:r>
        <w:t>The Evidence: CE Practices Deliver Measurable Gains</w:t>
      </w:r>
    </w:p>
    <w:p w14:paraId="3C808611" w14:textId="77777777" w:rsidR="009E0227" w:rsidRPr="00583B7F" w:rsidRDefault="00555B3C" w:rsidP="00930CAF">
      <w:pPr>
        <w:spacing w:before="80" w:after="120" w:line="360" w:lineRule="auto"/>
        <w:rPr>
          <w:color w:val="000000" w:themeColor="text1"/>
        </w:rPr>
      </w:pPr>
      <w:r w:rsidRPr="00583B7F">
        <w:rPr>
          <w:color w:val="000000" w:themeColor="text1"/>
        </w:rPr>
        <w:t>Pellegrino et al. (2025) show a clear pathway: CE adoption improves supply chain resilience and risk mitigation, and both feed into stronger economic, operational, and environmental performance. The effect is strongest under high supply risk, making circularity especially relevant in volatile markets. (Pellegrino et al., 2025).</w:t>
      </w:r>
    </w:p>
    <w:p w14:paraId="29A41DAF" w14:textId="77777777" w:rsidR="009E0227" w:rsidRPr="00583B7F" w:rsidRDefault="00555B3C" w:rsidP="00930CAF">
      <w:pPr>
        <w:pStyle w:val="ListParagraph"/>
        <w:numPr>
          <w:ilvl w:val="0"/>
          <w:numId w:val="2"/>
        </w:numPr>
        <w:spacing w:before="60" w:after="60" w:line="360" w:lineRule="auto"/>
        <w:rPr>
          <w:color w:val="000000" w:themeColor="text1"/>
        </w:rPr>
      </w:pPr>
      <w:r w:rsidRPr="00583B7F">
        <w:rPr>
          <w:color w:val="000000" w:themeColor="text1"/>
        </w:rPr>
        <w:t>CE practices -&gt; Supply Chain Resilience (robustness, agility, recovery speed)</w:t>
      </w:r>
    </w:p>
    <w:p w14:paraId="18137E72" w14:textId="77777777" w:rsidR="009E0227" w:rsidRPr="00583B7F" w:rsidRDefault="00555B3C" w:rsidP="00930CAF">
      <w:pPr>
        <w:pStyle w:val="ListParagraph"/>
        <w:numPr>
          <w:ilvl w:val="0"/>
          <w:numId w:val="2"/>
        </w:numPr>
        <w:spacing w:before="60" w:after="60" w:line="360" w:lineRule="auto"/>
        <w:rPr>
          <w:color w:val="000000" w:themeColor="text1"/>
        </w:rPr>
      </w:pPr>
      <w:r w:rsidRPr="00583B7F">
        <w:rPr>
          <w:color w:val="000000" w:themeColor="text1"/>
        </w:rPr>
        <w:t>CE practices -&gt; Risk Mitigation (reduced raw material exposure)</w:t>
      </w:r>
    </w:p>
    <w:p w14:paraId="3EE693E9" w14:textId="77777777" w:rsidR="009E0227" w:rsidRPr="00583B7F" w:rsidRDefault="00555B3C" w:rsidP="00930CAF">
      <w:pPr>
        <w:pStyle w:val="ListParagraph"/>
        <w:numPr>
          <w:ilvl w:val="0"/>
          <w:numId w:val="2"/>
        </w:numPr>
        <w:spacing w:before="60" w:after="120" w:line="360" w:lineRule="auto"/>
        <w:rPr>
          <w:color w:val="000000" w:themeColor="text1"/>
        </w:rPr>
      </w:pPr>
      <w:r w:rsidRPr="00583B7F">
        <w:rPr>
          <w:color w:val="000000" w:themeColor="text1"/>
        </w:rPr>
        <w:t>Both pathways -&gt; Improved Firm Performance (economic, operational, and environmental)</w:t>
      </w:r>
    </w:p>
    <w:p w14:paraId="2EC529D6" w14:textId="77777777" w:rsidR="009E0227" w:rsidRPr="00583B7F" w:rsidRDefault="00555B3C" w:rsidP="00930CAF">
      <w:pPr>
        <w:spacing w:before="80" w:after="120" w:line="360" w:lineRule="auto"/>
        <w:rPr>
          <w:color w:val="000000" w:themeColor="text1"/>
        </w:rPr>
      </w:pPr>
      <w:r w:rsidRPr="00583B7F">
        <w:rPr>
          <w:color w:val="000000" w:themeColor="text1"/>
        </w:rPr>
        <w:t>In other words, circularity is not just greener operations; it is a practical way to recover faster and perform better when disruption hits. (Pellegrino et al., 2025).</w:t>
      </w:r>
    </w:p>
    <w:p w14:paraId="5CE2C890" w14:textId="77777777" w:rsidR="009E0227" w:rsidRDefault="009E0227" w:rsidP="00930CAF">
      <w:pPr>
        <w:spacing w:before="100" w:line="360" w:lineRule="auto"/>
      </w:pPr>
    </w:p>
    <w:p w14:paraId="033523A5" w14:textId="77777777" w:rsidR="009E0227" w:rsidRDefault="00555B3C" w:rsidP="00930CAF">
      <w:pPr>
        <w:spacing w:before="160" w:after="160" w:line="360" w:lineRule="auto"/>
        <w:jc w:val="center"/>
      </w:pPr>
      <w:r>
        <w:rPr>
          <w:noProof/>
        </w:rPr>
        <w:drawing>
          <wp:inline distT="0" distB="0" distL="0" distR="0" wp14:anchorId="29F37DFB" wp14:editId="6603FD85">
            <wp:extent cx="6468532" cy="29108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83635" cy="2917636"/>
                    </a:xfrm>
                    <a:prstGeom prst="rect">
                      <a:avLst/>
                    </a:prstGeom>
                  </pic:spPr>
                </pic:pic>
              </a:graphicData>
            </a:graphic>
          </wp:inline>
        </w:drawing>
      </w:r>
    </w:p>
    <w:p w14:paraId="28A51090" w14:textId="77777777" w:rsidR="009E0227" w:rsidRPr="00583B7F" w:rsidRDefault="00555B3C" w:rsidP="00930CAF">
      <w:pPr>
        <w:spacing w:after="160" w:line="360" w:lineRule="auto"/>
        <w:jc w:val="center"/>
        <w:rPr>
          <w:color w:val="000000" w:themeColor="text1"/>
        </w:rPr>
      </w:pPr>
      <w:r w:rsidRPr="00583B7F">
        <w:rPr>
          <w:color w:val="000000" w:themeColor="text1"/>
        </w:rPr>
        <w:t>Figure 1: CE -&gt; SCRES -&gt; Performance Pathway (Pellegrino et al., 2025)</w:t>
      </w:r>
    </w:p>
    <w:p w14:paraId="5F7930D1" w14:textId="77777777" w:rsidR="009E0227" w:rsidRDefault="009E0227" w:rsidP="00930CAF">
      <w:pPr>
        <w:spacing w:before="80" w:line="360" w:lineRule="auto"/>
      </w:pPr>
    </w:p>
    <w:p w14:paraId="47529DDD" w14:textId="77777777" w:rsidR="009E0227" w:rsidRDefault="00555B3C" w:rsidP="00930CAF">
      <w:pPr>
        <w:spacing w:before="160" w:after="160" w:line="360" w:lineRule="auto"/>
        <w:jc w:val="center"/>
      </w:pPr>
      <w:r>
        <w:rPr>
          <w:noProof/>
        </w:rPr>
        <w:lastRenderedPageBreak/>
        <w:drawing>
          <wp:inline distT="0" distB="0" distL="0" distR="0" wp14:anchorId="6CF9B797" wp14:editId="66F9C463">
            <wp:extent cx="6557010" cy="3409645"/>
            <wp:effectExtent l="0" t="0" r="0" b="635"/>
            <wp:docPr id="426279300" name="Picture 42627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566103" cy="3414373"/>
                    </a:xfrm>
                    <a:prstGeom prst="rect">
                      <a:avLst/>
                    </a:prstGeom>
                  </pic:spPr>
                </pic:pic>
              </a:graphicData>
            </a:graphic>
          </wp:inline>
        </w:drawing>
      </w:r>
    </w:p>
    <w:p w14:paraId="477EFC41" w14:textId="77777777" w:rsidR="009E0227" w:rsidRPr="00583B7F" w:rsidRDefault="00555B3C" w:rsidP="00930CAF">
      <w:pPr>
        <w:spacing w:after="200" w:line="360" w:lineRule="auto"/>
        <w:jc w:val="center"/>
        <w:rPr>
          <w:color w:val="000000" w:themeColor="text1"/>
        </w:rPr>
      </w:pPr>
      <w:r w:rsidRPr="00583B7F">
        <w:rPr>
          <w:color w:val="000000" w:themeColor="text1"/>
        </w:rPr>
        <w:t>Figure 2: Performance Comparison - Circular vs Linear Supply Chains (Synthesised from 2022-2025 empirical studies)</w:t>
      </w:r>
    </w:p>
    <w:p w14:paraId="6DA022B3" w14:textId="77777777" w:rsidR="009E0227" w:rsidRDefault="009E0227" w:rsidP="00930CAF">
      <w:pPr>
        <w:pBdr>
          <w:bottom w:val="single" w:sz="8" w:space="1" w:color="2E9E6F"/>
        </w:pBdr>
        <w:spacing w:before="40" w:after="200" w:line="360" w:lineRule="auto"/>
      </w:pPr>
    </w:p>
    <w:p w14:paraId="33602C1B" w14:textId="043B6BE7" w:rsidR="00930CAF" w:rsidRDefault="00930CAF" w:rsidP="00930CAF">
      <w:pPr>
        <w:pStyle w:val="Heading2"/>
        <w:spacing w:line="360" w:lineRule="auto"/>
      </w:pPr>
    </w:p>
    <w:p w14:paraId="0B88E40D" w14:textId="77777777" w:rsidR="009E0227" w:rsidRDefault="00555B3C" w:rsidP="00930CAF">
      <w:pPr>
        <w:pStyle w:val="Heading2"/>
        <w:spacing w:line="360" w:lineRule="auto"/>
      </w:pPr>
      <w:r>
        <w:t>3. Take-Back Programs: The Resilience Buffer Nobody Planned For</w:t>
      </w:r>
    </w:p>
    <w:p w14:paraId="1DA16AD7" w14:textId="77777777" w:rsidR="009E0227" w:rsidRPr="00583B7F" w:rsidRDefault="00555B3C" w:rsidP="00930CAF">
      <w:pPr>
        <w:spacing w:before="80" w:after="120" w:line="360" w:lineRule="auto"/>
        <w:rPr>
          <w:color w:val="000000" w:themeColor="text1"/>
        </w:rPr>
      </w:pPr>
      <w:r w:rsidRPr="00583B7F">
        <w:rPr>
          <w:color w:val="000000" w:themeColor="text1"/>
        </w:rPr>
        <w:t>Cafforio et al. (2025) find that take-back programs act as a resilience buffer by creating a secondary material reservoir. In disruption scenarios, firms with reverse logistics recovered equilibrium performance about four months faster than linear peers. (Cafforio et al., 2025).</w:t>
      </w:r>
    </w:p>
    <w:p w14:paraId="548C82B6" w14:textId="77777777" w:rsidR="009E0227" w:rsidRPr="00583B7F" w:rsidRDefault="00555B3C" w:rsidP="00930CAF">
      <w:pPr>
        <w:spacing w:before="80" w:after="120" w:line="360" w:lineRule="auto"/>
        <w:rPr>
          <w:color w:val="000000" w:themeColor="text1"/>
        </w:rPr>
      </w:pPr>
      <w:r w:rsidRPr="00583B7F">
        <w:rPr>
          <w:color w:val="000000" w:themeColor="text1"/>
        </w:rPr>
        <w:t>For operations teams, that makes take-back more than a waste initiative - it is a form of inventory and sourcing insurance. (Cafforio et al., 2025).</w:t>
      </w:r>
    </w:p>
    <w:p w14:paraId="2D7F5A55" w14:textId="77777777" w:rsidR="009E0227" w:rsidRDefault="009E0227" w:rsidP="00930CAF">
      <w:pPr>
        <w:spacing w:before="80" w:line="360" w:lineRule="auto"/>
      </w:pPr>
    </w:p>
    <w:p w14:paraId="09B93D08" w14:textId="77777777" w:rsidR="009E0227" w:rsidRDefault="00555B3C" w:rsidP="00930CAF">
      <w:pPr>
        <w:spacing w:before="160" w:after="160" w:line="360" w:lineRule="auto"/>
        <w:jc w:val="center"/>
      </w:pPr>
      <w:r>
        <w:rPr>
          <w:noProof/>
        </w:rPr>
        <w:lastRenderedPageBreak/>
        <w:drawing>
          <wp:inline distT="0" distB="0" distL="0" distR="0" wp14:anchorId="33BC5819" wp14:editId="74A1578B">
            <wp:extent cx="6620932" cy="2979420"/>
            <wp:effectExtent l="0" t="0" r="8890" b="0"/>
            <wp:docPr id="1452886905" name="Picture 145288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37170" cy="2986727"/>
                    </a:xfrm>
                    <a:prstGeom prst="rect">
                      <a:avLst/>
                    </a:prstGeom>
                  </pic:spPr>
                </pic:pic>
              </a:graphicData>
            </a:graphic>
          </wp:inline>
        </w:drawing>
      </w:r>
    </w:p>
    <w:p w14:paraId="226720B1" w14:textId="77777777" w:rsidR="009E0227" w:rsidRPr="00583B7F" w:rsidRDefault="00555B3C" w:rsidP="00930CAF">
      <w:pPr>
        <w:spacing w:after="160" w:line="360" w:lineRule="auto"/>
        <w:jc w:val="center"/>
        <w:rPr>
          <w:color w:val="000000" w:themeColor="text1"/>
        </w:rPr>
      </w:pPr>
      <w:r w:rsidRPr="00583B7F">
        <w:rPr>
          <w:color w:val="000000" w:themeColor="text1"/>
        </w:rPr>
        <w:t>Figure 3: Post-Disruption Recovery - Circular vs Linear Supply Chains (Based on Cafforio et al., 2025)</w:t>
      </w:r>
    </w:p>
    <w:p w14:paraId="695DF666" w14:textId="77777777" w:rsidR="009E0227" w:rsidRDefault="009E0227" w:rsidP="00930CAF">
      <w:pPr>
        <w:spacing w:before="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227" w14:paraId="760AA1F1" w14:textId="77777777">
        <w:tc>
          <w:tcPr>
            <w:tcW w:w="9360" w:type="dxa"/>
            <w:tcBorders>
              <w:top w:val="single" w:sz="2" w:space="0" w:color="2E9E6F"/>
              <w:left w:val="single" w:sz="2" w:space="0" w:color="2E9E6F"/>
              <w:bottom w:val="single" w:sz="2" w:space="0" w:color="2E9E6F"/>
              <w:right w:val="single" w:sz="2" w:space="0" w:color="2E9E6F"/>
            </w:tcBorders>
            <w:shd w:val="clear" w:color="auto" w:fill="FFF8E7"/>
            <w:tcMar>
              <w:top w:w="160" w:type="dxa"/>
              <w:left w:w="240" w:type="dxa"/>
              <w:bottom w:w="160" w:type="dxa"/>
              <w:right w:w="240" w:type="dxa"/>
            </w:tcMar>
          </w:tcPr>
          <w:p w14:paraId="54C28790" w14:textId="77777777" w:rsidR="009E0227" w:rsidRDefault="00555B3C" w:rsidP="00930CAF">
            <w:pPr>
              <w:spacing w:after="60" w:line="360" w:lineRule="auto"/>
            </w:pPr>
            <w:r>
              <w:rPr>
                <w:b/>
                <w:color w:val="1B6B4A"/>
                <w:sz w:val="28"/>
              </w:rPr>
              <w:t>🏭</w:t>
            </w:r>
            <w:r>
              <w:rPr>
                <w:b/>
                <w:color w:val="1B6B4A"/>
                <w:sz w:val="28"/>
              </w:rPr>
              <w:t xml:space="preserve"> CASE SNAPSHOT: Inditex Take-Back</w:t>
            </w:r>
          </w:p>
          <w:p w14:paraId="45D7775A" w14:textId="77777777" w:rsidR="009E0227" w:rsidRDefault="00555B3C" w:rsidP="00930CAF">
            <w:pPr>
              <w:spacing w:line="360" w:lineRule="auto"/>
            </w:pPr>
            <w:r w:rsidRPr="00583B7F">
              <w:rPr>
                <w:color w:val="000000" w:themeColor="text1"/>
              </w:rPr>
              <w:t>Using the Inditex case, Cafforio et al. (2025) show that garment take-back can lower long-run cost and emissions while accelerating post-disruption recovery. (Cafforio et al., 2025).</w:t>
            </w:r>
          </w:p>
        </w:tc>
      </w:tr>
    </w:tbl>
    <w:p w14:paraId="10F38A1F" w14:textId="77777777" w:rsidR="009E0227" w:rsidRDefault="009E0227" w:rsidP="00930CAF">
      <w:pPr>
        <w:pBdr>
          <w:bottom w:val="single" w:sz="8" w:space="1" w:color="2E9E6F"/>
        </w:pBdr>
        <w:spacing w:before="40" w:after="200" w:line="360" w:lineRule="auto"/>
      </w:pPr>
    </w:p>
    <w:p w14:paraId="6A068C91" w14:textId="77777777" w:rsidR="009E0227" w:rsidRDefault="00555B3C" w:rsidP="00930CAF">
      <w:pPr>
        <w:pStyle w:val="Heading2"/>
        <w:spacing w:line="360" w:lineRule="auto"/>
      </w:pPr>
      <w:r>
        <w:t>4. Sector Deep-Dives: Fashion vs. Manufacturing</w:t>
      </w:r>
    </w:p>
    <w:p w14:paraId="184B978E" w14:textId="77777777" w:rsidR="009E0227" w:rsidRPr="00583B7F" w:rsidRDefault="00555B3C" w:rsidP="00930CAF">
      <w:pPr>
        <w:spacing w:before="80" w:after="120" w:line="360" w:lineRule="auto"/>
        <w:rPr>
          <w:color w:val="000000" w:themeColor="text1"/>
        </w:rPr>
      </w:pPr>
      <w:r w:rsidRPr="00583B7F">
        <w:rPr>
          <w:color w:val="000000" w:themeColor="text1"/>
        </w:rPr>
        <w:t>The sector pattern is similar, but the route differs: fashion advances through collaboration and visibility, while manufacturing gains through scale, recovery, and cost leverage. (Colombo et al., 2025; Vietnam GSCM Study, 2022).</w:t>
      </w:r>
    </w:p>
    <w:p w14:paraId="2701E63F" w14:textId="77777777" w:rsidR="009E0227" w:rsidRDefault="00555B3C" w:rsidP="00930CAF">
      <w:pPr>
        <w:spacing w:before="80" w:after="120" w:line="360" w:lineRule="auto"/>
      </w:pPr>
      <w:r>
        <w:rPr>
          <w:b/>
          <w:color w:val="1B6B4A"/>
        </w:rPr>
        <w:t xml:space="preserve">Fashion &amp; Apparel: </w:t>
      </w:r>
      <w:r w:rsidRPr="00583B7F">
        <w:rPr>
          <w:color w:val="000000" w:themeColor="text1"/>
        </w:rPr>
        <w:t>Colombo et al. (2025) show that shared take-back logistics and eco-design with suppliers reduce virgin material dependence and improve adaptability to supply shocks. (Colombo et al., 2025).</w:t>
      </w:r>
    </w:p>
    <w:p w14:paraId="0EEAD98E" w14:textId="77777777" w:rsidR="009E0227" w:rsidRDefault="009E0227" w:rsidP="00930CAF">
      <w:pPr>
        <w:spacing w:before="80" w:line="360" w:lineRule="auto"/>
      </w:pPr>
    </w:p>
    <w:p w14:paraId="62A8C7D1" w14:textId="77777777" w:rsidR="009E0227" w:rsidRDefault="00555B3C" w:rsidP="00930CAF">
      <w:pPr>
        <w:spacing w:before="80" w:after="120" w:line="360" w:lineRule="auto"/>
      </w:pPr>
      <w:r>
        <w:rPr>
          <w:b/>
          <w:color w:val="1B6B4A"/>
        </w:rPr>
        <w:t xml:space="preserve">General Manufacturing: </w:t>
      </w:r>
      <w:r w:rsidRPr="00583B7F">
        <w:rPr>
          <w:color w:val="000000" w:themeColor="text1"/>
        </w:rPr>
        <w:t>The 2022 Vietnam study finds that green purchasing, eco-design, and reverse logistics improve firm performance, especially when supply chain integration is strong. (Vietnam GSCM Study, 2022).</w:t>
      </w:r>
    </w:p>
    <w:p w14:paraId="000695B7" w14:textId="77777777" w:rsidR="009E0227" w:rsidRDefault="009E0227" w:rsidP="00930CAF">
      <w:pPr>
        <w:spacing w:before="120" w:line="360" w:lineRule="auto"/>
      </w:pPr>
    </w:p>
    <w:p w14:paraId="17AA3977" w14:textId="77777777" w:rsidR="009E0227" w:rsidRDefault="00555B3C" w:rsidP="00930CAF">
      <w:pPr>
        <w:spacing w:before="160" w:after="160" w:line="360" w:lineRule="auto"/>
        <w:jc w:val="center"/>
      </w:pPr>
      <w:r>
        <w:rPr>
          <w:noProof/>
        </w:rPr>
        <w:drawing>
          <wp:inline distT="0" distB="0" distL="0" distR="0" wp14:anchorId="37D4BF9C" wp14:editId="769BDD6F">
            <wp:extent cx="6496050" cy="2728341"/>
            <wp:effectExtent l="0" t="0" r="0" b="0"/>
            <wp:docPr id="1185809224" name="Picture 118580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18139" cy="2737618"/>
                    </a:xfrm>
                    <a:prstGeom prst="rect">
                      <a:avLst/>
                    </a:prstGeom>
                  </pic:spPr>
                </pic:pic>
              </a:graphicData>
            </a:graphic>
          </wp:inline>
        </w:drawing>
      </w:r>
    </w:p>
    <w:p w14:paraId="786B559B" w14:textId="77777777" w:rsidR="009E0227" w:rsidRPr="00696628" w:rsidRDefault="00555B3C" w:rsidP="00930CAF">
      <w:pPr>
        <w:spacing w:after="200" w:line="360" w:lineRule="auto"/>
        <w:jc w:val="center"/>
        <w:rPr>
          <w:color w:val="000000" w:themeColor="text1"/>
        </w:rPr>
      </w:pPr>
      <w:r w:rsidRPr="00696628">
        <w:rPr>
          <w:color w:val="000000" w:themeColor="text1"/>
        </w:rPr>
        <w:t>Figure 4: Circular Strategy Adoption Intensity by Sector (Synthesised from Colombo et al., 2025; Cafforio et al., 2025; Vietnam GSCM Study, 2022)</w:t>
      </w:r>
    </w:p>
    <w:p w14:paraId="48C01ED4" w14:textId="77777777" w:rsidR="009E0227" w:rsidRDefault="009E0227" w:rsidP="00930CAF">
      <w:pPr>
        <w:pBdr>
          <w:bottom w:val="single" w:sz="8" w:space="1" w:color="2E9E6F"/>
        </w:pBdr>
        <w:spacing w:before="40" w:after="200" w:line="360" w:lineRule="auto"/>
      </w:pPr>
    </w:p>
    <w:p w14:paraId="0D6B74AC" w14:textId="77777777" w:rsidR="009E0227" w:rsidRDefault="00555B3C" w:rsidP="00930CAF">
      <w:pPr>
        <w:pStyle w:val="Heading2"/>
        <w:spacing w:line="360" w:lineRule="auto"/>
      </w:pPr>
      <w:r>
        <w:t>5. Evidence Scorecard: What Do the Studies Actually Show?</w:t>
      </w:r>
    </w:p>
    <w:p w14:paraId="6E67B32A" w14:textId="77777777" w:rsidR="009E0227" w:rsidRPr="00696628" w:rsidRDefault="00555B3C" w:rsidP="00930CAF">
      <w:pPr>
        <w:spacing w:before="80" w:after="120" w:line="360" w:lineRule="auto"/>
        <w:rPr>
          <w:color w:val="000000" w:themeColor="text1"/>
        </w:rPr>
      </w:pPr>
      <w:r w:rsidRPr="00696628">
        <w:rPr>
          <w:color w:val="000000" w:themeColor="text1"/>
        </w:rPr>
        <w:t xml:space="preserve">The five studies below point in the same direction: </w:t>
      </w:r>
      <w:r w:rsidRPr="00696628">
        <w:rPr>
          <w:b/>
          <w:bCs/>
          <w:color w:val="000000" w:themeColor="text1"/>
        </w:rPr>
        <w:t>better resilience, lower material risk, and stronger performance</w:t>
      </w:r>
      <w:r w:rsidRPr="00696628">
        <w:rPr>
          <w:color w:val="000000" w:themeColor="text1"/>
        </w:rPr>
        <w:t xml:space="preserve"> when circular practices are embedded into the network. (Pellegrino et al., 2025; Colombo et al., 2025; Cafforio et al., 2025; Vietnam GSCM Study, 2022).</w:t>
      </w:r>
    </w:p>
    <w:p w14:paraId="1B513371" w14:textId="77777777" w:rsidR="009E0227" w:rsidRDefault="009E0227" w:rsidP="00930CAF">
      <w:pPr>
        <w:spacing w:before="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80"/>
        <w:gridCol w:w="1880"/>
        <w:gridCol w:w="1880"/>
      </w:tblGrid>
      <w:tr w:rsidR="009E0227" w14:paraId="53A89880" w14:textId="77777777">
        <w:trPr>
          <w:tblHeader/>
        </w:trPr>
        <w:tc>
          <w:tcPr>
            <w:tcW w:w="3120" w:type="dxa"/>
            <w:tcBorders>
              <w:top w:val="single" w:sz="2" w:space="0" w:color="2E9E6F"/>
              <w:left w:val="single" w:sz="2" w:space="0" w:color="2E9E6F"/>
              <w:bottom w:val="single" w:sz="2" w:space="0" w:color="2E9E6F"/>
              <w:right w:val="single" w:sz="2" w:space="0" w:color="2E9E6F"/>
            </w:tcBorders>
            <w:shd w:val="clear" w:color="auto" w:fill="1B6B4A"/>
            <w:tcMar>
              <w:top w:w="80" w:type="dxa"/>
              <w:left w:w="120" w:type="dxa"/>
              <w:bottom w:w="80" w:type="dxa"/>
              <w:right w:w="120" w:type="dxa"/>
            </w:tcMar>
            <w:vAlign w:val="center"/>
          </w:tcPr>
          <w:p w14:paraId="152F4028" w14:textId="77777777" w:rsidR="009E0227" w:rsidRDefault="00555B3C" w:rsidP="00930CAF">
            <w:pPr>
              <w:spacing w:line="360" w:lineRule="auto"/>
            </w:pPr>
            <w:r>
              <w:rPr>
                <w:b/>
                <w:bCs/>
                <w:color w:val="FFFFFF"/>
                <w:sz w:val="19"/>
                <w:szCs w:val="19"/>
              </w:rPr>
              <w:t>Study</w:t>
            </w:r>
          </w:p>
        </w:tc>
        <w:tc>
          <w:tcPr>
            <w:tcW w:w="2480" w:type="dxa"/>
            <w:tcBorders>
              <w:top w:val="single" w:sz="2" w:space="0" w:color="2E9E6F"/>
              <w:left w:val="single" w:sz="2" w:space="0" w:color="2E9E6F"/>
              <w:bottom w:val="single" w:sz="2" w:space="0" w:color="2E9E6F"/>
              <w:right w:val="single" w:sz="2" w:space="0" w:color="2E9E6F"/>
            </w:tcBorders>
            <w:shd w:val="clear" w:color="auto" w:fill="1B6B4A"/>
            <w:tcMar>
              <w:top w:w="80" w:type="dxa"/>
              <w:left w:w="120" w:type="dxa"/>
              <w:bottom w:w="80" w:type="dxa"/>
              <w:right w:w="120" w:type="dxa"/>
            </w:tcMar>
            <w:vAlign w:val="center"/>
          </w:tcPr>
          <w:p w14:paraId="50BD0AA8" w14:textId="77777777" w:rsidR="009E0227" w:rsidRDefault="00555B3C" w:rsidP="00930CAF">
            <w:pPr>
              <w:spacing w:line="360" w:lineRule="auto"/>
            </w:pPr>
            <w:r>
              <w:rPr>
                <w:b/>
                <w:bCs/>
                <w:color w:val="FFFFFF"/>
                <w:sz w:val="19"/>
                <w:szCs w:val="19"/>
              </w:rPr>
              <w:t>Context</w:t>
            </w:r>
          </w:p>
        </w:tc>
        <w:tc>
          <w:tcPr>
            <w:tcW w:w="1880" w:type="dxa"/>
            <w:tcBorders>
              <w:top w:val="single" w:sz="2" w:space="0" w:color="2E9E6F"/>
              <w:left w:val="single" w:sz="2" w:space="0" w:color="2E9E6F"/>
              <w:bottom w:val="single" w:sz="2" w:space="0" w:color="2E9E6F"/>
              <w:right w:val="single" w:sz="2" w:space="0" w:color="2E9E6F"/>
            </w:tcBorders>
            <w:shd w:val="clear" w:color="auto" w:fill="1B6B4A"/>
            <w:tcMar>
              <w:top w:w="80" w:type="dxa"/>
              <w:left w:w="120" w:type="dxa"/>
              <w:bottom w:w="80" w:type="dxa"/>
              <w:right w:w="120" w:type="dxa"/>
            </w:tcMar>
            <w:vAlign w:val="center"/>
          </w:tcPr>
          <w:p w14:paraId="7F4EBDD9" w14:textId="77777777" w:rsidR="009E0227" w:rsidRDefault="00555B3C" w:rsidP="00930CAF">
            <w:pPr>
              <w:spacing w:line="360" w:lineRule="auto"/>
            </w:pPr>
            <w:r>
              <w:rPr>
                <w:b/>
                <w:bCs/>
                <w:color w:val="FFFFFF"/>
                <w:sz w:val="19"/>
                <w:szCs w:val="19"/>
              </w:rPr>
              <w:t>Key Metric</w:t>
            </w:r>
          </w:p>
        </w:tc>
        <w:tc>
          <w:tcPr>
            <w:tcW w:w="1880" w:type="dxa"/>
            <w:tcBorders>
              <w:top w:val="single" w:sz="2" w:space="0" w:color="2E9E6F"/>
              <w:left w:val="single" w:sz="2" w:space="0" w:color="2E9E6F"/>
              <w:bottom w:val="single" w:sz="2" w:space="0" w:color="2E9E6F"/>
              <w:right w:val="single" w:sz="2" w:space="0" w:color="2E9E6F"/>
            </w:tcBorders>
            <w:shd w:val="clear" w:color="auto" w:fill="1B6B4A"/>
            <w:tcMar>
              <w:top w:w="80" w:type="dxa"/>
              <w:left w:w="120" w:type="dxa"/>
              <w:bottom w:w="80" w:type="dxa"/>
              <w:right w:w="120" w:type="dxa"/>
            </w:tcMar>
            <w:vAlign w:val="center"/>
          </w:tcPr>
          <w:p w14:paraId="0AD6207A" w14:textId="77777777" w:rsidR="009E0227" w:rsidRDefault="00555B3C" w:rsidP="00930CAF">
            <w:pPr>
              <w:spacing w:line="360" w:lineRule="auto"/>
            </w:pPr>
            <w:r>
              <w:rPr>
                <w:b/>
                <w:bCs/>
                <w:color w:val="FFFFFF"/>
                <w:sz w:val="19"/>
                <w:szCs w:val="19"/>
              </w:rPr>
              <w:t>Outcome</w:t>
            </w:r>
          </w:p>
        </w:tc>
      </w:tr>
      <w:tr w:rsidR="009E0227" w14:paraId="61F280FB"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EF387A" w14:textId="77777777" w:rsidR="009E0227" w:rsidRPr="00696628" w:rsidRDefault="00555B3C" w:rsidP="00930CAF">
            <w:pPr>
              <w:spacing w:line="360" w:lineRule="auto"/>
              <w:rPr>
                <w:b/>
                <w:bCs/>
                <w:sz w:val="19"/>
                <w:szCs w:val="19"/>
              </w:rPr>
            </w:pPr>
            <w:r w:rsidRPr="00696628">
              <w:rPr>
                <w:b/>
                <w:bCs/>
                <w:color w:val="1F2937"/>
                <w:sz w:val="19"/>
                <w:szCs w:val="19"/>
              </w:rPr>
              <w:t>Pellegrino et al. (2025)</w:t>
            </w:r>
          </w:p>
        </w:tc>
        <w:tc>
          <w:tcPr>
            <w:tcW w:w="2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648DB" w14:textId="77777777" w:rsidR="009E0227" w:rsidRPr="00696628" w:rsidRDefault="00555B3C" w:rsidP="00930CAF">
            <w:pPr>
              <w:spacing w:line="360" w:lineRule="auto"/>
              <w:rPr>
                <w:sz w:val="19"/>
                <w:szCs w:val="19"/>
              </w:rPr>
            </w:pPr>
            <w:r w:rsidRPr="00696628">
              <w:rPr>
                <w:color w:val="1F2937"/>
                <w:sz w:val="19"/>
                <w:szCs w:val="19"/>
              </w:rPr>
              <w:t>Italian enterprises, PLS-SEM survey</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35DDAA" w14:textId="77777777" w:rsidR="009E0227" w:rsidRPr="00696628" w:rsidRDefault="00555B3C" w:rsidP="00930CAF">
            <w:pPr>
              <w:spacing w:line="360" w:lineRule="auto"/>
              <w:rPr>
                <w:sz w:val="19"/>
                <w:szCs w:val="19"/>
              </w:rPr>
            </w:pPr>
            <w:r w:rsidRPr="00696628">
              <w:rPr>
                <w:color w:val="1F2937"/>
                <w:sz w:val="19"/>
                <w:szCs w:val="19"/>
              </w:rPr>
              <w:t>SCRES improvement</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859003" w14:textId="77777777" w:rsidR="00684AD5" w:rsidRPr="00696628" w:rsidRDefault="00555B3C">
            <w:pPr>
              <w:rPr>
                <w:color w:val="000000" w:themeColor="text1"/>
                <w:sz w:val="19"/>
                <w:szCs w:val="19"/>
              </w:rPr>
            </w:pPr>
            <w:r w:rsidRPr="00696628">
              <w:rPr>
                <w:color w:val="000000" w:themeColor="text1"/>
                <w:sz w:val="19"/>
                <w:szCs w:val="19"/>
              </w:rPr>
              <w:t xml:space="preserve">CE adoption boosts </w:t>
            </w:r>
            <w:proofErr w:type="gramStart"/>
            <w:r w:rsidRPr="00696628">
              <w:rPr>
                <w:color w:val="000000" w:themeColor="text1"/>
                <w:sz w:val="19"/>
                <w:szCs w:val="19"/>
              </w:rPr>
              <w:t>resilience;</w:t>
            </w:r>
            <w:proofErr w:type="gramEnd"/>
            <w:r w:rsidRPr="00696628">
              <w:rPr>
                <w:color w:val="000000" w:themeColor="text1"/>
                <w:sz w:val="19"/>
                <w:szCs w:val="19"/>
              </w:rPr>
              <w:t xml:space="preserve"> effect is stronger under high supply risk</w:t>
            </w:r>
          </w:p>
        </w:tc>
      </w:tr>
      <w:tr w:rsidR="009E0227" w14:paraId="50FA8963" w14:textId="77777777">
        <w:tc>
          <w:tcPr>
            <w:tcW w:w="312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2F4AF85F" w14:textId="77777777" w:rsidR="009E0227" w:rsidRPr="00696628" w:rsidRDefault="00555B3C" w:rsidP="00930CAF">
            <w:pPr>
              <w:spacing w:line="360" w:lineRule="auto"/>
              <w:rPr>
                <w:b/>
                <w:bCs/>
                <w:sz w:val="19"/>
                <w:szCs w:val="19"/>
              </w:rPr>
            </w:pPr>
            <w:r w:rsidRPr="00696628">
              <w:rPr>
                <w:b/>
                <w:bCs/>
                <w:color w:val="1F2937"/>
                <w:sz w:val="19"/>
                <w:szCs w:val="19"/>
              </w:rPr>
              <w:t>Colombo et al. (2025)</w:t>
            </w:r>
          </w:p>
        </w:tc>
        <w:tc>
          <w:tcPr>
            <w:tcW w:w="24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6A273085" w14:textId="77777777" w:rsidR="009E0227" w:rsidRPr="00696628" w:rsidRDefault="00555B3C" w:rsidP="00930CAF">
            <w:pPr>
              <w:spacing w:line="360" w:lineRule="auto"/>
              <w:rPr>
                <w:sz w:val="19"/>
                <w:szCs w:val="19"/>
              </w:rPr>
            </w:pPr>
            <w:r w:rsidRPr="00696628">
              <w:rPr>
                <w:color w:val="1F2937"/>
                <w:sz w:val="19"/>
                <w:szCs w:val="19"/>
              </w:rPr>
              <w:t>Textile/fashion multi-case</w:t>
            </w:r>
          </w:p>
        </w:tc>
        <w:tc>
          <w:tcPr>
            <w:tcW w:w="18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7C7D609D" w14:textId="77777777" w:rsidR="009E0227" w:rsidRPr="00696628" w:rsidRDefault="00555B3C" w:rsidP="00930CAF">
            <w:pPr>
              <w:spacing w:line="360" w:lineRule="auto"/>
              <w:rPr>
                <w:sz w:val="19"/>
                <w:szCs w:val="19"/>
              </w:rPr>
            </w:pPr>
            <w:r w:rsidRPr="00696628">
              <w:rPr>
                <w:color w:val="1F2937"/>
                <w:sz w:val="19"/>
                <w:szCs w:val="19"/>
              </w:rPr>
              <w:t>Material cost efficiency</w:t>
            </w:r>
          </w:p>
        </w:tc>
        <w:tc>
          <w:tcPr>
            <w:tcW w:w="18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70F0625D" w14:textId="77777777" w:rsidR="00684AD5" w:rsidRPr="00696628" w:rsidRDefault="00555B3C">
            <w:pPr>
              <w:rPr>
                <w:color w:val="000000" w:themeColor="text1"/>
                <w:sz w:val="19"/>
                <w:szCs w:val="19"/>
              </w:rPr>
            </w:pPr>
            <w:r w:rsidRPr="00696628">
              <w:rPr>
                <w:color w:val="000000" w:themeColor="text1"/>
                <w:sz w:val="19"/>
                <w:szCs w:val="19"/>
              </w:rPr>
              <w:t>Collaborative loops reduce virgin input reliance and improve shock adaptability</w:t>
            </w:r>
          </w:p>
        </w:tc>
      </w:tr>
      <w:tr w:rsidR="009E0227" w14:paraId="1D084059"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7581B1" w14:textId="77777777" w:rsidR="009E0227" w:rsidRPr="00696628" w:rsidRDefault="00555B3C" w:rsidP="00930CAF">
            <w:pPr>
              <w:spacing w:line="360" w:lineRule="auto"/>
              <w:rPr>
                <w:b/>
                <w:bCs/>
                <w:sz w:val="19"/>
                <w:szCs w:val="19"/>
              </w:rPr>
            </w:pPr>
            <w:proofErr w:type="spellStart"/>
            <w:r w:rsidRPr="00696628">
              <w:rPr>
                <w:b/>
                <w:bCs/>
                <w:color w:val="1F2937"/>
                <w:sz w:val="19"/>
                <w:szCs w:val="19"/>
              </w:rPr>
              <w:t>Cafforio</w:t>
            </w:r>
            <w:proofErr w:type="spellEnd"/>
            <w:r w:rsidRPr="00696628">
              <w:rPr>
                <w:b/>
                <w:bCs/>
                <w:color w:val="1F2937"/>
                <w:sz w:val="19"/>
                <w:szCs w:val="19"/>
              </w:rPr>
              <w:t xml:space="preserve"> et al. (2025)</w:t>
            </w:r>
          </w:p>
        </w:tc>
        <w:tc>
          <w:tcPr>
            <w:tcW w:w="2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FD3E43" w14:textId="77777777" w:rsidR="009E0227" w:rsidRPr="00696628" w:rsidRDefault="00555B3C" w:rsidP="00930CAF">
            <w:pPr>
              <w:spacing w:line="360" w:lineRule="auto"/>
              <w:rPr>
                <w:sz w:val="19"/>
                <w:szCs w:val="19"/>
              </w:rPr>
            </w:pPr>
            <w:r w:rsidRPr="00696628">
              <w:rPr>
                <w:color w:val="1F2937"/>
                <w:sz w:val="19"/>
                <w:szCs w:val="19"/>
              </w:rPr>
              <w:t>Circular SC modelling + Inditex</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A7DD0" w14:textId="77777777" w:rsidR="009E0227" w:rsidRPr="00696628" w:rsidRDefault="00555B3C" w:rsidP="00930CAF">
            <w:pPr>
              <w:spacing w:line="360" w:lineRule="auto"/>
              <w:rPr>
                <w:sz w:val="19"/>
                <w:szCs w:val="19"/>
              </w:rPr>
            </w:pPr>
            <w:r w:rsidRPr="00696628">
              <w:rPr>
                <w:color w:val="1F2937"/>
                <w:sz w:val="19"/>
                <w:szCs w:val="19"/>
              </w:rPr>
              <w:t>Recovery speed</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95680" w14:textId="77777777" w:rsidR="00684AD5" w:rsidRPr="00696628" w:rsidRDefault="00555B3C">
            <w:pPr>
              <w:rPr>
                <w:color w:val="000000" w:themeColor="text1"/>
                <w:sz w:val="19"/>
                <w:szCs w:val="19"/>
              </w:rPr>
            </w:pPr>
            <w:r w:rsidRPr="00696628">
              <w:rPr>
                <w:color w:val="000000" w:themeColor="text1"/>
                <w:sz w:val="19"/>
                <w:szCs w:val="19"/>
              </w:rPr>
              <w:t>About 4 months faster post-disruption equilibrium; lower long-run cost and emissions</w:t>
            </w:r>
          </w:p>
        </w:tc>
      </w:tr>
      <w:tr w:rsidR="009E0227" w14:paraId="17DA0F09" w14:textId="77777777">
        <w:tc>
          <w:tcPr>
            <w:tcW w:w="312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6099539F" w14:textId="77777777" w:rsidR="009E0227" w:rsidRPr="00696628" w:rsidRDefault="00555B3C" w:rsidP="00930CAF">
            <w:pPr>
              <w:spacing w:line="360" w:lineRule="auto"/>
              <w:rPr>
                <w:b/>
                <w:bCs/>
                <w:sz w:val="19"/>
                <w:szCs w:val="19"/>
              </w:rPr>
            </w:pPr>
            <w:r w:rsidRPr="00696628">
              <w:rPr>
                <w:b/>
                <w:bCs/>
                <w:color w:val="1F2937"/>
                <w:sz w:val="19"/>
                <w:szCs w:val="19"/>
              </w:rPr>
              <w:lastRenderedPageBreak/>
              <w:t>Vietnam GSCM Study (2022)</w:t>
            </w:r>
          </w:p>
        </w:tc>
        <w:tc>
          <w:tcPr>
            <w:tcW w:w="24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7529EAED" w14:textId="77777777" w:rsidR="009E0227" w:rsidRPr="00696628" w:rsidRDefault="00555B3C" w:rsidP="00930CAF">
            <w:pPr>
              <w:spacing w:line="360" w:lineRule="auto"/>
              <w:rPr>
                <w:sz w:val="19"/>
                <w:szCs w:val="19"/>
              </w:rPr>
            </w:pPr>
            <w:r w:rsidRPr="00696628">
              <w:rPr>
                <w:color w:val="1F2937"/>
                <w:sz w:val="19"/>
                <w:szCs w:val="19"/>
              </w:rPr>
              <w:t>313 manufacturing firms, PLS-SEM</w:t>
            </w:r>
          </w:p>
        </w:tc>
        <w:tc>
          <w:tcPr>
            <w:tcW w:w="18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64268313" w14:textId="77777777" w:rsidR="009E0227" w:rsidRPr="00696628" w:rsidRDefault="00555B3C" w:rsidP="00930CAF">
            <w:pPr>
              <w:spacing w:line="360" w:lineRule="auto"/>
              <w:rPr>
                <w:sz w:val="19"/>
                <w:szCs w:val="19"/>
              </w:rPr>
            </w:pPr>
            <w:r w:rsidRPr="00696628">
              <w:rPr>
                <w:color w:val="1F2937"/>
                <w:sz w:val="19"/>
                <w:szCs w:val="19"/>
              </w:rPr>
              <w:t>Competitive advantage → performance</w:t>
            </w:r>
          </w:p>
        </w:tc>
        <w:tc>
          <w:tcPr>
            <w:tcW w:w="18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20" w:type="dxa"/>
              <w:bottom w:w="80" w:type="dxa"/>
              <w:right w:w="120" w:type="dxa"/>
            </w:tcMar>
          </w:tcPr>
          <w:p w14:paraId="347F6F35" w14:textId="77777777" w:rsidR="00684AD5" w:rsidRPr="00696628" w:rsidRDefault="00555B3C">
            <w:pPr>
              <w:rPr>
                <w:sz w:val="19"/>
                <w:szCs w:val="19"/>
              </w:rPr>
            </w:pPr>
            <w:r w:rsidRPr="00696628">
              <w:rPr>
                <w:color w:val="000000" w:themeColor="text1"/>
                <w:sz w:val="19"/>
                <w:szCs w:val="19"/>
              </w:rPr>
              <w:t>Green purchasing, eco-design, and reverse logistics improve economic and environmental KPIs</w:t>
            </w:r>
          </w:p>
        </w:tc>
      </w:tr>
      <w:tr w:rsidR="009E0227" w14:paraId="546BC8E6" w14:textId="77777777">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7F8A63" w14:textId="77777777" w:rsidR="009E0227" w:rsidRPr="00696628" w:rsidRDefault="00555B3C" w:rsidP="00930CAF">
            <w:pPr>
              <w:spacing w:line="360" w:lineRule="auto"/>
              <w:rPr>
                <w:b/>
                <w:bCs/>
                <w:sz w:val="19"/>
                <w:szCs w:val="19"/>
              </w:rPr>
            </w:pPr>
            <w:r w:rsidRPr="00696628">
              <w:rPr>
                <w:b/>
                <w:bCs/>
                <w:color w:val="1F2937"/>
                <w:sz w:val="19"/>
                <w:szCs w:val="19"/>
              </w:rPr>
              <w:t>Springer CE Synthesis (2024–25)</w:t>
            </w:r>
          </w:p>
        </w:tc>
        <w:tc>
          <w:tcPr>
            <w:tcW w:w="2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ECC1B1" w14:textId="77777777" w:rsidR="009E0227" w:rsidRPr="00696628" w:rsidRDefault="00555B3C" w:rsidP="00930CAF">
            <w:pPr>
              <w:spacing w:line="360" w:lineRule="auto"/>
              <w:rPr>
                <w:sz w:val="19"/>
                <w:szCs w:val="19"/>
              </w:rPr>
            </w:pPr>
            <w:r w:rsidRPr="00696628">
              <w:rPr>
                <w:color w:val="1F2937"/>
                <w:sz w:val="19"/>
                <w:szCs w:val="19"/>
              </w:rPr>
              <w:t>Fashion SC survey + industry data</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CF9951" w14:textId="77777777" w:rsidR="009E0227" w:rsidRPr="00696628" w:rsidRDefault="00555B3C" w:rsidP="00930CAF">
            <w:pPr>
              <w:spacing w:line="360" w:lineRule="auto"/>
              <w:rPr>
                <w:sz w:val="19"/>
                <w:szCs w:val="19"/>
              </w:rPr>
            </w:pPr>
            <w:r w:rsidRPr="00696628">
              <w:rPr>
                <w:color w:val="1F2937"/>
                <w:sz w:val="19"/>
                <w:szCs w:val="19"/>
              </w:rPr>
              <w:t>Resource efficiency</w:t>
            </w:r>
          </w:p>
        </w:tc>
        <w:tc>
          <w:tcPr>
            <w:tcW w:w="1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396F33" w14:textId="77777777" w:rsidR="00684AD5" w:rsidRPr="00696628" w:rsidRDefault="00555B3C">
            <w:pPr>
              <w:rPr>
                <w:sz w:val="19"/>
                <w:szCs w:val="19"/>
              </w:rPr>
            </w:pPr>
            <w:r w:rsidRPr="00696628">
              <w:rPr>
                <w:color w:val="000000" w:themeColor="text1"/>
                <w:sz w:val="19"/>
                <w:szCs w:val="19"/>
              </w:rPr>
              <w:t>Circular orchestration improves efficiency and reduces disruption vulnerability</w:t>
            </w:r>
          </w:p>
        </w:tc>
      </w:tr>
    </w:tbl>
    <w:p w14:paraId="4607036F" w14:textId="77777777" w:rsidR="009E0227" w:rsidRDefault="009E0227" w:rsidP="00930CAF">
      <w:pPr>
        <w:pBdr>
          <w:bottom w:val="single" w:sz="8" w:space="1" w:color="2E9E6F"/>
        </w:pBdr>
        <w:spacing w:before="40" w:after="200" w:line="360" w:lineRule="auto"/>
      </w:pPr>
    </w:p>
    <w:p w14:paraId="161B9809" w14:textId="77777777" w:rsidR="009E0227" w:rsidRDefault="00555B3C" w:rsidP="00930CAF">
      <w:pPr>
        <w:pStyle w:val="Heading2"/>
        <w:spacing w:line="360" w:lineRule="auto"/>
      </w:pPr>
      <w:r>
        <w:t>6. The Trade-Off Nobody Talks About</w:t>
      </w:r>
    </w:p>
    <w:p w14:paraId="3BA45B86" w14:textId="77777777" w:rsidR="009E0227" w:rsidRPr="00696628" w:rsidRDefault="00555B3C" w:rsidP="00930CAF">
      <w:pPr>
        <w:spacing w:before="80" w:after="120" w:line="360" w:lineRule="auto"/>
        <w:rPr>
          <w:color w:val="000000" w:themeColor="text1"/>
        </w:rPr>
      </w:pPr>
      <w:r w:rsidRPr="00696628">
        <w:rPr>
          <w:color w:val="000000" w:themeColor="text1"/>
        </w:rPr>
        <w:t xml:space="preserve">Circular supply chains still require </w:t>
      </w:r>
      <w:r w:rsidRPr="00696628">
        <w:rPr>
          <w:b/>
          <w:bCs/>
          <w:color w:val="000000" w:themeColor="text1"/>
        </w:rPr>
        <w:t>upfront investment</w:t>
      </w:r>
      <w:r w:rsidRPr="00696628">
        <w:rPr>
          <w:color w:val="000000" w:themeColor="text1"/>
        </w:rPr>
        <w:t xml:space="preserve"> in reverse logistics, supplier coordination, and eco-design. But the evidence shows that those costs can translate into </w:t>
      </w:r>
      <w:r w:rsidRPr="00696628">
        <w:rPr>
          <w:b/>
          <w:bCs/>
          <w:color w:val="000000" w:themeColor="text1"/>
        </w:rPr>
        <w:t>faster recovery, lower dependence on virgin inputs, and stronger long-term efficiency</w:t>
      </w:r>
      <w:r w:rsidRPr="00696628">
        <w:rPr>
          <w:color w:val="000000" w:themeColor="text1"/>
        </w:rPr>
        <w:t>. (Pellegrino et al., 2025; Colombo et al., 2025; Cafforio et al.,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0227" w14:paraId="5E2408F8" w14:textId="77777777">
        <w:tc>
          <w:tcPr>
            <w:tcW w:w="4680" w:type="dxa"/>
            <w:tcBorders>
              <w:top w:val="single" w:sz="2" w:space="0" w:color="2E9E6F"/>
              <w:left w:val="single" w:sz="2" w:space="0" w:color="2E9E6F"/>
              <w:bottom w:val="single" w:sz="2" w:space="0" w:color="2E9E6F"/>
              <w:right w:val="single" w:sz="2" w:space="0" w:color="2E9E6F"/>
            </w:tcBorders>
            <w:shd w:val="clear" w:color="auto" w:fill="1B6B4A"/>
            <w:tcMar>
              <w:top w:w="100" w:type="dxa"/>
              <w:left w:w="160" w:type="dxa"/>
              <w:bottom w:w="100" w:type="dxa"/>
              <w:right w:w="160" w:type="dxa"/>
            </w:tcMar>
          </w:tcPr>
          <w:p w14:paraId="2B57FDBF" w14:textId="77777777" w:rsidR="009E0227" w:rsidRPr="00696628" w:rsidRDefault="00555B3C" w:rsidP="00930CAF">
            <w:pPr>
              <w:spacing w:line="360" w:lineRule="auto"/>
            </w:pPr>
            <w:r w:rsidRPr="00696628">
              <w:rPr>
                <w:b/>
                <w:bCs/>
                <w:color w:val="FFFFFF"/>
              </w:rPr>
              <w:t>⚠</w:t>
            </w:r>
            <w:r w:rsidRPr="00696628">
              <w:rPr>
                <w:b/>
                <w:bCs/>
                <w:color w:val="FFFFFF"/>
              </w:rPr>
              <w:t>️</w:t>
            </w:r>
            <w:r w:rsidRPr="00696628">
              <w:rPr>
                <w:b/>
                <w:bCs/>
                <w:color w:val="FFFFFF"/>
              </w:rPr>
              <w:t xml:space="preserve">  Short-Term Investment</w:t>
            </w:r>
          </w:p>
        </w:tc>
        <w:tc>
          <w:tcPr>
            <w:tcW w:w="4680" w:type="dxa"/>
            <w:tcBorders>
              <w:top w:val="single" w:sz="2" w:space="0" w:color="2E9E6F"/>
              <w:left w:val="single" w:sz="2" w:space="0" w:color="2E9E6F"/>
              <w:bottom w:val="single" w:sz="2" w:space="0" w:color="2E9E6F"/>
              <w:right w:val="single" w:sz="2" w:space="0" w:color="2E9E6F"/>
            </w:tcBorders>
            <w:shd w:val="clear" w:color="auto" w:fill="2E9E6F"/>
            <w:tcMar>
              <w:top w:w="100" w:type="dxa"/>
              <w:left w:w="160" w:type="dxa"/>
              <w:bottom w:w="100" w:type="dxa"/>
              <w:right w:w="160" w:type="dxa"/>
            </w:tcMar>
          </w:tcPr>
          <w:p w14:paraId="69AE4899" w14:textId="77777777" w:rsidR="009E0227" w:rsidRPr="00696628" w:rsidRDefault="00555B3C" w:rsidP="00930CAF">
            <w:pPr>
              <w:spacing w:line="360" w:lineRule="auto"/>
            </w:pPr>
            <w:r w:rsidRPr="00696628">
              <w:rPr>
                <w:b/>
                <w:bCs/>
                <w:color w:val="FFFFFF"/>
              </w:rPr>
              <w:t>✅</w:t>
            </w:r>
            <w:r w:rsidRPr="00696628">
              <w:rPr>
                <w:b/>
                <w:bCs/>
                <w:color w:val="FFFFFF"/>
              </w:rPr>
              <w:t xml:space="preserve">  Long-Term Resilience Gain</w:t>
            </w:r>
          </w:p>
        </w:tc>
      </w:tr>
      <w:tr w:rsidR="009E0227" w14:paraId="0A981DDB"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77907CF" w14:textId="77777777" w:rsidR="00684AD5" w:rsidRPr="00696628" w:rsidRDefault="00555B3C">
            <w:pPr>
              <w:rPr>
                <w:color w:val="000000" w:themeColor="text1"/>
              </w:rPr>
            </w:pPr>
            <w:r w:rsidRPr="00696628">
              <w:rPr>
                <w:color w:val="000000" w:themeColor="text1"/>
              </w:rPr>
              <w:t>Reverse logistics setup</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92D5162" w14:textId="77777777" w:rsidR="00684AD5" w:rsidRPr="00696628" w:rsidRDefault="00555B3C">
            <w:pPr>
              <w:rPr>
                <w:color w:val="000000" w:themeColor="text1"/>
              </w:rPr>
            </w:pPr>
            <w:r w:rsidRPr="00696628">
              <w:rPr>
                <w:color w:val="000000" w:themeColor="text1"/>
              </w:rPr>
              <w:t>Material buffer against supply shocks</w:t>
            </w:r>
          </w:p>
        </w:tc>
      </w:tr>
      <w:tr w:rsidR="009E0227" w14:paraId="759D1E76" w14:textId="77777777">
        <w:tc>
          <w:tcPr>
            <w:tcW w:w="46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60" w:type="dxa"/>
              <w:bottom w:w="80" w:type="dxa"/>
              <w:right w:w="160" w:type="dxa"/>
            </w:tcMar>
          </w:tcPr>
          <w:p w14:paraId="08BE1AB3" w14:textId="77777777" w:rsidR="00684AD5" w:rsidRPr="00696628" w:rsidRDefault="00555B3C">
            <w:pPr>
              <w:rPr>
                <w:color w:val="000000" w:themeColor="text1"/>
              </w:rPr>
            </w:pPr>
            <w:r w:rsidRPr="00696628">
              <w:rPr>
                <w:color w:val="000000" w:themeColor="text1"/>
              </w:rPr>
              <w:t>Supplier collaboration</w:t>
            </w:r>
          </w:p>
        </w:tc>
        <w:tc>
          <w:tcPr>
            <w:tcW w:w="46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60" w:type="dxa"/>
              <w:bottom w:w="80" w:type="dxa"/>
              <w:right w:w="160" w:type="dxa"/>
            </w:tcMar>
          </w:tcPr>
          <w:p w14:paraId="00130B17" w14:textId="77777777" w:rsidR="00684AD5" w:rsidRPr="00696628" w:rsidRDefault="00555B3C">
            <w:pPr>
              <w:rPr>
                <w:color w:val="000000" w:themeColor="text1"/>
              </w:rPr>
            </w:pPr>
            <w:r w:rsidRPr="00696628">
              <w:rPr>
                <w:color w:val="000000" w:themeColor="text1"/>
              </w:rPr>
              <w:t>Diversified sourcing and fewer single points of failure</w:t>
            </w:r>
          </w:p>
        </w:tc>
      </w:tr>
      <w:tr w:rsidR="009E0227" w14:paraId="284BC2DC"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27A67C0C" w14:textId="77777777" w:rsidR="00684AD5" w:rsidRPr="00696628" w:rsidRDefault="00555B3C">
            <w:pPr>
              <w:rPr>
                <w:color w:val="000000" w:themeColor="text1"/>
              </w:rPr>
            </w:pPr>
            <w:r w:rsidRPr="00696628">
              <w:rPr>
                <w:color w:val="000000" w:themeColor="text1"/>
              </w:rPr>
              <w:t>Eco-design investment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8F19E1E" w14:textId="77777777" w:rsidR="00684AD5" w:rsidRPr="00696628" w:rsidRDefault="00555B3C">
            <w:pPr>
              <w:rPr>
                <w:color w:val="000000" w:themeColor="text1"/>
              </w:rPr>
            </w:pPr>
            <w:r w:rsidRPr="00696628">
              <w:rPr>
                <w:color w:val="000000" w:themeColor="text1"/>
              </w:rPr>
              <w:t>Stronger compliance and resource efficiency</w:t>
            </w:r>
          </w:p>
        </w:tc>
      </w:tr>
      <w:tr w:rsidR="009E0227" w14:paraId="13D7D872" w14:textId="77777777">
        <w:tc>
          <w:tcPr>
            <w:tcW w:w="46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60" w:type="dxa"/>
              <w:bottom w:w="80" w:type="dxa"/>
              <w:right w:w="160" w:type="dxa"/>
            </w:tcMar>
          </w:tcPr>
          <w:p w14:paraId="7D7F4337" w14:textId="77777777" w:rsidR="00684AD5" w:rsidRPr="00696628" w:rsidRDefault="00555B3C">
            <w:pPr>
              <w:rPr>
                <w:color w:val="000000" w:themeColor="text1"/>
              </w:rPr>
            </w:pPr>
            <w:r w:rsidRPr="00696628">
              <w:rPr>
                <w:color w:val="000000" w:themeColor="text1"/>
              </w:rPr>
              <w:t>Take-back operations</w:t>
            </w:r>
          </w:p>
        </w:tc>
        <w:tc>
          <w:tcPr>
            <w:tcW w:w="4680" w:type="dxa"/>
            <w:tcBorders>
              <w:top w:val="single" w:sz="1" w:space="0" w:color="D1D5DB"/>
              <w:left w:val="single" w:sz="1" w:space="0" w:color="D1D5DB"/>
              <w:bottom w:val="single" w:sz="1" w:space="0" w:color="D1D5DB"/>
              <w:right w:val="single" w:sz="1" w:space="0" w:color="D1D5DB"/>
            </w:tcBorders>
            <w:shd w:val="clear" w:color="auto" w:fill="E8F5EF"/>
            <w:tcMar>
              <w:top w:w="80" w:type="dxa"/>
              <w:left w:w="160" w:type="dxa"/>
              <w:bottom w:w="80" w:type="dxa"/>
              <w:right w:w="160" w:type="dxa"/>
            </w:tcMar>
          </w:tcPr>
          <w:p w14:paraId="16429842" w14:textId="77777777" w:rsidR="00684AD5" w:rsidRPr="00696628" w:rsidRDefault="00555B3C">
            <w:pPr>
              <w:rPr>
                <w:color w:val="000000" w:themeColor="text1"/>
              </w:rPr>
            </w:pPr>
            <w:r w:rsidRPr="00696628">
              <w:rPr>
                <w:color w:val="000000" w:themeColor="text1"/>
              </w:rPr>
              <w:t>Recovered material as cost-effective input</w:t>
            </w:r>
          </w:p>
        </w:tc>
      </w:tr>
    </w:tbl>
    <w:p w14:paraId="5A97574B" w14:textId="77777777" w:rsidR="009E0227" w:rsidRDefault="009E0227" w:rsidP="00930CAF">
      <w:pPr>
        <w:spacing w:before="120" w:line="360" w:lineRule="auto"/>
      </w:pPr>
    </w:p>
    <w:p w14:paraId="7AFCB5D4" w14:textId="77777777" w:rsidR="009E0227" w:rsidRPr="00696628" w:rsidRDefault="00555B3C" w:rsidP="00930CAF">
      <w:pPr>
        <w:spacing w:before="80" w:after="120" w:line="360" w:lineRule="auto"/>
        <w:rPr>
          <w:color w:val="000000" w:themeColor="text1"/>
        </w:rPr>
      </w:pPr>
      <w:r w:rsidRPr="00696628">
        <w:rPr>
          <w:b/>
          <w:bCs/>
          <w:color w:val="000000" w:themeColor="text1"/>
        </w:rPr>
        <w:t>The trade-off is simple: spend earlier to reduce fragility later.</w:t>
      </w:r>
      <w:r w:rsidRPr="00696628">
        <w:rPr>
          <w:color w:val="000000" w:themeColor="text1"/>
        </w:rPr>
        <w:t xml:space="preserve"> (Pellegrino et al., 2025; Cafforio et al., 2025).</w:t>
      </w:r>
    </w:p>
    <w:p w14:paraId="4BD88133" w14:textId="77777777" w:rsidR="009E0227" w:rsidRDefault="009E0227" w:rsidP="00930CAF">
      <w:pPr>
        <w:pBdr>
          <w:bottom w:val="single" w:sz="8" w:space="1" w:color="2E9E6F"/>
        </w:pBdr>
        <w:spacing w:before="40" w:after="200" w:line="360" w:lineRule="auto"/>
      </w:pPr>
    </w:p>
    <w:p w14:paraId="4BE14CAE" w14:textId="77777777" w:rsidR="009E0227" w:rsidRDefault="00555B3C" w:rsidP="00930CAF">
      <w:pPr>
        <w:pStyle w:val="Heading2"/>
        <w:spacing w:line="360" w:lineRule="auto"/>
      </w:pPr>
      <w:r>
        <w:t>7. A Manager's Starting Toolkit</w:t>
      </w:r>
    </w:p>
    <w:p w14:paraId="1D47902C" w14:textId="77777777" w:rsidR="009E0227" w:rsidRPr="00696628" w:rsidRDefault="00555B3C" w:rsidP="00930CAF">
      <w:pPr>
        <w:spacing w:before="80" w:after="120" w:line="360" w:lineRule="auto"/>
        <w:rPr>
          <w:color w:val="000000" w:themeColor="text1"/>
        </w:rPr>
      </w:pPr>
      <w:r w:rsidRPr="00696628">
        <w:rPr>
          <w:color w:val="000000" w:themeColor="text1"/>
        </w:rPr>
        <w:t>For managers, the practical starting point is to map material loss, collaborate with suppliers, pilot take-back, and track resilience metrics alongside sustainability KPIs. (Pellegrino et al., 2025; Colombo et al., 2025; Cafforio et al., 2025; Vietnam GSCM Study, 2022).</w:t>
      </w:r>
    </w:p>
    <w:p w14:paraId="5D729D1B" w14:textId="77777777" w:rsidR="009E0227" w:rsidRDefault="009E0227" w:rsidP="00930CAF">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760"/>
        <w:gridCol w:w="5880"/>
      </w:tblGrid>
      <w:tr w:rsidR="009E0227" w14:paraId="53043627" w14:textId="77777777">
        <w:tc>
          <w:tcPr>
            <w:tcW w:w="720" w:type="dxa"/>
            <w:shd w:val="clear" w:color="auto" w:fill="1B6B4A"/>
            <w:tcMar>
              <w:top w:w="120" w:type="dxa"/>
              <w:left w:w="80" w:type="dxa"/>
              <w:bottom w:w="120" w:type="dxa"/>
              <w:right w:w="80" w:type="dxa"/>
            </w:tcMar>
            <w:vAlign w:val="center"/>
          </w:tcPr>
          <w:p w14:paraId="11020CB2" w14:textId="77777777" w:rsidR="009E0227" w:rsidRDefault="00555B3C" w:rsidP="00930CAF">
            <w:pPr>
              <w:spacing w:line="360" w:lineRule="auto"/>
              <w:jc w:val="center"/>
            </w:pPr>
            <w:r>
              <w:rPr>
                <w:b/>
                <w:bCs/>
                <w:color w:val="FFFFFF"/>
                <w:sz w:val="28"/>
                <w:szCs w:val="28"/>
              </w:rPr>
              <w:lastRenderedPageBreak/>
              <w:t>1</w:t>
            </w:r>
          </w:p>
        </w:tc>
        <w:tc>
          <w:tcPr>
            <w:tcW w:w="2760" w:type="dxa"/>
            <w:shd w:val="clear" w:color="auto" w:fill="D4EDE3"/>
            <w:tcMar>
              <w:top w:w="120" w:type="dxa"/>
              <w:left w:w="160" w:type="dxa"/>
              <w:bottom w:w="120" w:type="dxa"/>
              <w:right w:w="80" w:type="dxa"/>
            </w:tcMar>
            <w:vAlign w:val="center"/>
          </w:tcPr>
          <w:p w14:paraId="16ADD41F" w14:textId="77777777" w:rsidR="009E0227" w:rsidRDefault="00555B3C" w:rsidP="00930CAF">
            <w:pPr>
              <w:spacing w:line="360" w:lineRule="auto"/>
            </w:pPr>
            <w:r>
              <w:rPr>
                <w:b/>
                <w:bCs/>
                <w:color w:val="1B6B4A"/>
                <w:sz w:val="21"/>
                <w:szCs w:val="21"/>
              </w:rPr>
              <w:t>Audit Material Loops</w:t>
            </w:r>
          </w:p>
        </w:tc>
        <w:tc>
          <w:tcPr>
            <w:tcW w:w="5880" w:type="dxa"/>
            <w:shd w:val="clear" w:color="auto" w:fill="F9FAFB"/>
            <w:tcMar>
              <w:top w:w="120" w:type="dxa"/>
              <w:left w:w="160" w:type="dxa"/>
              <w:bottom w:w="120" w:type="dxa"/>
              <w:right w:w="160" w:type="dxa"/>
            </w:tcMar>
          </w:tcPr>
          <w:p w14:paraId="25AF595E" w14:textId="30E6AEF8" w:rsidR="00684AD5" w:rsidRPr="00696628" w:rsidRDefault="00555B3C">
            <w:pPr>
              <w:rPr>
                <w:color w:val="000000" w:themeColor="text1"/>
              </w:rPr>
            </w:pPr>
            <w:r w:rsidRPr="00696628">
              <w:rPr>
                <w:color w:val="000000" w:themeColor="text1"/>
              </w:rPr>
              <w:t xml:space="preserve">Identify where material exits permanently and where circular loops can reduce </w:t>
            </w:r>
            <w:proofErr w:type="gramStart"/>
            <w:r w:rsidRPr="00696628">
              <w:rPr>
                <w:color w:val="000000" w:themeColor="text1"/>
              </w:rPr>
              <w:t>exposure.(</w:t>
            </w:r>
            <w:proofErr w:type="gramEnd"/>
            <w:r w:rsidRPr="00696628">
              <w:rPr>
                <w:color w:val="000000" w:themeColor="text1"/>
              </w:rPr>
              <w:t>Pellegrino et al., 2025; Cafforio et al., 2025).</w:t>
            </w:r>
          </w:p>
        </w:tc>
      </w:tr>
      <w:tr w:rsidR="009E0227" w14:paraId="544BD930" w14:textId="77777777">
        <w:tc>
          <w:tcPr>
            <w:tcW w:w="720" w:type="dxa"/>
            <w:shd w:val="clear" w:color="auto" w:fill="2E9E6F"/>
            <w:tcMar>
              <w:top w:w="120" w:type="dxa"/>
              <w:left w:w="80" w:type="dxa"/>
              <w:bottom w:w="120" w:type="dxa"/>
              <w:right w:w="80" w:type="dxa"/>
            </w:tcMar>
            <w:vAlign w:val="center"/>
          </w:tcPr>
          <w:p w14:paraId="639E4930" w14:textId="77777777" w:rsidR="009E0227" w:rsidRDefault="00555B3C" w:rsidP="00930CAF">
            <w:pPr>
              <w:spacing w:line="360" w:lineRule="auto"/>
              <w:jc w:val="center"/>
            </w:pPr>
            <w:r>
              <w:rPr>
                <w:b/>
                <w:bCs/>
                <w:color w:val="FFFFFF"/>
                <w:sz w:val="28"/>
                <w:szCs w:val="28"/>
              </w:rPr>
              <w:t>2</w:t>
            </w:r>
          </w:p>
        </w:tc>
        <w:tc>
          <w:tcPr>
            <w:tcW w:w="2760" w:type="dxa"/>
            <w:shd w:val="clear" w:color="auto" w:fill="D4EDE3"/>
            <w:tcMar>
              <w:top w:w="120" w:type="dxa"/>
              <w:left w:w="160" w:type="dxa"/>
              <w:bottom w:w="120" w:type="dxa"/>
              <w:right w:w="80" w:type="dxa"/>
            </w:tcMar>
            <w:vAlign w:val="center"/>
          </w:tcPr>
          <w:p w14:paraId="4A6A9A2B" w14:textId="77777777" w:rsidR="009E0227" w:rsidRDefault="00555B3C" w:rsidP="00930CAF">
            <w:pPr>
              <w:spacing w:line="360" w:lineRule="auto"/>
            </w:pPr>
            <w:r>
              <w:rPr>
                <w:b/>
                <w:bCs/>
                <w:color w:val="1B6B4A"/>
                <w:sz w:val="21"/>
                <w:szCs w:val="21"/>
              </w:rPr>
              <w:t>Co-Design with Suppliers</w:t>
            </w:r>
          </w:p>
        </w:tc>
        <w:tc>
          <w:tcPr>
            <w:tcW w:w="5880" w:type="dxa"/>
            <w:shd w:val="clear" w:color="auto" w:fill="F9FAFB"/>
            <w:tcMar>
              <w:top w:w="120" w:type="dxa"/>
              <w:left w:w="160" w:type="dxa"/>
              <w:bottom w:w="120" w:type="dxa"/>
              <w:right w:w="160" w:type="dxa"/>
            </w:tcMar>
          </w:tcPr>
          <w:p w14:paraId="76A93464" w14:textId="77777777" w:rsidR="00684AD5" w:rsidRPr="00696628" w:rsidRDefault="00555B3C">
            <w:pPr>
              <w:rPr>
                <w:color w:val="000000" w:themeColor="text1"/>
              </w:rPr>
            </w:pPr>
            <w:r w:rsidRPr="00696628">
              <w:rPr>
                <w:color w:val="000000" w:themeColor="text1"/>
              </w:rPr>
              <w:t>Engage suppliers early in recyclability and reverse-flow design. (Colombo et al., 2025).</w:t>
            </w:r>
          </w:p>
        </w:tc>
      </w:tr>
      <w:tr w:rsidR="009E0227" w14:paraId="085733C6" w14:textId="77777777">
        <w:tc>
          <w:tcPr>
            <w:tcW w:w="720" w:type="dxa"/>
            <w:shd w:val="clear" w:color="auto" w:fill="1B6B4A"/>
            <w:tcMar>
              <w:top w:w="120" w:type="dxa"/>
              <w:left w:w="80" w:type="dxa"/>
              <w:bottom w:w="120" w:type="dxa"/>
              <w:right w:w="80" w:type="dxa"/>
            </w:tcMar>
            <w:vAlign w:val="center"/>
          </w:tcPr>
          <w:p w14:paraId="7CD7DFD3" w14:textId="77777777" w:rsidR="009E0227" w:rsidRDefault="00555B3C" w:rsidP="00930CAF">
            <w:pPr>
              <w:spacing w:line="360" w:lineRule="auto"/>
              <w:jc w:val="center"/>
            </w:pPr>
            <w:r>
              <w:rPr>
                <w:b/>
                <w:bCs/>
                <w:color w:val="FFFFFF"/>
                <w:sz w:val="28"/>
                <w:szCs w:val="28"/>
              </w:rPr>
              <w:t>3</w:t>
            </w:r>
          </w:p>
        </w:tc>
        <w:tc>
          <w:tcPr>
            <w:tcW w:w="2760" w:type="dxa"/>
            <w:shd w:val="clear" w:color="auto" w:fill="D4EDE3"/>
            <w:tcMar>
              <w:top w:w="120" w:type="dxa"/>
              <w:left w:w="160" w:type="dxa"/>
              <w:bottom w:w="120" w:type="dxa"/>
              <w:right w:w="80" w:type="dxa"/>
            </w:tcMar>
            <w:vAlign w:val="center"/>
          </w:tcPr>
          <w:p w14:paraId="00B2963F" w14:textId="77777777" w:rsidR="009E0227" w:rsidRDefault="00555B3C" w:rsidP="00930CAF">
            <w:pPr>
              <w:spacing w:line="360" w:lineRule="auto"/>
            </w:pPr>
            <w:r>
              <w:rPr>
                <w:b/>
                <w:bCs/>
                <w:color w:val="1B6B4A"/>
                <w:sz w:val="21"/>
                <w:szCs w:val="21"/>
              </w:rPr>
              <w:t>Pilot a Take-Back Scheme</w:t>
            </w:r>
          </w:p>
        </w:tc>
        <w:tc>
          <w:tcPr>
            <w:tcW w:w="5880" w:type="dxa"/>
            <w:shd w:val="clear" w:color="auto" w:fill="F9FAFB"/>
            <w:tcMar>
              <w:top w:w="120" w:type="dxa"/>
              <w:left w:w="160" w:type="dxa"/>
              <w:bottom w:w="120" w:type="dxa"/>
              <w:right w:w="160" w:type="dxa"/>
            </w:tcMar>
          </w:tcPr>
          <w:p w14:paraId="5E3A9446" w14:textId="77777777" w:rsidR="00684AD5" w:rsidRPr="00696628" w:rsidRDefault="00555B3C">
            <w:pPr>
              <w:rPr>
                <w:color w:val="000000" w:themeColor="text1"/>
              </w:rPr>
            </w:pPr>
            <w:r w:rsidRPr="00696628">
              <w:rPr>
                <w:color w:val="000000" w:themeColor="text1"/>
              </w:rPr>
              <w:t>Start with one product category and measure recovered-material yield. (Cafforio et al., 2025).</w:t>
            </w:r>
          </w:p>
        </w:tc>
      </w:tr>
      <w:tr w:rsidR="009E0227" w14:paraId="6E995DB6" w14:textId="77777777">
        <w:tc>
          <w:tcPr>
            <w:tcW w:w="720" w:type="dxa"/>
            <w:shd w:val="clear" w:color="auto" w:fill="2E9E6F"/>
            <w:tcMar>
              <w:top w:w="120" w:type="dxa"/>
              <w:left w:w="80" w:type="dxa"/>
              <w:bottom w:w="120" w:type="dxa"/>
              <w:right w:w="80" w:type="dxa"/>
            </w:tcMar>
            <w:vAlign w:val="center"/>
          </w:tcPr>
          <w:p w14:paraId="1469F8EA" w14:textId="77777777" w:rsidR="009E0227" w:rsidRDefault="00555B3C" w:rsidP="00930CAF">
            <w:pPr>
              <w:spacing w:line="360" w:lineRule="auto"/>
              <w:jc w:val="center"/>
            </w:pPr>
            <w:r>
              <w:rPr>
                <w:b/>
                <w:bCs/>
                <w:color w:val="FFFFFF"/>
                <w:sz w:val="28"/>
                <w:szCs w:val="28"/>
              </w:rPr>
              <w:t>4</w:t>
            </w:r>
          </w:p>
        </w:tc>
        <w:tc>
          <w:tcPr>
            <w:tcW w:w="2760" w:type="dxa"/>
            <w:shd w:val="clear" w:color="auto" w:fill="D4EDE3"/>
            <w:tcMar>
              <w:top w:w="120" w:type="dxa"/>
              <w:left w:w="160" w:type="dxa"/>
              <w:bottom w:w="120" w:type="dxa"/>
              <w:right w:w="80" w:type="dxa"/>
            </w:tcMar>
            <w:vAlign w:val="center"/>
          </w:tcPr>
          <w:p w14:paraId="407EF583" w14:textId="77777777" w:rsidR="009E0227" w:rsidRDefault="00555B3C" w:rsidP="00930CAF">
            <w:pPr>
              <w:spacing w:line="360" w:lineRule="auto"/>
            </w:pPr>
            <w:r>
              <w:rPr>
                <w:b/>
                <w:bCs/>
                <w:color w:val="1B6B4A"/>
                <w:sz w:val="21"/>
                <w:szCs w:val="21"/>
              </w:rPr>
              <w:t>Measure Resilience, Not Just Sustainability</w:t>
            </w:r>
          </w:p>
        </w:tc>
        <w:tc>
          <w:tcPr>
            <w:tcW w:w="5880" w:type="dxa"/>
            <w:shd w:val="clear" w:color="auto" w:fill="F9FAFB"/>
            <w:tcMar>
              <w:top w:w="120" w:type="dxa"/>
              <w:left w:w="160" w:type="dxa"/>
              <w:bottom w:w="120" w:type="dxa"/>
              <w:right w:w="160" w:type="dxa"/>
            </w:tcMar>
          </w:tcPr>
          <w:p w14:paraId="619D6786" w14:textId="77777777" w:rsidR="00684AD5" w:rsidRPr="00696628" w:rsidRDefault="00555B3C">
            <w:pPr>
              <w:rPr>
                <w:color w:val="000000" w:themeColor="text1"/>
              </w:rPr>
            </w:pPr>
            <w:r w:rsidRPr="00696628">
              <w:rPr>
                <w:color w:val="000000" w:themeColor="text1"/>
              </w:rPr>
              <w:t>Track recovery speed, material risk, and supplier diversification alongside carbon KPIs. (Pellegrino et al., 2025; Vietnam GSCM Study, 2022).</w:t>
            </w:r>
          </w:p>
        </w:tc>
      </w:tr>
    </w:tbl>
    <w:p w14:paraId="0CAD0DC0" w14:textId="77777777" w:rsidR="009E0227" w:rsidRDefault="009E0227" w:rsidP="00930CAF">
      <w:pPr>
        <w:pBdr>
          <w:bottom w:val="single" w:sz="8" w:space="1" w:color="2E9E6F"/>
        </w:pBdr>
        <w:spacing w:before="40" w:after="200" w:line="360" w:lineRule="auto"/>
      </w:pPr>
    </w:p>
    <w:p w14:paraId="65F53153" w14:textId="77777777" w:rsidR="009E0227" w:rsidRDefault="00555B3C" w:rsidP="00930CAF">
      <w:pPr>
        <w:pStyle w:val="Heading2"/>
        <w:spacing w:line="360" w:lineRule="auto"/>
      </w:pPr>
      <w:r>
        <w:t>The Bottom Line</w:t>
      </w:r>
    </w:p>
    <w:p w14:paraId="0A722E4C" w14:textId="77777777" w:rsidR="009E0227" w:rsidRDefault="00555B3C" w:rsidP="00930CAF">
      <w:pPr>
        <w:spacing w:before="80" w:after="120" w:line="360" w:lineRule="auto"/>
        <w:rPr>
          <w:color w:val="000000" w:themeColor="text1"/>
        </w:rPr>
      </w:pPr>
      <w:r w:rsidRPr="00696628">
        <w:rPr>
          <w:color w:val="000000" w:themeColor="text1"/>
        </w:rPr>
        <w:t xml:space="preserve">The evidence from 2022-2026 is consistent: </w:t>
      </w:r>
      <w:r w:rsidRPr="00696628">
        <w:rPr>
          <w:b/>
          <w:bCs/>
          <w:color w:val="000000" w:themeColor="text1"/>
        </w:rPr>
        <w:t>circular economy</w:t>
      </w:r>
      <w:r w:rsidRPr="00696628">
        <w:rPr>
          <w:color w:val="000000" w:themeColor="text1"/>
        </w:rPr>
        <w:t xml:space="preserve"> practices are </w:t>
      </w:r>
      <w:r w:rsidRPr="006C740D">
        <w:rPr>
          <w:b/>
          <w:bCs/>
          <w:color w:val="000000" w:themeColor="text1"/>
        </w:rPr>
        <w:t>operational resilience</w:t>
      </w:r>
      <w:r w:rsidRPr="00696628">
        <w:rPr>
          <w:color w:val="000000" w:themeColor="text1"/>
        </w:rPr>
        <w:t xml:space="preserve"> tools, not just sustainability messaging. They help firms recover faster, use materials more efficiently, and reduce exposure to supply shocks. (Pellegrino et al., 2025; Colombo et al., 2025; Cafforio et al., 2025; Vietnam GSCM Study, 2022).</w:t>
      </w:r>
    </w:p>
    <w:p w14:paraId="22884691" w14:textId="03801A70" w:rsidR="00D4779D" w:rsidRPr="00696628" w:rsidRDefault="00D4779D" w:rsidP="00930CAF">
      <w:pPr>
        <w:spacing w:before="80" w:after="120" w:line="360" w:lineRule="auto"/>
        <w:rPr>
          <w:color w:val="000000" w:themeColor="text1"/>
        </w:rPr>
      </w:pPr>
      <w:r w:rsidRPr="00D4779D">
        <w:rPr>
          <w:color w:val="000000" w:themeColor="text1"/>
        </w:rPr>
        <w:t>In an environment shaped by repeated supply uncertainty, this makes circularity increasingly relevant as a practical response to risk, not just a long-term sustainability ambition.</w:t>
      </w:r>
    </w:p>
    <w:p w14:paraId="5966D7B9" w14:textId="77777777" w:rsidR="009E0227" w:rsidRPr="00696628" w:rsidRDefault="00555B3C" w:rsidP="00930CAF">
      <w:pPr>
        <w:spacing w:before="80" w:after="120" w:line="360" w:lineRule="auto"/>
        <w:rPr>
          <w:color w:val="000000" w:themeColor="text1"/>
        </w:rPr>
      </w:pPr>
      <w:r w:rsidRPr="00696628">
        <w:rPr>
          <w:color w:val="000000" w:themeColor="text1"/>
        </w:rPr>
        <w:t xml:space="preserve">For fashion, textile, and manufacturing firms, the strategic question is no longer whether circularity matters, but how quickly it can be built into </w:t>
      </w:r>
      <w:r w:rsidRPr="006C740D">
        <w:rPr>
          <w:b/>
          <w:bCs/>
          <w:color w:val="000000" w:themeColor="text1"/>
        </w:rPr>
        <w:t>sourcing, design, and reverse-flow decisions</w:t>
      </w:r>
      <w:r w:rsidRPr="00696628">
        <w:rPr>
          <w:color w:val="000000" w:themeColor="text1"/>
        </w:rPr>
        <w:t>. (Colombo et al., 2025; Cafforio et al., 2025; Vietnam GSCM Study, 2022).</w:t>
      </w:r>
    </w:p>
    <w:p w14:paraId="596EC44C" w14:textId="77777777" w:rsidR="009E0227" w:rsidRDefault="009E0227" w:rsidP="00930CAF">
      <w:pPr>
        <w:spacing w:before="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0227" w14:paraId="64BD0E0E" w14:textId="77777777">
        <w:tc>
          <w:tcPr>
            <w:tcW w:w="9360" w:type="dxa"/>
            <w:tcBorders>
              <w:top w:val="single" w:sz="2" w:space="0" w:color="2E9E6F"/>
              <w:left w:val="single" w:sz="2" w:space="0" w:color="2E9E6F"/>
              <w:bottom w:val="single" w:sz="2" w:space="0" w:color="2E9E6F"/>
              <w:right w:val="single" w:sz="2" w:space="0" w:color="2E9E6F"/>
            </w:tcBorders>
            <w:shd w:val="clear" w:color="auto" w:fill="E8F5EF"/>
            <w:tcMar>
              <w:top w:w="160" w:type="dxa"/>
              <w:left w:w="240" w:type="dxa"/>
              <w:bottom w:w="160" w:type="dxa"/>
              <w:right w:w="240" w:type="dxa"/>
            </w:tcMar>
          </w:tcPr>
          <w:p w14:paraId="096D8DA0" w14:textId="77777777" w:rsidR="009E0227" w:rsidRDefault="00555B3C" w:rsidP="00930CAF">
            <w:pPr>
              <w:spacing w:after="60" w:line="360" w:lineRule="auto"/>
            </w:pPr>
            <w:r>
              <w:rPr>
                <w:b/>
                <w:color w:val="1B6B4A"/>
                <w:sz w:val="28"/>
              </w:rPr>
              <w:t>📌</w:t>
            </w:r>
            <w:r>
              <w:rPr>
                <w:b/>
                <w:color w:val="1B6B4A"/>
                <w:sz w:val="28"/>
              </w:rPr>
              <w:t xml:space="preserve"> CLOSING THOUGHT</w:t>
            </w:r>
          </w:p>
          <w:p w14:paraId="4ADEE9D3" w14:textId="77777777" w:rsidR="009E0227" w:rsidRDefault="00555B3C" w:rsidP="00930CAF">
            <w:pPr>
              <w:spacing w:line="360" w:lineRule="auto"/>
            </w:pPr>
            <w:r w:rsidRPr="00696628">
              <w:rPr>
                <w:color w:val="000000" w:themeColor="text1"/>
              </w:rPr>
              <w:t>"</w:t>
            </w:r>
            <w:r w:rsidRPr="00696628">
              <w:rPr>
                <w:b/>
                <w:bCs/>
                <w:color w:val="000000" w:themeColor="text1"/>
              </w:rPr>
              <w:t>CE practices</w:t>
            </w:r>
            <w:r w:rsidRPr="00696628">
              <w:rPr>
                <w:color w:val="000000" w:themeColor="text1"/>
              </w:rPr>
              <w:t xml:space="preserve"> might be theorised as factors promoting </w:t>
            </w:r>
            <w:r w:rsidRPr="00696628">
              <w:rPr>
                <w:b/>
                <w:bCs/>
                <w:color w:val="000000" w:themeColor="text1"/>
              </w:rPr>
              <w:t>supply chain resilience</w:t>
            </w:r>
            <w:r w:rsidRPr="00696628">
              <w:rPr>
                <w:color w:val="000000" w:themeColor="text1"/>
              </w:rPr>
              <w:t xml:space="preserve"> towards better firm performance, especially in contexts characterised by </w:t>
            </w:r>
            <w:r w:rsidRPr="00696628">
              <w:rPr>
                <w:b/>
                <w:bCs/>
                <w:color w:val="000000" w:themeColor="text1"/>
              </w:rPr>
              <w:t>high supply risks</w:t>
            </w:r>
            <w:r w:rsidRPr="00696628">
              <w:rPr>
                <w:color w:val="000000" w:themeColor="text1"/>
              </w:rPr>
              <w:t>." - Pellegrino et al., Business Strategy and the Environment (2025</w:t>
            </w:r>
            <w:r>
              <w:t>)</w:t>
            </w:r>
          </w:p>
        </w:tc>
      </w:tr>
    </w:tbl>
    <w:p w14:paraId="43D11716" w14:textId="77777777" w:rsidR="009E0227" w:rsidRDefault="009E0227" w:rsidP="00930CAF">
      <w:pPr>
        <w:pBdr>
          <w:bottom w:val="single" w:sz="8" w:space="1" w:color="2E9E6F"/>
        </w:pBdr>
        <w:spacing w:before="40" w:after="200" w:line="360" w:lineRule="auto"/>
      </w:pPr>
    </w:p>
    <w:p w14:paraId="476F8554" w14:textId="77777777" w:rsidR="009E0227" w:rsidRDefault="00555B3C" w:rsidP="00930CAF">
      <w:pPr>
        <w:pStyle w:val="Heading2"/>
        <w:spacing w:before="200" w:after="80" w:line="360" w:lineRule="auto"/>
      </w:pPr>
      <w:r>
        <w:t>References</w:t>
      </w:r>
    </w:p>
    <w:p w14:paraId="1C5AB54B" w14:textId="77777777" w:rsidR="009E0227" w:rsidRPr="00696628" w:rsidRDefault="00555B3C" w:rsidP="00930CAF">
      <w:pPr>
        <w:spacing w:before="40" w:after="80" w:line="360" w:lineRule="auto"/>
        <w:rPr>
          <w:rFonts w:ascii="Times New Roman" w:hAnsi="Times New Roman" w:cs="Times New Roman"/>
          <w:color w:val="000000" w:themeColor="text1"/>
          <w:sz w:val="28"/>
          <w:szCs w:val="28"/>
        </w:rPr>
      </w:pPr>
      <w:r w:rsidRPr="00696628">
        <w:rPr>
          <w:color w:val="000000" w:themeColor="text1"/>
        </w:rPr>
        <w:lastRenderedPageBreak/>
        <w:t>Pellegrino, R. et al. (2025). Can the Adoption of Circular Economy Practices Foster Supply Chain Resilience and Performance Improvements? Business Strategy and the Environment, 35(1), 438-457.</w:t>
      </w:r>
      <w:r w:rsidRPr="00696628">
        <w:rPr>
          <w:color w:val="156082" w:themeColor="accent1"/>
        </w:rPr>
        <w:t xml:space="preserve"> </w:t>
      </w:r>
      <w:hyperlink r:id="rId9">
        <w:r w:rsidR="009E0227" w:rsidRPr="00696628">
          <w:rPr>
            <w:color w:val="156082" w:themeColor="accent1"/>
            <w:u w:val="single"/>
          </w:rPr>
          <w:t>[PDF]</w:t>
        </w:r>
      </w:hyperlink>
    </w:p>
    <w:p w14:paraId="5EE9C68D" w14:textId="77777777" w:rsidR="009E0227" w:rsidRPr="00696628" w:rsidRDefault="00555B3C" w:rsidP="00930CAF">
      <w:pPr>
        <w:spacing w:before="40" w:after="80" w:line="360" w:lineRule="auto"/>
        <w:rPr>
          <w:rFonts w:ascii="Times New Roman" w:hAnsi="Times New Roman" w:cs="Times New Roman"/>
          <w:color w:val="000000" w:themeColor="text1"/>
          <w:sz w:val="28"/>
          <w:szCs w:val="28"/>
        </w:rPr>
      </w:pPr>
      <w:r w:rsidRPr="00696628">
        <w:rPr>
          <w:color w:val="000000" w:themeColor="text1"/>
        </w:rPr>
        <w:t xml:space="preserve">Colombo, S. et al. (2025). How Can Supply Chain Collaboration Foster Circular Economy in the Textile Industry? Supply Chain Management: An International Journal, 30(7), 60-80. </w:t>
      </w:r>
      <w:hyperlink r:id="rId10">
        <w:r w:rsidR="009E0227" w:rsidRPr="00696628">
          <w:rPr>
            <w:color w:val="156082" w:themeColor="accent1"/>
            <w:u w:val="single"/>
          </w:rPr>
          <w:t>[PDF]</w:t>
        </w:r>
      </w:hyperlink>
    </w:p>
    <w:p w14:paraId="4972F3ED" w14:textId="77777777" w:rsidR="009E0227" w:rsidRPr="00696628" w:rsidRDefault="00555B3C" w:rsidP="00930CAF">
      <w:pPr>
        <w:spacing w:before="40" w:after="80" w:line="360" w:lineRule="auto"/>
        <w:rPr>
          <w:rFonts w:ascii="Times New Roman" w:hAnsi="Times New Roman" w:cs="Times New Roman"/>
          <w:color w:val="000000" w:themeColor="text1"/>
          <w:sz w:val="28"/>
          <w:szCs w:val="28"/>
        </w:rPr>
      </w:pPr>
      <w:r w:rsidRPr="00696628">
        <w:rPr>
          <w:color w:val="000000" w:themeColor="text1"/>
        </w:rPr>
        <w:t xml:space="preserve">Cafforio, A. et al. (2025). Resilience of Circular Supply Chains: Analyzing the Impact of Take-Back Strategies. Sustainable Development. </w:t>
      </w:r>
      <w:hyperlink r:id="rId11">
        <w:r w:rsidR="009E0227" w:rsidRPr="00696628">
          <w:rPr>
            <w:color w:val="156082" w:themeColor="accent1"/>
            <w:u w:val="single"/>
          </w:rPr>
          <w:t>[DOI]</w:t>
        </w:r>
      </w:hyperlink>
    </w:p>
    <w:p w14:paraId="5A04A9BB" w14:textId="77777777" w:rsidR="009E0227" w:rsidRPr="00696628" w:rsidRDefault="00555B3C" w:rsidP="00930CAF">
      <w:pPr>
        <w:spacing w:before="40" w:after="80" w:line="360" w:lineRule="auto"/>
        <w:rPr>
          <w:rFonts w:ascii="Times New Roman" w:hAnsi="Times New Roman" w:cs="Times New Roman"/>
          <w:color w:val="000000" w:themeColor="text1"/>
          <w:sz w:val="28"/>
          <w:szCs w:val="28"/>
        </w:rPr>
      </w:pPr>
      <w:r w:rsidRPr="00696628">
        <w:rPr>
          <w:color w:val="000000" w:themeColor="text1"/>
        </w:rPr>
        <w:t xml:space="preserve">Vietnam GSCM Empirical Study (2022). Impact of Green Supply Chain Management on Competitive Advantage and Firm Performance. Uncertain Supply Chain Management, Vol. 10. </w:t>
      </w:r>
      <w:hyperlink r:id="rId12">
        <w:r w:rsidR="009E0227" w:rsidRPr="00696628">
          <w:rPr>
            <w:color w:val="156082" w:themeColor="accent1"/>
            <w:u w:val="single"/>
          </w:rPr>
          <w:t>[PDF]</w:t>
        </w:r>
      </w:hyperlink>
    </w:p>
    <w:p w14:paraId="7FF05494" w14:textId="77777777" w:rsidR="009E0227" w:rsidRPr="00696628" w:rsidRDefault="00555B3C" w:rsidP="00930CAF">
      <w:pPr>
        <w:spacing w:before="40" w:after="80" w:line="360" w:lineRule="auto"/>
        <w:rPr>
          <w:rFonts w:ascii="Times New Roman" w:hAnsi="Times New Roman" w:cs="Times New Roman"/>
          <w:color w:val="000000" w:themeColor="text1"/>
          <w:sz w:val="28"/>
          <w:szCs w:val="28"/>
        </w:rPr>
      </w:pPr>
      <w:r w:rsidRPr="00696628">
        <w:rPr>
          <w:color w:val="000000" w:themeColor="text1"/>
        </w:rPr>
        <w:t>Circular Fashion SC Empirical Study (2024-2025 cluster). Springer proceedings chapter on circular fashion supply chains and resilience.</w:t>
      </w:r>
      <w:r w:rsidRPr="00696628">
        <w:rPr>
          <w:color w:val="156082" w:themeColor="accent1"/>
        </w:rPr>
        <w:t xml:space="preserve"> </w:t>
      </w:r>
      <w:hyperlink r:id="rId13">
        <w:r w:rsidR="009E0227" w:rsidRPr="00696628">
          <w:rPr>
            <w:color w:val="156082" w:themeColor="accent1"/>
            <w:u w:val="single"/>
          </w:rPr>
          <w:t>[PDF]</w:t>
        </w:r>
      </w:hyperlink>
    </w:p>
    <w:p w14:paraId="41E9B650" w14:textId="77777777" w:rsidR="009E0227" w:rsidRDefault="009E0227">
      <w:pPr>
        <w:spacing w:before="200"/>
      </w:pPr>
    </w:p>
    <w:p w14:paraId="3E040157" w14:textId="77777777" w:rsidR="009E0227" w:rsidRDefault="00555B3C">
      <w:pPr>
        <w:pBdr>
          <w:top w:val="single" w:sz="4" w:space="0" w:color="E8F5EF"/>
        </w:pBdr>
        <w:spacing w:before="160"/>
        <w:jc w:val="center"/>
      </w:pPr>
      <w:r>
        <w:rPr>
          <w:color w:val="AAAAAA"/>
          <w:sz w:val="17"/>
          <w:szCs w:val="17"/>
        </w:rPr>
        <w:t>© 2026 · Research Synthesis Blog · Supply Chain Strategy Series</w:t>
      </w:r>
    </w:p>
    <w:sectPr w:rsidR="009E022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00C91"/>
    <w:multiLevelType w:val="hybridMultilevel"/>
    <w:tmpl w:val="A2AE8B80"/>
    <w:lvl w:ilvl="0" w:tplc="2DDA52C4">
      <w:start w:val="1"/>
      <w:numFmt w:val="bullet"/>
      <w:lvlText w:val="●"/>
      <w:lvlJc w:val="left"/>
      <w:pPr>
        <w:ind w:left="720" w:hanging="360"/>
      </w:pPr>
    </w:lvl>
    <w:lvl w:ilvl="1" w:tplc="B1FEDB20">
      <w:start w:val="1"/>
      <w:numFmt w:val="bullet"/>
      <w:lvlText w:val="○"/>
      <w:lvlJc w:val="left"/>
      <w:pPr>
        <w:ind w:left="1440" w:hanging="360"/>
      </w:pPr>
    </w:lvl>
    <w:lvl w:ilvl="2" w:tplc="12524F70">
      <w:start w:val="1"/>
      <w:numFmt w:val="bullet"/>
      <w:lvlText w:val="■"/>
      <w:lvlJc w:val="left"/>
      <w:pPr>
        <w:ind w:left="2160" w:hanging="360"/>
      </w:pPr>
    </w:lvl>
    <w:lvl w:ilvl="3" w:tplc="E0D02126">
      <w:start w:val="1"/>
      <w:numFmt w:val="bullet"/>
      <w:lvlText w:val="●"/>
      <w:lvlJc w:val="left"/>
      <w:pPr>
        <w:ind w:left="2880" w:hanging="360"/>
      </w:pPr>
    </w:lvl>
    <w:lvl w:ilvl="4" w:tplc="24202EC0">
      <w:start w:val="1"/>
      <w:numFmt w:val="bullet"/>
      <w:lvlText w:val="○"/>
      <w:lvlJc w:val="left"/>
      <w:pPr>
        <w:ind w:left="3600" w:hanging="360"/>
      </w:pPr>
    </w:lvl>
    <w:lvl w:ilvl="5" w:tplc="02142E48">
      <w:start w:val="1"/>
      <w:numFmt w:val="bullet"/>
      <w:lvlText w:val="■"/>
      <w:lvlJc w:val="left"/>
      <w:pPr>
        <w:ind w:left="4320" w:hanging="360"/>
      </w:pPr>
    </w:lvl>
    <w:lvl w:ilvl="6" w:tplc="D8E69A20">
      <w:start w:val="1"/>
      <w:numFmt w:val="bullet"/>
      <w:lvlText w:val="●"/>
      <w:lvlJc w:val="left"/>
      <w:pPr>
        <w:ind w:left="5040" w:hanging="360"/>
      </w:pPr>
    </w:lvl>
    <w:lvl w:ilvl="7" w:tplc="51AA46FC">
      <w:start w:val="1"/>
      <w:numFmt w:val="bullet"/>
      <w:lvlText w:val="●"/>
      <w:lvlJc w:val="left"/>
      <w:pPr>
        <w:ind w:left="5760" w:hanging="360"/>
      </w:pPr>
    </w:lvl>
    <w:lvl w:ilvl="8" w:tplc="A4D4CC16">
      <w:start w:val="1"/>
      <w:numFmt w:val="bullet"/>
      <w:lvlText w:val="●"/>
      <w:lvlJc w:val="left"/>
      <w:pPr>
        <w:ind w:left="6480" w:hanging="360"/>
      </w:pPr>
    </w:lvl>
  </w:abstractNum>
  <w:abstractNum w:abstractNumId="1" w15:restartNumberingAfterBreak="0">
    <w:nsid w:val="724B0352"/>
    <w:multiLevelType w:val="hybridMultilevel"/>
    <w:tmpl w:val="44EEE79C"/>
    <w:lvl w:ilvl="0" w:tplc="D662F7A2">
      <w:start w:val="1"/>
      <w:numFmt w:val="bullet"/>
      <w:lvlText w:val="•"/>
      <w:lvlJc w:val="left"/>
      <w:pPr>
        <w:ind w:left="720" w:hanging="360"/>
      </w:pPr>
      <w:rPr>
        <w:b/>
        <w:bCs/>
        <w:color w:val="1B6B4A"/>
      </w:rPr>
    </w:lvl>
    <w:lvl w:ilvl="1" w:tplc="B06EF17A">
      <w:numFmt w:val="decimal"/>
      <w:lvlText w:val=""/>
      <w:lvlJc w:val="left"/>
    </w:lvl>
    <w:lvl w:ilvl="2" w:tplc="6B88D334">
      <w:numFmt w:val="decimal"/>
      <w:lvlText w:val=""/>
      <w:lvlJc w:val="left"/>
    </w:lvl>
    <w:lvl w:ilvl="3" w:tplc="17E861B8">
      <w:numFmt w:val="decimal"/>
      <w:lvlText w:val=""/>
      <w:lvlJc w:val="left"/>
    </w:lvl>
    <w:lvl w:ilvl="4" w:tplc="58984E14">
      <w:numFmt w:val="decimal"/>
      <w:lvlText w:val=""/>
      <w:lvlJc w:val="left"/>
    </w:lvl>
    <w:lvl w:ilvl="5" w:tplc="C00C071E">
      <w:numFmt w:val="decimal"/>
      <w:lvlText w:val=""/>
      <w:lvlJc w:val="left"/>
    </w:lvl>
    <w:lvl w:ilvl="6" w:tplc="7DE683DC">
      <w:numFmt w:val="decimal"/>
      <w:lvlText w:val=""/>
      <w:lvlJc w:val="left"/>
    </w:lvl>
    <w:lvl w:ilvl="7" w:tplc="0F76A2D2">
      <w:numFmt w:val="decimal"/>
      <w:lvlText w:val=""/>
      <w:lvlJc w:val="left"/>
    </w:lvl>
    <w:lvl w:ilvl="8" w:tplc="E9DC3F1E">
      <w:numFmt w:val="decimal"/>
      <w:lvlText w:val=""/>
      <w:lvlJc w:val="left"/>
    </w:lvl>
  </w:abstractNum>
  <w:num w:numId="1" w16cid:durableId="316500264">
    <w:abstractNumId w:val="0"/>
    <w:lvlOverride w:ilvl="0">
      <w:startOverride w:val="1"/>
    </w:lvlOverride>
  </w:num>
  <w:num w:numId="2" w16cid:durableId="1455366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227"/>
    <w:rsid w:val="00135792"/>
    <w:rsid w:val="00555B3C"/>
    <w:rsid w:val="00583B7F"/>
    <w:rsid w:val="00684AD5"/>
    <w:rsid w:val="00696628"/>
    <w:rsid w:val="006C740D"/>
    <w:rsid w:val="00930CAF"/>
    <w:rsid w:val="00951836"/>
    <w:rsid w:val="009E0227"/>
    <w:rsid w:val="00C00B4A"/>
    <w:rsid w:val="00D4779D"/>
    <w:rsid w:val="00D96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D78A"/>
  <w15:docId w15:val="{C7EA289B-935F-47CF-BB0F-2A4F6B75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B556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80"/>
      <w:outlineLvl w:val="0"/>
    </w:pPr>
    <w:rPr>
      <w:b/>
      <w:bCs/>
      <w:color w:val="FFFFFF"/>
      <w:sz w:val="40"/>
      <w:szCs w:val="40"/>
    </w:rPr>
  </w:style>
  <w:style w:type="paragraph" w:styleId="Heading2">
    <w:name w:val="heading 2"/>
    <w:uiPriority w:val="9"/>
    <w:unhideWhenUsed/>
    <w:qFormat/>
    <w:pPr>
      <w:spacing w:before="320" w:after="100"/>
      <w:outlineLvl w:val="1"/>
    </w:pPr>
    <w:rPr>
      <w:b/>
      <w:bCs/>
      <w:color w:val="1B6B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nk.springer.com/content/pdf/10.1007/978-981-96-8058-0_2.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growingscience.com/uscm/Vol10/uscm_2022_9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sd.70119"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emerald.com/scm/article-pdf/30/7/60/9874883/scm-07-2024-0448.pdf" TargetMode="External"/><Relationship Id="rId4" Type="http://schemas.openxmlformats.org/officeDocument/2006/relationships/webSettings" Target="webSettings.xml"/><Relationship Id="rId9" Type="http://schemas.openxmlformats.org/officeDocument/2006/relationships/hyperlink" Target="https://eprints.whiterose.ac.uk/id/eprint/231658/1/Bus%20Strat%20Env%20-%202025%20-%20Pellegrino%20-%20Can%20the%20Adoption%20of%20Circular%20Economy%20Practices%20Foster%20Supply%20Chain%20Resilience%20and.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2026-04-13T14:14:00Z</dcterms:created>
  <dcterms:modified xsi:type="dcterms:W3CDTF">2026-04-13T14:14:00Z</dcterms:modified>
</cp:coreProperties>
</file>