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1C0B8" w14:textId="2645A424" w:rsidR="00814698" w:rsidRPr="00814698" w:rsidRDefault="006F0E20" w:rsidP="00814698">
      <w:pPr>
        <w:rPr>
          <w:b/>
          <w:sz w:val="28"/>
          <w:u w:val="single"/>
          <w:lang w:val="en-GB"/>
        </w:rPr>
      </w:pPr>
      <w:r>
        <w:rPr>
          <w:b/>
          <w:sz w:val="28"/>
          <w:u w:val="single"/>
          <w:lang w:val="en-GB"/>
        </w:rPr>
        <w:t>Parameter Documentation</w:t>
      </w:r>
    </w:p>
    <w:p w14:paraId="194B37A0" w14:textId="77777777" w:rsidR="00814698" w:rsidRPr="00814698" w:rsidRDefault="00814698" w:rsidP="00814698">
      <w:pPr>
        <w:rPr>
          <w:lang w:val="en-GB"/>
        </w:rPr>
      </w:pPr>
    </w:p>
    <w:p w14:paraId="75A1B470" w14:textId="7EE3A0F6" w:rsidR="00814698" w:rsidRDefault="00814698" w:rsidP="00814698">
      <w:pPr>
        <w:rPr>
          <w:lang w:val="en-GB"/>
        </w:rPr>
      </w:pPr>
      <w:r w:rsidRPr="00814698">
        <w:rPr>
          <w:lang w:val="en-GB"/>
        </w:rPr>
        <w:t>"</w:t>
      </w:r>
      <w:proofErr w:type="spellStart"/>
      <w:r w:rsidR="00CC7238">
        <w:rPr>
          <w:lang w:val="en-GB"/>
        </w:rPr>
        <w:t>SimMain</w:t>
      </w:r>
      <w:r w:rsidRPr="00814698">
        <w:rPr>
          <w:lang w:val="en-GB"/>
        </w:rPr>
        <w:t>.m</w:t>
      </w:r>
      <w:proofErr w:type="spellEnd"/>
      <w:r w:rsidRPr="00814698">
        <w:rPr>
          <w:lang w:val="en-GB"/>
        </w:rPr>
        <w:t>" is the central place from which you run the simulation but also choose the settings you wish to have.</w:t>
      </w:r>
    </w:p>
    <w:p w14:paraId="0B167D98" w14:textId="18BA769D" w:rsidR="00CC7238" w:rsidRDefault="00CC7238" w:rsidP="00814698">
      <w:pPr>
        <w:rPr>
          <w:lang w:val="en-GB"/>
        </w:rPr>
      </w:pPr>
      <w:r>
        <w:rPr>
          <w:lang w:val="en-GB"/>
        </w:rPr>
        <w:t>To define a sequence which you would like to simulate, divide it up into blocks of constant magnetic fields. These blocks can be either “RF blocks” or “encoding  blocks” with optional readout:</w:t>
      </w:r>
    </w:p>
    <w:p w14:paraId="4FFD93F8" w14:textId="0CD1384E" w:rsidR="00CC7238" w:rsidRDefault="00CC7238" w:rsidP="00814698">
      <w:pPr>
        <w:rPr>
          <w:lang w:val="en-GB"/>
        </w:rPr>
      </w:pPr>
      <w:r w:rsidRPr="00CC7238">
        <w:rPr>
          <w:lang w:val="en-GB"/>
        </w:rPr>
        <w:drawing>
          <wp:inline distT="0" distB="0" distL="0" distR="0" wp14:anchorId="5169AFD3" wp14:editId="68AB8FD9">
            <wp:extent cx="3419087" cy="1836751"/>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31584" cy="1843464"/>
                    </a:xfrm>
                    <a:prstGeom prst="rect">
                      <a:avLst/>
                    </a:prstGeom>
                  </pic:spPr>
                </pic:pic>
              </a:graphicData>
            </a:graphic>
          </wp:inline>
        </w:drawing>
      </w:r>
    </w:p>
    <w:p w14:paraId="3CEF7D11" w14:textId="1002872D" w:rsidR="00CC7238" w:rsidRDefault="00CC7238" w:rsidP="00814698">
      <w:pPr>
        <w:rPr>
          <w:lang w:val="en-GB"/>
        </w:rPr>
      </w:pPr>
      <w:r>
        <w:rPr>
          <w:lang w:val="en-GB"/>
        </w:rPr>
        <w:t>After sequence definition a bunch of important settings for the simulation can be chosen such as FOV, B0, simulated/reconstructed matrix size, gradient strength but also “</w:t>
      </w:r>
      <w:proofErr w:type="spellStart"/>
      <w:r>
        <w:rPr>
          <w:lang w:val="en-GB"/>
        </w:rPr>
        <w:t>factor_os</w:t>
      </w:r>
      <w:proofErr w:type="spellEnd"/>
      <w:r>
        <w:rPr>
          <w:lang w:val="en-GB"/>
        </w:rPr>
        <w:t xml:space="preserve">”. This parameter handles oversampling in the time domain. In general, the sampling  frequency is calculated by </w:t>
      </w:r>
      <w:proofErr w:type="spellStart"/>
      <w:r>
        <w:rPr>
          <w:lang w:val="en-GB"/>
        </w:rPr>
        <w:t>Nyquists</w:t>
      </w:r>
      <w:proofErr w:type="spellEnd"/>
      <w:r>
        <w:rPr>
          <w:lang w:val="en-GB"/>
        </w:rPr>
        <w:t xml:space="preserve"> theorem as for conventional MRI (keep in mind that this already assumes demodulated signals) such that “</w:t>
      </w:r>
      <w:proofErr w:type="spellStart"/>
      <w:r>
        <w:rPr>
          <w:lang w:val="en-GB"/>
        </w:rPr>
        <w:t>factor_os</w:t>
      </w:r>
      <w:proofErr w:type="spellEnd"/>
      <w:r>
        <w:rPr>
          <w:lang w:val="en-GB"/>
        </w:rPr>
        <w:t>” has to be chosen such that also the original, not-modulated signal is sampled sufficiently.</w:t>
      </w:r>
    </w:p>
    <w:p w14:paraId="4C088E82" w14:textId="49BCBE2A" w:rsidR="008772A9" w:rsidRDefault="008772A9" w:rsidP="00814698">
      <w:pPr>
        <w:rPr>
          <w:lang w:val="en-GB"/>
        </w:rPr>
      </w:pPr>
      <w:r>
        <w:rPr>
          <w:lang w:val="en-GB"/>
        </w:rPr>
        <w:t>There are the following Booleans which change the simulation procedure as follows:</w:t>
      </w:r>
    </w:p>
    <w:p w14:paraId="3032FFFC" w14:textId="075A91A5" w:rsidR="00CC7238" w:rsidRDefault="008772A9" w:rsidP="00814698">
      <w:pPr>
        <w:rPr>
          <w:lang w:val="en-GB"/>
        </w:rPr>
      </w:pPr>
      <w:r w:rsidRPr="008772A9">
        <w:rPr>
          <w:lang w:val="en-GB"/>
        </w:rPr>
        <w:drawing>
          <wp:inline distT="0" distB="0" distL="0" distR="0" wp14:anchorId="38922129" wp14:editId="4FFBF568">
            <wp:extent cx="2866751" cy="2735249"/>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71256" cy="2739547"/>
                    </a:xfrm>
                    <a:prstGeom prst="rect">
                      <a:avLst/>
                    </a:prstGeom>
                  </pic:spPr>
                </pic:pic>
              </a:graphicData>
            </a:graphic>
          </wp:inline>
        </w:drawing>
      </w:r>
    </w:p>
    <w:p w14:paraId="3E6A8F87" w14:textId="68D839DB" w:rsidR="00CC7238" w:rsidRDefault="00CC7238" w:rsidP="00814698">
      <w:pPr>
        <w:rPr>
          <w:lang w:val="en-GB"/>
        </w:rPr>
      </w:pPr>
    </w:p>
    <w:p w14:paraId="4A307647" w14:textId="4BC628C5" w:rsidR="008772A9" w:rsidRDefault="008772A9" w:rsidP="00814698">
      <w:pPr>
        <w:rPr>
          <w:lang w:val="en-GB"/>
        </w:rPr>
      </w:pPr>
      <w:r w:rsidRPr="008772A9">
        <w:rPr>
          <w:b/>
          <w:bCs/>
          <w:u w:val="single"/>
          <w:lang w:val="en-GB"/>
        </w:rPr>
        <w:t>Relaxation</w:t>
      </w:r>
      <w:r>
        <w:rPr>
          <w:b/>
          <w:bCs/>
          <w:u w:val="single"/>
          <w:lang w:val="en-GB"/>
        </w:rPr>
        <w:t>:</w:t>
      </w:r>
      <w:r w:rsidRPr="008772A9">
        <w:rPr>
          <w:lang w:val="en-GB"/>
        </w:rPr>
        <w:t xml:space="preserve">  </w:t>
      </w:r>
      <w:r>
        <w:rPr>
          <w:lang w:val="en-GB"/>
        </w:rPr>
        <w:t>Boolean to switch on/off relaxation effects during Bloch/matrix-based simulation of the MRI signal</w:t>
      </w:r>
      <w:r w:rsidR="00FD7560">
        <w:rPr>
          <w:lang w:val="en-GB"/>
        </w:rPr>
        <w:t>.</w:t>
      </w:r>
    </w:p>
    <w:p w14:paraId="4C6F983D" w14:textId="0C16EE14" w:rsidR="008772A9" w:rsidRDefault="008772A9" w:rsidP="00814698">
      <w:pPr>
        <w:rPr>
          <w:lang w:val="en-GB"/>
        </w:rPr>
      </w:pPr>
      <w:r w:rsidRPr="008772A9">
        <w:rPr>
          <w:b/>
          <w:bCs/>
          <w:u w:val="single"/>
          <w:lang w:val="en-GB"/>
        </w:rPr>
        <w:t>Bloch:</w:t>
      </w:r>
      <w:r>
        <w:rPr>
          <w:lang w:val="en-GB"/>
        </w:rPr>
        <w:t xml:space="preserve"> Boolean which enables Bloch simulation – solving Bloch equation numerically (for convergence, “</w:t>
      </w:r>
      <w:proofErr w:type="spellStart"/>
      <w:r>
        <w:rPr>
          <w:lang w:val="en-GB"/>
        </w:rPr>
        <w:t>factor_os</w:t>
      </w:r>
      <w:proofErr w:type="spellEnd"/>
      <w:r>
        <w:rPr>
          <w:lang w:val="en-GB"/>
        </w:rPr>
        <w:t>” has to be chosen large enough (typically &gt;1000000))</w:t>
      </w:r>
      <w:r w:rsidR="00FD7560">
        <w:rPr>
          <w:lang w:val="en-GB"/>
        </w:rPr>
        <w:t>.</w:t>
      </w:r>
    </w:p>
    <w:p w14:paraId="603E6EAE" w14:textId="561A589B" w:rsidR="008772A9" w:rsidRPr="00814698" w:rsidRDefault="008772A9" w:rsidP="008772A9">
      <w:pPr>
        <w:rPr>
          <w:lang w:val="en-GB"/>
        </w:rPr>
      </w:pPr>
      <w:r w:rsidRPr="008772A9">
        <w:rPr>
          <w:b/>
          <w:bCs/>
          <w:u w:val="single"/>
          <w:lang w:val="en-GB"/>
        </w:rPr>
        <w:lastRenderedPageBreak/>
        <w:t xml:space="preserve">noise &amp; </w:t>
      </w:r>
      <w:proofErr w:type="spellStart"/>
      <w:r w:rsidRPr="008772A9">
        <w:rPr>
          <w:b/>
          <w:bCs/>
          <w:u w:val="single"/>
          <w:lang w:val="en-GB"/>
        </w:rPr>
        <w:t>SNR</w:t>
      </w:r>
      <w:r w:rsidRPr="008772A9">
        <w:rPr>
          <w:b/>
          <w:bCs/>
          <w:u w:val="single"/>
          <w:lang w:val="en-GB"/>
        </w:rPr>
        <w:t>_dB</w:t>
      </w:r>
      <w:proofErr w:type="spellEnd"/>
      <w:r w:rsidRPr="008772A9">
        <w:rPr>
          <w:b/>
          <w:bCs/>
          <w:u w:val="single"/>
          <w:lang w:val="en-GB"/>
        </w:rPr>
        <w:t>:</w:t>
      </w:r>
      <w:r w:rsidRPr="008772A9">
        <w:rPr>
          <w:lang w:val="en-GB"/>
        </w:rPr>
        <w:t xml:space="preserve"> </w:t>
      </w:r>
      <w:r w:rsidRPr="00814698">
        <w:rPr>
          <w:lang w:val="en-GB"/>
        </w:rPr>
        <w:t>Add gaussian white noise t</w:t>
      </w:r>
      <w:r>
        <w:rPr>
          <w:lang w:val="en-GB"/>
        </w:rPr>
        <w:t xml:space="preserve">o simulated signal with </w:t>
      </w:r>
      <w:r>
        <w:rPr>
          <w:lang w:val="en-GB"/>
        </w:rPr>
        <w:t xml:space="preserve">the chosen </w:t>
      </w:r>
      <w:proofErr w:type="spellStart"/>
      <w:r>
        <w:rPr>
          <w:lang w:val="en-GB"/>
        </w:rPr>
        <w:t>SNR</w:t>
      </w:r>
      <w:r>
        <w:rPr>
          <w:lang w:val="en-GB"/>
        </w:rPr>
        <w:t>_dB</w:t>
      </w:r>
      <w:proofErr w:type="spellEnd"/>
      <w:r w:rsidR="00FD7560">
        <w:rPr>
          <w:lang w:val="en-GB"/>
        </w:rPr>
        <w:t>.</w:t>
      </w:r>
    </w:p>
    <w:p w14:paraId="7F9C49AC" w14:textId="3BC33560" w:rsidR="008772A9" w:rsidRPr="008772A9" w:rsidRDefault="008772A9" w:rsidP="00814698">
      <w:pPr>
        <w:rPr>
          <w:lang w:val="en-GB"/>
        </w:rPr>
      </w:pPr>
      <w:r w:rsidRPr="008772A9">
        <w:rPr>
          <w:b/>
          <w:bCs/>
          <w:u w:val="single"/>
          <w:lang w:val="en-GB"/>
        </w:rPr>
        <w:t>PCG:</w:t>
      </w:r>
      <w:r>
        <w:rPr>
          <w:lang w:val="en-GB"/>
        </w:rPr>
        <w:t xml:space="preserve"> Reconstruction can either be done by conjugate gradient or using the algebraic reconstruction technique (ART). The latter one converges only slowly but requires less RAM since per iteration only one row of the encoding matrix is required.</w:t>
      </w:r>
    </w:p>
    <w:p w14:paraId="3AC4B92A" w14:textId="120E9FEF" w:rsidR="00CC7238" w:rsidRDefault="008772A9" w:rsidP="00814698">
      <w:pPr>
        <w:rPr>
          <w:lang w:val="en-GB"/>
        </w:rPr>
      </w:pPr>
      <w:r w:rsidRPr="008772A9">
        <w:rPr>
          <w:b/>
          <w:bCs/>
          <w:u w:val="single"/>
          <w:lang w:val="en-GB"/>
        </w:rPr>
        <w:t>importB0/B1_TX/B1_RX</w:t>
      </w:r>
      <w:r>
        <w:rPr>
          <w:lang w:val="en-GB"/>
        </w:rPr>
        <w:t>: These variables enable the import of the B0, transmit or receive field from the folder “</w:t>
      </w:r>
      <w:proofErr w:type="spellStart"/>
      <w:r>
        <w:rPr>
          <w:lang w:val="en-GB"/>
        </w:rPr>
        <w:t>FieldData</w:t>
      </w:r>
      <w:proofErr w:type="spellEnd"/>
      <w:r>
        <w:rPr>
          <w:lang w:val="en-GB"/>
        </w:rPr>
        <w:t>”</w:t>
      </w:r>
      <w:r w:rsidR="00FD7560">
        <w:rPr>
          <w:lang w:val="en-GB"/>
        </w:rPr>
        <w:t>.</w:t>
      </w:r>
    </w:p>
    <w:p w14:paraId="31E3535E" w14:textId="1ABA25B2" w:rsidR="00CC7238" w:rsidRDefault="00FD7560" w:rsidP="00814698">
      <w:pPr>
        <w:rPr>
          <w:lang w:val="en-GB"/>
        </w:rPr>
      </w:pPr>
      <w:proofErr w:type="spellStart"/>
      <w:r w:rsidRPr="00FD7560">
        <w:rPr>
          <w:b/>
          <w:bCs/>
          <w:u w:val="single"/>
          <w:lang w:val="en-GB"/>
        </w:rPr>
        <w:t>Nr_receiver</w:t>
      </w:r>
      <w:proofErr w:type="spellEnd"/>
      <w:r w:rsidRPr="00FD7560">
        <w:rPr>
          <w:b/>
          <w:bCs/>
          <w:u w:val="single"/>
          <w:lang w:val="en-GB"/>
        </w:rPr>
        <w:t>:</w:t>
      </w:r>
      <w:r>
        <w:rPr>
          <w:lang w:val="en-GB"/>
        </w:rPr>
        <w:t xml:space="preserve"> Number of receiver coils</w:t>
      </w:r>
      <w:r w:rsidR="006F0E20">
        <w:rPr>
          <w:lang w:val="en-GB"/>
        </w:rPr>
        <w:t xml:space="preserve"> – not yet used during simulation because Low-field MRI is often </w:t>
      </w:r>
      <w:proofErr w:type="spellStart"/>
      <w:r w:rsidR="006F0E20">
        <w:rPr>
          <w:lang w:val="en-GB"/>
        </w:rPr>
        <w:t>reyling</w:t>
      </w:r>
      <w:proofErr w:type="spellEnd"/>
      <w:r w:rsidR="006F0E20">
        <w:rPr>
          <w:lang w:val="en-GB"/>
        </w:rPr>
        <w:t xml:space="preserve"> on one RX channel but generalization to multiple coils can be done easily.</w:t>
      </w:r>
    </w:p>
    <w:p w14:paraId="01CBF1E0" w14:textId="523BCE3E" w:rsidR="00FD7560" w:rsidRDefault="00E01A1D" w:rsidP="00814698">
      <w:pPr>
        <w:rPr>
          <w:lang w:val="en-GB"/>
        </w:rPr>
      </w:pPr>
      <w:r w:rsidRPr="003008F5">
        <w:rPr>
          <w:lang w:val="en-GB"/>
        </w:rPr>
        <w:drawing>
          <wp:anchor distT="0" distB="0" distL="114300" distR="114300" simplePos="0" relativeHeight="251697152" behindDoc="1" locked="0" layoutInCell="1" allowOverlap="1" wp14:anchorId="4B6DAF43" wp14:editId="2C0DB403">
            <wp:simplePos x="0" y="0"/>
            <wp:positionH relativeFrom="column">
              <wp:posOffset>-104802</wp:posOffset>
            </wp:positionH>
            <wp:positionV relativeFrom="paragraph">
              <wp:posOffset>267308</wp:posOffset>
            </wp:positionV>
            <wp:extent cx="1171575" cy="2447925"/>
            <wp:effectExtent l="0" t="0" r="9525" b="9525"/>
            <wp:wrapTight wrapText="bothSides">
              <wp:wrapPolygon edited="0">
                <wp:start x="0" y="0"/>
                <wp:lineTo x="0" y="21516"/>
                <wp:lineTo x="21424" y="21516"/>
                <wp:lineTo x="21424" y="0"/>
                <wp:lineTo x="0" y="0"/>
              </wp:wrapPolygon>
            </wp:wrapTight>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171575" cy="2447925"/>
                    </a:xfrm>
                    <a:prstGeom prst="rect">
                      <a:avLst/>
                    </a:prstGeom>
                  </pic:spPr>
                </pic:pic>
              </a:graphicData>
            </a:graphic>
          </wp:anchor>
        </w:drawing>
      </w:r>
      <w:proofErr w:type="spellStart"/>
      <w:r w:rsidR="00FD7560" w:rsidRPr="003008F5">
        <w:rPr>
          <w:b/>
          <w:bCs/>
          <w:u w:val="single"/>
          <w:lang w:val="en-GB"/>
        </w:rPr>
        <w:t>importEncoding</w:t>
      </w:r>
      <w:proofErr w:type="spellEnd"/>
      <w:r w:rsidR="00FD7560" w:rsidRPr="003008F5">
        <w:rPr>
          <w:b/>
          <w:bCs/>
          <w:u w:val="single"/>
          <w:lang w:val="en-GB"/>
        </w:rPr>
        <w:t>:</w:t>
      </w:r>
      <w:r w:rsidR="00FD7560">
        <w:rPr>
          <w:lang w:val="en-GB"/>
        </w:rPr>
        <w:t xml:space="preserve"> Enables the import of the encoding</w:t>
      </w:r>
      <w:r w:rsidR="003008F5">
        <w:rPr>
          <w:lang w:val="en-GB"/>
        </w:rPr>
        <w:t xml:space="preserve"> fields from the folder “</w:t>
      </w:r>
      <w:proofErr w:type="spellStart"/>
      <w:r w:rsidR="003008F5">
        <w:rPr>
          <w:lang w:val="en-GB"/>
        </w:rPr>
        <w:t>FieldData</w:t>
      </w:r>
      <w:proofErr w:type="spellEnd"/>
      <w:r w:rsidR="003008F5">
        <w:rPr>
          <w:lang w:val="en-GB"/>
        </w:rPr>
        <w:t>\Encoding”:</w:t>
      </w:r>
    </w:p>
    <w:p w14:paraId="20751D24" w14:textId="4D15A3DA" w:rsidR="00FD7560" w:rsidRDefault="003008F5" w:rsidP="00814698">
      <w:pPr>
        <w:rPr>
          <w:lang w:val="en-GB"/>
        </w:rPr>
      </w:pPr>
      <w:r>
        <w:rPr>
          <w:lang w:val="en-GB"/>
        </w:rPr>
        <w:t>The structure</w:t>
      </w:r>
      <w:r w:rsidR="00E01A1D">
        <w:rPr>
          <w:lang w:val="en-GB"/>
        </w:rPr>
        <w:t xml:space="preserve"> in this folder is as follows: Each encoding step (folder “E”) has its own subfolders in which the txt-files of the encoding fields are located for each block (folder “B”) of the simulated sequence. The following parameters “</w:t>
      </w:r>
      <w:proofErr w:type="spellStart"/>
      <w:r w:rsidR="00E01A1D">
        <w:rPr>
          <w:lang w:val="en-GB"/>
        </w:rPr>
        <w:t>Nx_CST</w:t>
      </w:r>
      <w:proofErr w:type="spellEnd"/>
      <w:r w:rsidR="00E01A1D">
        <w:rPr>
          <w:lang w:val="en-GB"/>
        </w:rPr>
        <w:t xml:space="preserve">, </w:t>
      </w:r>
      <w:proofErr w:type="spellStart"/>
      <w:r w:rsidR="00E01A1D">
        <w:rPr>
          <w:lang w:val="en-GB"/>
        </w:rPr>
        <w:t>Ny_CST</w:t>
      </w:r>
      <w:proofErr w:type="spellEnd"/>
      <w:r w:rsidR="00E01A1D">
        <w:rPr>
          <w:lang w:val="en-GB"/>
        </w:rPr>
        <w:t xml:space="preserve">, </w:t>
      </w:r>
      <w:proofErr w:type="spellStart"/>
      <w:r w:rsidR="00E01A1D">
        <w:rPr>
          <w:lang w:val="en-GB"/>
        </w:rPr>
        <w:t>Nz_CST</w:t>
      </w:r>
      <w:proofErr w:type="spellEnd"/>
      <w:r w:rsidR="00E01A1D">
        <w:rPr>
          <w:lang w:val="en-GB"/>
        </w:rPr>
        <w:t xml:space="preserve"> and </w:t>
      </w:r>
      <w:proofErr w:type="spellStart"/>
      <w:r w:rsidR="00E01A1D">
        <w:rPr>
          <w:lang w:val="en-GB"/>
        </w:rPr>
        <w:t>SixRows</w:t>
      </w:r>
      <w:proofErr w:type="spellEnd"/>
      <w:r w:rsidR="00E01A1D">
        <w:rPr>
          <w:lang w:val="en-GB"/>
        </w:rPr>
        <w:t>” are the size of the imported txt-files as well as specifying the format of the imported files.</w:t>
      </w:r>
    </w:p>
    <w:p w14:paraId="60DCAF6C" w14:textId="5B63F784" w:rsidR="00E01A1D" w:rsidRDefault="00E01A1D" w:rsidP="00814698">
      <w:pPr>
        <w:rPr>
          <w:lang w:val="en-GB"/>
        </w:rPr>
      </w:pPr>
    </w:p>
    <w:p w14:paraId="251B5860" w14:textId="6DCF1ABB" w:rsidR="00E01A1D" w:rsidRDefault="00E01A1D" w:rsidP="00814698">
      <w:pPr>
        <w:rPr>
          <w:lang w:val="en-GB"/>
        </w:rPr>
      </w:pPr>
    </w:p>
    <w:p w14:paraId="3D416554" w14:textId="10D928DA" w:rsidR="00E01A1D" w:rsidRDefault="00E01A1D" w:rsidP="00814698">
      <w:pPr>
        <w:rPr>
          <w:lang w:val="en-GB"/>
        </w:rPr>
      </w:pPr>
    </w:p>
    <w:p w14:paraId="7600E4CB" w14:textId="1B564964" w:rsidR="00E01A1D" w:rsidRDefault="00E01A1D" w:rsidP="00814698">
      <w:pPr>
        <w:rPr>
          <w:lang w:val="en-GB"/>
        </w:rPr>
      </w:pPr>
    </w:p>
    <w:p w14:paraId="584A4EBA" w14:textId="35BB27C3" w:rsidR="00E01A1D" w:rsidRDefault="00E01A1D" w:rsidP="00814698">
      <w:pPr>
        <w:rPr>
          <w:lang w:val="en-GB"/>
        </w:rPr>
      </w:pPr>
    </w:p>
    <w:p w14:paraId="67F136C9" w14:textId="2BCF99C8" w:rsidR="00E01A1D" w:rsidRDefault="00E01A1D" w:rsidP="00814698">
      <w:pPr>
        <w:rPr>
          <w:lang w:val="en-GB"/>
        </w:rPr>
      </w:pPr>
    </w:p>
    <w:p w14:paraId="564B628D" w14:textId="79E79255" w:rsidR="00E01A1D" w:rsidRDefault="006F0E20" w:rsidP="00814698">
      <w:pPr>
        <w:rPr>
          <w:b/>
          <w:bCs/>
          <w:u w:val="single"/>
          <w:lang w:val="en-GB"/>
        </w:rPr>
      </w:pPr>
      <w:r w:rsidRPr="006F0E20">
        <w:rPr>
          <w:b/>
          <w:bCs/>
          <w:u w:val="single"/>
          <w:lang w:val="en-GB"/>
        </w:rPr>
        <w:t>Sample</w:t>
      </w:r>
    </w:p>
    <w:p w14:paraId="43E5CEB9" w14:textId="042E58D1" w:rsidR="006F0E20" w:rsidRDefault="006F0E20" w:rsidP="00814698">
      <w:pPr>
        <w:rPr>
          <w:lang w:val="en-GB"/>
        </w:rPr>
      </w:pPr>
      <w:r>
        <w:rPr>
          <w:lang w:val="en-GB"/>
        </w:rPr>
        <w:t xml:space="preserve">The sample used for the simulation can either be imported (folder “Sample”) or manually defined. Predefined options are the </w:t>
      </w:r>
      <w:proofErr w:type="spellStart"/>
      <w:r>
        <w:rPr>
          <w:lang w:val="en-GB"/>
        </w:rPr>
        <w:t>Shepp</w:t>
      </w:r>
      <w:proofErr w:type="spellEnd"/>
      <w:r>
        <w:rPr>
          <w:lang w:val="en-GB"/>
        </w:rPr>
        <w:t>-Logan Phantom, a sphere, a cylinder, or a 1D/2D rectangle whose code is located in “</w:t>
      </w:r>
      <w:proofErr w:type="spellStart"/>
      <w:r>
        <w:rPr>
          <w:lang w:val="en-GB"/>
        </w:rPr>
        <w:t>samplePrep.m</w:t>
      </w:r>
      <w:proofErr w:type="spellEnd"/>
      <w:r>
        <w:rPr>
          <w:lang w:val="en-GB"/>
        </w:rPr>
        <w:t>”.</w:t>
      </w:r>
    </w:p>
    <w:p w14:paraId="0111E9ED" w14:textId="2747CBB7" w:rsidR="006F0E20" w:rsidRDefault="006F0E20" w:rsidP="00814698">
      <w:pPr>
        <w:rPr>
          <w:lang w:val="en-GB"/>
        </w:rPr>
      </w:pPr>
    </w:p>
    <w:p w14:paraId="085F022D" w14:textId="0030ACD2" w:rsidR="006F0E20" w:rsidRPr="006F0E20" w:rsidRDefault="006F0E20" w:rsidP="00814698">
      <w:pPr>
        <w:rPr>
          <w:b/>
          <w:bCs/>
          <w:u w:val="single"/>
          <w:lang w:val="en-GB"/>
        </w:rPr>
      </w:pPr>
      <w:r w:rsidRPr="006F0E20">
        <w:rPr>
          <w:b/>
          <w:bCs/>
          <w:u w:val="single"/>
          <w:lang w:val="en-GB"/>
        </w:rPr>
        <w:t>Simulation:</w:t>
      </w:r>
    </w:p>
    <w:p w14:paraId="738E2792" w14:textId="6C9E466D" w:rsidR="006F0E20" w:rsidRDefault="006F0E20" w:rsidP="00814698">
      <w:pPr>
        <w:rPr>
          <w:lang w:val="en-GB"/>
        </w:rPr>
      </w:pPr>
      <w:r>
        <w:rPr>
          <w:lang w:val="en-GB"/>
        </w:rPr>
        <w:t xml:space="preserve">First, for each block of a sequence, the </w:t>
      </w:r>
      <w:r w:rsidR="00A12E65">
        <w:rPr>
          <w:lang w:val="en-GB"/>
        </w:rPr>
        <w:t xml:space="preserve">magnetization vector is calculated. If this block is a “readout-block”, then the induced EMF is determined, demodulated and </w:t>
      </w:r>
      <w:proofErr w:type="spellStart"/>
      <w:r w:rsidR="00A12E65">
        <w:rPr>
          <w:lang w:val="en-GB"/>
        </w:rPr>
        <w:t>downsampled</w:t>
      </w:r>
      <w:proofErr w:type="spellEnd"/>
      <w:r w:rsidR="00A12E65">
        <w:rPr>
          <w:lang w:val="en-GB"/>
        </w:rPr>
        <w:t>.</w:t>
      </w:r>
    </w:p>
    <w:p w14:paraId="0F00BB1D" w14:textId="77777777" w:rsidR="00A12E65" w:rsidRDefault="00A12E65" w:rsidP="00814698">
      <w:pPr>
        <w:rPr>
          <w:lang w:val="en-GB"/>
        </w:rPr>
      </w:pPr>
    </w:p>
    <w:p w14:paraId="390B12F8" w14:textId="6662B387" w:rsidR="00FD7560" w:rsidRPr="00A12E65" w:rsidRDefault="00FD7560" w:rsidP="00814698">
      <w:pPr>
        <w:rPr>
          <w:b/>
          <w:bCs/>
          <w:u w:val="single"/>
          <w:lang w:val="en-GB"/>
        </w:rPr>
      </w:pPr>
      <w:r w:rsidRPr="00A12E65">
        <w:rPr>
          <w:b/>
          <w:bCs/>
          <w:u w:val="single"/>
          <w:lang w:val="en-GB"/>
        </w:rPr>
        <w:t>Reconstruction:</w:t>
      </w:r>
    </w:p>
    <w:p w14:paraId="1AE1C878" w14:textId="37FAF8A3" w:rsidR="00FD7560" w:rsidRDefault="00FD7560" w:rsidP="00814698">
      <w:pPr>
        <w:rPr>
          <w:lang w:val="en-GB"/>
        </w:rPr>
      </w:pPr>
      <w:r>
        <w:rPr>
          <w:lang w:val="en-GB"/>
        </w:rPr>
        <w:t xml:space="preserve">Reconstruction is currently optimized for one echo and receive coil and not written to be </w:t>
      </w:r>
      <w:r>
        <w:rPr>
          <w:lang w:val="en-GB"/>
        </w:rPr>
        <w:t xml:space="preserve">generically </w:t>
      </w:r>
      <w:r>
        <w:rPr>
          <w:lang w:val="en-GB"/>
        </w:rPr>
        <w:t xml:space="preserve">able to reconstruct all possible sequences/parameter inputs. However, the reconstruction can be easily adapted for multiple </w:t>
      </w:r>
      <w:proofErr w:type="spellStart"/>
      <w:r>
        <w:rPr>
          <w:lang w:val="en-GB"/>
        </w:rPr>
        <w:t>echos</w:t>
      </w:r>
      <w:proofErr w:type="spellEnd"/>
      <w:r>
        <w:rPr>
          <w:lang w:val="en-GB"/>
        </w:rPr>
        <w:t xml:space="preserve"> and receiver coils.</w:t>
      </w:r>
    </w:p>
    <w:p w14:paraId="32214654" w14:textId="77777777" w:rsidR="00FD7560" w:rsidRPr="00FD7560" w:rsidRDefault="00FD7560" w:rsidP="00814698">
      <w:pPr>
        <w:rPr>
          <w:lang w:val="en-GB"/>
        </w:rPr>
      </w:pPr>
    </w:p>
    <w:p w14:paraId="483CBCFB" w14:textId="77777777" w:rsidR="00564818" w:rsidRDefault="00564818">
      <w:pPr>
        <w:rPr>
          <w:lang w:val="en-GB"/>
        </w:rPr>
      </w:pPr>
      <w:r>
        <w:rPr>
          <w:lang w:val="en-GB"/>
        </w:rPr>
        <w:t>“</w:t>
      </w:r>
      <w:proofErr w:type="spellStart"/>
      <w:r>
        <w:rPr>
          <w:lang w:val="en-GB"/>
        </w:rPr>
        <w:t>ArrayShow</w:t>
      </w:r>
      <w:proofErr w:type="spellEnd"/>
      <w:r>
        <w:rPr>
          <w:lang w:val="en-GB"/>
        </w:rPr>
        <w:t>” is a nice toolbox to visualize matrices. By default the first to dimensions are displayed, leaving the possibility to scroll in the last dimension starting from “1”. These buttons</w:t>
      </w:r>
    </w:p>
    <w:p w14:paraId="5D2AC3FF" w14:textId="77777777" w:rsidR="00564818" w:rsidRDefault="00564818">
      <w:pPr>
        <w:rPr>
          <w:lang w:val="en-GB"/>
        </w:rPr>
      </w:pPr>
      <w:r w:rsidRPr="00564818">
        <w:rPr>
          <w:noProof/>
          <w:lang w:val="en-GB"/>
        </w:rPr>
        <w:lastRenderedPageBreak/>
        <w:drawing>
          <wp:inline distT="0" distB="0" distL="0" distR="0" wp14:anchorId="1DDC3355" wp14:editId="23AA1747">
            <wp:extent cx="1219370" cy="885949"/>
            <wp:effectExtent l="0" t="0" r="0" b="952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19370" cy="885949"/>
                    </a:xfrm>
                    <a:prstGeom prst="rect">
                      <a:avLst/>
                    </a:prstGeom>
                  </pic:spPr>
                </pic:pic>
              </a:graphicData>
            </a:graphic>
          </wp:inline>
        </w:drawing>
      </w:r>
    </w:p>
    <w:p w14:paraId="4CADED2B" w14:textId="77777777" w:rsidR="00564818" w:rsidRPr="00814698" w:rsidRDefault="00564818">
      <w:pPr>
        <w:rPr>
          <w:lang w:val="en-GB"/>
        </w:rPr>
      </w:pPr>
      <w:r>
        <w:rPr>
          <w:lang w:val="en-GB"/>
        </w:rPr>
        <w:t xml:space="preserve">enable to scroll through the matrix by using “+” or “-“ or by scrolling with the mouse wheel. Sometimes errors pop up, then, I would recommend to close the window which makes problems and reopen the array you want to have a look at. </w:t>
      </w:r>
    </w:p>
    <w:sectPr w:rsidR="00564818" w:rsidRPr="008146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98"/>
    <w:rsid w:val="0019436E"/>
    <w:rsid w:val="001B44D9"/>
    <w:rsid w:val="002544C3"/>
    <w:rsid w:val="002949E4"/>
    <w:rsid w:val="002F7329"/>
    <w:rsid w:val="003008F5"/>
    <w:rsid w:val="00307D4E"/>
    <w:rsid w:val="00564818"/>
    <w:rsid w:val="006F0E20"/>
    <w:rsid w:val="00800DA0"/>
    <w:rsid w:val="00814698"/>
    <w:rsid w:val="00844ED5"/>
    <w:rsid w:val="00875358"/>
    <w:rsid w:val="008772A9"/>
    <w:rsid w:val="0089429C"/>
    <w:rsid w:val="00A12E65"/>
    <w:rsid w:val="00A474BA"/>
    <w:rsid w:val="00AF597C"/>
    <w:rsid w:val="00CC7238"/>
    <w:rsid w:val="00DA3B8E"/>
    <w:rsid w:val="00E01A1D"/>
    <w:rsid w:val="00E55456"/>
    <w:rsid w:val="00FD75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6364"/>
  <w15:chartTrackingRefBased/>
  <w15:docId w15:val="{9560A5A7-1384-42DC-BBEB-753A20AD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814698"/>
    <w:rPr>
      <w:sz w:val="16"/>
      <w:szCs w:val="16"/>
    </w:rPr>
  </w:style>
  <w:style w:type="paragraph" w:styleId="Kommentartext">
    <w:name w:val="annotation text"/>
    <w:basedOn w:val="Standard"/>
    <w:link w:val="KommentartextZchn"/>
    <w:uiPriority w:val="99"/>
    <w:semiHidden/>
    <w:unhideWhenUsed/>
    <w:rsid w:val="0081469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4698"/>
    <w:rPr>
      <w:sz w:val="20"/>
      <w:szCs w:val="20"/>
    </w:rPr>
  </w:style>
  <w:style w:type="paragraph" w:styleId="Kommentarthema">
    <w:name w:val="annotation subject"/>
    <w:basedOn w:val="Kommentartext"/>
    <w:next w:val="Kommentartext"/>
    <w:link w:val="KommentarthemaZchn"/>
    <w:uiPriority w:val="99"/>
    <w:semiHidden/>
    <w:unhideWhenUsed/>
    <w:rsid w:val="00814698"/>
    <w:rPr>
      <w:b/>
      <w:bCs/>
    </w:rPr>
  </w:style>
  <w:style w:type="character" w:customStyle="1" w:styleId="KommentarthemaZchn">
    <w:name w:val="Kommentarthema Zchn"/>
    <w:basedOn w:val="KommentartextZchn"/>
    <w:link w:val="Kommentarthema"/>
    <w:uiPriority w:val="99"/>
    <w:semiHidden/>
    <w:rsid w:val="00814698"/>
    <w:rPr>
      <w:b/>
      <w:bCs/>
      <w:sz w:val="20"/>
      <w:szCs w:val="20"/>
    </w:rPr>
  </w:style>
  <w:style w:type="paragraph" w:styleId="Sprechblasentext">
    <w:name w:val="Balloon Text"/>
    <w:basedOn w:val="Standard"/>
    <w:link w:val="SprechblasentextZchn"/>
    <w:uiPriority w:val="99"/>
    <w:semiHidden/>
    <w:unhideWhenUsed/>
    <w:rsid w:val="0081469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1469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471</Words>
  <Characters>2969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fabian.bschorr</dc:creator>
  <cp:keywords/>
  <dc:description/>
  <cp:lastModifiedBy>fabian.bschorr</cp:lastModifiedBy>
  <cp:revision>2</cp:revision>
  <cp:lastPrinted>2024-06-04T10:04:00Z</cp:lastPrinted>
  <dcterms:created xsi:type="dcterms:W3CDTF">2025-02-25T15:39:00Z</dcterms:created>
  <dcterms:modified xsi:type="dcterms:W3CDTF">2025-02-25T15:39:00Z</dcterms:modified>
</cp:coreProperties>
</file>