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FutureFlow</w:t>
        <w:br/>
        <w:t>Non-Functional Requirements Specification</w:t>
      </w:r>
    </w:p>
    <w:p>
      <w:pPr>
        <w:jc w:val="center"/>
      </w:pPr>
      <w:r>
        <w:t>Version 1.0</w:t>
        <w:br/>
      </w:r>
      <w:r>
        <w:t>Project: FutureFlow – Predictive Cash Flow &amp; Scenario Planner</w:t>
      </w:r>
    </w:p>
    <w:p>
      <w:pPr>
        <w:pStyle w:val="Heading1"/>
      </w:pPr>
      <w:r>
        <w:t>1. Purpose</w:t>
      </w:r>
    </w:p>
    <w:p>
      <w:r>
        <w:t>This document defines the non-functional requirements for FutureFlow. These requirements establish quality attributes such as performance, security, reliability, usability, and maintainability.</w:t>
      </w:r>
    </w:p>
    <w:p>
      <w:pPr>
        <w:pStyle w:val="Heading1"/>
      </w:pPr>
      <w:r>
        <w:t>2.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Forecast calculations should complete within 2 seconds for a typical user dataset. Dashboard pages should load within 3 seconds on a broadband connection.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The application should recover gracefully from service interruptions. If the AI service is unavailable, core application features shall continue to function.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Passwords shall be hashed using Argon2 or bcrypt. JWT shall be used for authentication. Secrets shall be stored in environment variables.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The interface should be responsive, intuitive, and accessible. Charts should support zooming and clear labeling.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The application shall use a layered architecture, TypeScript throughout, consistent coding standards, and modular services.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The system should support future deployment behind a load balancer without significant architectural changes.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Financial calculations shall be deterministic and repeatable using the same input data.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Application events and errors shall be logged with sufficient detail for troubleshooting while avoiding sensitive financial information.</w:t>
            </w:r>
          </w:p>
        </w:tc>
      </w:tr>
      <w:tr>
        <w:tc>
          <w:tcPr>
            <w:tcW w:type="dxa" w:w="4320"/>
          </w:tcPr>
          <w:p>
            <w:r>
              <w:t>Backup &amp; Recovery</w:t>
            </w:r>
          </w:p>
        </w:tc>
        <w:tc>
          <w:tcPr>
            <w:tcW w:type="dxa" w:w="4320"/>
          </w:tcPr>
          <w:p>
            <w:r>
              <w:t>Database backups should be supported and data restoration procedures documented.</w:t>
            </w:r>
          </w:p>
        </w:tc>
      </w:tr>
      <w:tr>
        <w:tc>
          <w:tcPr>
            <w:tcW w:type="dxa" w:w="4320"/>
          </w:tcPr>
          <w:p>
            <w:r>
              <w:t>Portability</w:t>
            </w:r>
          </w:p>
        </w:tc>
        <w:tc>
          <w:tcPr>
            <w:tcW w:type="dxa" w:w="4320"/>
          </w:tcPr>
          <w:p>
            <w:r>
              <w:t>The complete application shall run locally using Docker Compose without requiring paid cloud services.</w:t>
            </w:r>
          </w:p>
        </w:tc>
      </w:tr>
    </w:tbl>
    <w:p>
      <w:pPr>
        <w:pStyle w:val="Heading1"/>
      </w:pPr>
      <w:r>
        <w:t>3. Success Criteria</w:t>
      </w:r>
    </w:p>
    <w:p>
      <w:pPr>
        <w:pStyle w:val="ListBullet"/>
      </w:pPr>
      <w:r>
        <w:t>Application starts using a single Docker Compose command.</w:t>
      </w:r>
    </w:p>
    <w:p>
      <w:pPr>
        <w:pStyle w:val="ListBullet"/>
      </w:pPr>
      <w:r>
        <w:t>Core features remain operational if the local AI service is offline.</w:t>
      </w:r>
    </w:p>
    <w:p>
      <w:pPr>
        <w:pStyle w:val="ListBullet"/>
      </w:pPr>
      <w:r>
        <w:t>All communication uses HTTPS in production.</w:t>
      </w:r>
    </w:p>
    <w:p>
      <w:pPr>
        <w:pStyle w:val="ListBullet"/>
      </w:pPr>
      <w:r>
        <w:t>Application is portable across Windows, Linux, and macOS development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