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FutureFlow</w:t>
        <w:br/>
        <w:t>AI Integration Design</w:t>
      </w:r>
    </w:p>
    <w:p>
      <w:pPr>
        <w:jc w:val="center"/>
      </w:pPr>
      <w:r>
        <w:t>Version 1.0</w:t>
        <w:br/>
        <w:t>Project: FutureFlow - Predictive Cash Flow &amp; Scenario Planner</w:t>
      </w:r>
    </w:p>
    <w:p>
      <w:pPr>
        <w:pStyle w:val="Heading1"/>
      </w:pPr>
      <w:r>
        <w:t>1. Purpose</w:t>
      </w:r>
    </w:p>
    <w:p>
      <w:r>
        <w:t>This document defines how FutureFlow will use local AI capabilities for transaction categorization and user-facing financial insights. The design avoids paid AI services and keeps the application usable even when the local AI service is unavailable.</w:t>
      </w:r>
    </w:p>
    <w:p>
      <w:pPr>
        <w:pStyle w:val="Heading1"/>
      </w:pPr>
      <w:r>
        <w:t>2. Design Goals</w:t>
      </w:r>
    </w:p>
    <w:p>
      <w:pPr>
        <w:pStyle w:val="ListBullet"/>
      </w:pPr>
      <w:r>
        <w:t>Use a free, local-first AI approach suitable for a portfolio project.</w:t>
      </w:r>
    </w:p>
    <w:p>
      <w:pPr>
        <w:pStyle w:val="ListBullet"/>
      </w:pPr>
      <w:r>
        <w:t>Keep financial calculations deterministic and separate from AI-generated suggestions.</w:t>
      </w:r>
    </w:p>
    <w:p>
      <w:pPr>
        <w:pStyle w:val="ListBullet"/>
      </w:pPr>
      <w:r>
        <w:t>Allow AI output to assist the user without becoming the sole source of truth.</w:t>
      </w:r>
    </w:p>
    <w:p>
      <w:pPr>
        <w:pStyle w:val="ListBullet"/>
      </w:pPr>
      <w:r>
        <w:t>Provide graceful fallback behavior when the AI service is offline.</w:t>
      </w:r>
    </w:p>
    <w:p>
      <w:pPr>
        <w:pStyle w:val="ListBullet"/>
      </w:pPr>
      <w:r>
        <w:t>Avoid sending sensitive financial data to paid external services.</w:t>
      </w:r>
    </w:p>
    <w:p>
      <w:pPr>
        <w:pStyle w:val="Heading1"/>
      </w:pPr>
      <w:r>
        <w:t>3. AI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Initial Priority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Transaction Categorization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Suggest categories for imported or manually entered transactions based on merchant, amount, description, and past user corrections.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Spending Insights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Generate short natural-language observations about spending trends, recurring expenses, and cash-flow risks.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Subscription Detection Support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Help identify likely subscriptions and summarize price changes detected by rule-based logic.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Goal Recommendations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Explain how goal contributions affect the forecast and identify months where contributions may need adjustment.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Conversational Finance Assistant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Allow users to ask questions about their data in natural language.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Future</w:t>
            </w:r>
          </w:p>
        </w:tc>
      </w:tr>
    </w:tbl>
    <w:p>
      <w:pPr>
        <w:pStyle w:val="Heading1"/>
      </w:pPr>
      <w:r>
        <w:t>4. Recommended 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Local AI Runtime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Ollama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Runs open-source models locally during development and demo use.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Backend Integration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NestJS Service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Sends structured prompts to the local AI runtime and validates responses.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Primary Data Source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Stores transactions, categories, insights, confidence values, and user overrides.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Fallback Categorizer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Rule-Based Service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Provides deterministic categorization when AI is unavailable or uncertain.</w:t>
            </w:r>
          </w:p>
        </w:tc>
      </w:tr>
    </w:tbl>
    <w:p>
      <w:pPr>
        <w:pStyle w:val="Heading1"/>
      </w:pPr>
      <w:r>
        <w:t>5. Integration Flow</w:t>
      </w:r>
    </w:p>
    <w:p>
      <w:r>
        <w:t>The AI service operates as an optional supporting service. The backend first applies deterministic rules, then asks the local AI service to assist with unresolved or low-confidence records.</w:t>
      </w:r>
    </w:p>
    <w:p>
      <w:r>
        <w:drawing>
          <wp:inline xmlns:a="http://schemas.openxmlformats.org/drawingml/2006/main" xmlns:pic="http://schemas.openxmlformats.org/drawingml/2006/picture">
            <wp:extent cx="6126480" cy="2212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flow_ai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1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FutureFlow AI integration flow.</w:t>
      </w:r>
    </w:p>
    <w:p>
      <w:pPr>
        <w:pStyle w:val="Heading1"/>
      </w:pPr>
      <w:r>
        <w:t>6. Transaction Categorization Process</w:t>
      </w:r>
    </w:p>
    <w:p>
      <w:pPr>
        <w:pStyle w:val="ListNumber"/>
      </w:pPr>
      <w:r>
        <w:t>Normalize imported transaction descriptions and merchant names.</w:t>
      </w:r>
    </w:p>
    <w:p>
      <w:pPr>
        <w:pStyle w:val="ListNumber"/>
      </w:pPr>
      <w:r>
        <w:t>Apply existing user rules, known merchant mappings, and recurring transaction patterns.</w:t>
      </w:r>
    </w:p>
    <w:p>
      <w:pPr>
        <w:pStyle w:val="ListNumber"/>
      </w:pPr>
      <w:r>
        <w:t>Send unresolved transactions to the local AI service with only the data required for categorization.</w:t>
      </w:r>
    </w:p>
    <w:p>
      <w:pPr>
        <w:pStyle w:val="ListNumber"/>
      </w:pPr>
      <w:r>
        <w:t>Validate the AI response against supported categories and required JSON format.</w:t>
      </w:r>
    </w:p>
    <w:p>
      <w:pPr>
        <w:pStyle w:val="ListNumber"/>
      </w:pPr>
      <w:r>
        <w:t>Store the suggested category, confidence score, explanation, and whether the user accepted or overrode the suggestion.</w:t>
      </w:r>
    </w:p>
    <w:p>
      <w:pPr>
        <w:pStyle w:val="ListNumber"/>
      </w:pPr>
      <w:r>
        <w:t>Use future user overrides to improve rule-based categorization.</w:t>
      </w:r>
    </w:p>
    <w:p>
      <w:pPr>
        <w:pStyle w:val="Heading1"/>
      </w:pPr>
      <w:r>
        <w:t>7. Prompting and Response Format</w:t>
      </w:r>
    </w:p>
    <w:p>
      <w:r>
        <w:t>Prompts should be structured, concise, and designed to return machine-readable JSON. The backend must never assume that AI output is valid until it has been parsed and validated.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transactionDescription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Normalized transaction description or merchant text.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Transaction amount.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transactionType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Income or expense.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candidateCategories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Allowed categories that the model may choose from.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priorUserOverrides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Optional examples of how the user has categorized similar merchants.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response.category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Selected category.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response.confidence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Estimated confidence from 0.00 to 1.00.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response.reason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Short explanation for the suggestion.</w:t>
            </w:r>
          </w:p>
        </w:tc>
      </w:tr>
    </w:tbl>
    <w:p>
      <w:pPr>
        <w:pStyle w:val="Heading1"/>
      </w:pPr>
      <w:r>
        <w:t>8. AI Insight Generation</w:t>
      </w:r>
    </w:p>
    <w:p>
      <w:r>
        <w:t>AI-generated insights should summarize patterns already identified by deterministic services. The AI should explain findings in plain language, but it should not perform final financial calculations.</w:t>
      </w:r>
    </w:p>
    <w:p>
      <w:pPr>
        <w:pStyle w:val="ListBullet"/>
      </w:pPr>
      <w:r>
        <w:t>Dining, grocery, utility, and subscription trend summaries.</w:t>
      </w:r>
    </w:p>
    <w:p>
      <w:pPr>
        <w:pStyle w:val="ListBullet"/>
      </w:pPr>
      <w:r>
        <w:t>Cash crunch explanations based on forecast output.</w:t>
      </w:r>
    </w:p>
    <w:p>
      <w:pPr>
        <w:pStyle w:val="ListBullet"/>
      </w:pPr>
      <w:r>
        <w:t>Subscription price-change summaries.</w:t>
      </w:r>
    </w:p>
    <w:p>
      <w:pPr>
        <w:pStyle w:val="ListBullet"/>
      </w:pPr>
      <w:r>
        <w:t>Goal contribution impact explanations.</w:t>
      </w:r>
    </w:p>
    <w:p>
      <w:pPr>
        <w:pStyle w:val="ListBullet"/>
      </w:pPr>
      <w:r>
        <w:t>Scenario comparison summaries.</w:t>
      </w:r>
    </w:p>
    <w:p>
      <w:pPr>
        <w:pStyle w:val="Heading1"/>
      </w:pPr>
      <w:r>
        <w:t>9. Safeguards and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Area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Data Privacy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Do not send financial data to external paid AI services in the initial portfolio version.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All AI JSON responses must be schema-validated before use.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 Control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Users must be able to override AI categorization.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Determinism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Forecasts and scenario calculations must not depend on AI output.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Fallback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Rule-based categorization remains available if Ollama is offline.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Transparency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insights should be labeled as suggestions or observations, not financial advice.</w:t>
            </w:r>
          </w:p>
        </w:tc>
      </w:tr>
    </w:tbl>
    <w:p>
      <w:pPr>
        <w:pStyle w:val="Heading1"/>
      </w:pPr>
      <w:r>
        <w:t>10. API Touchpoints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 /api/v1/transactions/categorize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Categorize one or more transactions.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PUT /api/v1/transactions/{id}/category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Apply a user category override.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/api/v1/insights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Retrieve current AI-assisted insights.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 /api/v1/insights/generate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Generate a new insight set from current forecast and transaction data.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/api/v1/ai/status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Check whether the local AI runtime is available.</w:t>
            </w:r>
          </w:p>
        </w:tc>
      </w:tr>
    </w:tbl>
    <w:p>
      <w:pPr>
        <w:pStyle w:val="Heading1"/>
      </w:pPr>
      <w:r>
        <w:t>11. Success Criteria</w:t>
      </w:r>
    </w:p>
    <w:p>
      <w:pPr>
        <w:pStyle w:val="ListBullet"/>
      </w:pPr>
      <w:r>
        <w:t>Transactions can be categorized using rules alone when the AI service is unavailable.</w:t>
      </w:r>
    </w:p>
    <w:p>
      <w:pPr>
        <w:pStyle w:val="ListBullet"/>
      </w:pPr>
      <w:r>
        <w:t>AI categorization returns structured data that can be validated and stored.</w:t>
      </w:r>
    </w:p>
    <w:p>
      <w:pPr>
        <w:pStyle w:val="ListBullet"/>
      </w:pPr>
      <w:r>
        <w:t>Users can manually override all suggested categories.</w:t>
      </w:r>
    </w:p>
    <w:p>
      <w:pPr>
        <w:pStyle w:val="ListBullet"/>
      </w:pPr>
      <w:r>
        <w:t>AI-generated insights summarize data without changing financial records or forecasts.</w:t>
      </w:r>
    </w:p>
    <w:p>
      <w:pPr>
        <w:pStyle w:val="ListBullet"/>
      </w:pPr>
      <w:r>
        <w:t>The AI service can run locally through Docker Compose for demo and development use.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