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BE032" w14:textId="304C884B" w:rsidR="005F7F88" w:rsidRDefault="005F7F88" w:rsidP="00697D9E">
      <w:pPr>
        <w:spacing w:line="480" w:lineRule="auto"/>
        <w:jc w:val="center"/>
        <w:rPr>
          <w:b/>
          <w:bCs/>
          <w:lang w:val="en-US"/>
        </w:rPr>
      </w:pPr>
      <w:r w:rsidRPr="005F7F88">
        <w:rPr>
          <w:b/>
          <w:bCs/>
          <w:lang w:val="en-US"/>
        </w:rPr>
        <w:t xml:space="preserve">Courts in Isolation: Citation Patterns in Climate Litigation and the </w:t>
      </w:r>
      <w:r w:rsidR="009B4A8A">
        <w:rPr>
          <w:b/>
          <w:bCs/>
          <w:lang w:val="en-US"/>
        </w:rPr>
        <w:t>Path Toward</w:t>
      </w:r>
      <w:r w:rsidRPr="005F7F88">
        <w:rPr>
          <w:b/>
          <w:bCs/>
          <w:lang w:val="en-US"/>
        </w:rPr>
        <w:t xml:space="preserve"> </w:t>
      </w:r>
      <w:r w:rsidR="009B4A8A">
        <w:rPr>
          <w:b/>
          <w:bCs/>
          <w:lang w:val="en-US"/>
        </w:rPr>
        <w:t xml:space="preserve"> Structured </w:t>
      </w:r>
      <w:r w:rsidRPr="005F7F88">
        <w:rPr>
          <w:b/>
          <w:bCs/>
          <w:lang w:val="en-US"/>
        </w:rPr>
        <w:t>Judicial Exchange</w:t>
      </w:r>
    </w:p>
    <w:p w14:paraId="245A006E" w14:textId="0B332CDB" w:rsidR="004B6DB1" w:rsidRPr="00407A74" w:rsidRDefault="00801C7F" w:rsidP="00167E4C">
      <w:pPr>
        <w:spacing w:line="480" w:lineRule="auto"/>
        <w:jc w:val="center"/>
        <w:rPr>
          <w:i/>
          <w:iCs/>
          <w:lang w:val="en-US"/>
        </w:rPr>
      </w:pPr>
      <w:r w:rsidRPr="00697D9E">
        <w:rPr>
          <w:lang w:val="en-US"/>
        </w:rPr>
        <w:t>Lucas Biasetton</w:t>
      </w:r>
      <w:r w:rsidR="00697D9E" w:rsidRPr="00697D9E">
        <w:rPr>
          <w:lang w:val="en-US"/>
        </w:rPr>
        <w:t xml:space="preserve">, </w:t>
      </w:r>
      <w:r w:rsidRPr="00697D9E">
        <w:rPr>
          <w:i/>
          <w:iCs/>
          <w:lang w:val="en-US"/>
        </w:rPr>
        <w:t>Ph.D. Researcher, University of São Paulo</w:t>
      </w:r>
      <w:r w:rsidR="00407A74">
        <w:rPr>
          <w:i/>
          <w:iCs/>
          <w:lang w:val="en-US"/>
        </w:rPr>
        <w:t xml:space="preserve"> and visiting Researcher</w:t>
      </w:r>
      <w:r w:rsidR="00167E4C">
        <w:rPr>
          <w:i/>
          <w:iCs/>
          <w:lang w:val="en-US"/>
        </w:rPr>
        <w:t>,</w:t>
      </w:r>
      <w:r w:rsidR="00407A74">
        <w:rPr>
          <w:i/>
          <w:iCs/>
          <w:lang w:val="en-US"/>
        </w:rPr>
        <w:t xml:space="preserve"> Grantham </w:t>
      </w:r>
      <w:r w:rsidR="00167E4C" w:rsidRPr="00167E4C">
        <w:rPr>
          <w:i/>
          <w:iCs/>
          <w:lang w:val="en-US"/>
        </w:rPr>
        <w:t>Research Institute on Climate Change and the Environment, L</w:t>
      </w:r>
      <w:r w:rsidR="00167E4C">
        <w:rPr>
          <w:i/>
          <w:iCs/>
          <w:lang w:val="en-US"/>
        </w:rPr>
        <w:t xml:space="preserve">ondon </w:t>
      </w:r>
      <w:r w:rsidR="00167E4C" w:rsidRPr="00167E4C">
        <w:rPr>
          <w:i/>
          <w:iCs/>
          <w:lang w:val="en-US"/>
        </w:rPr>
        <w:t>S</w:t>
      </w:r>
      <w:r w:rsidR="00167E4C">
        <w:rPr>
          <w:i/>
          <w:iCs/>
          <w:lang w:val="en-US"/>
        </w:rPr>
        <w:t>chool of Economics</w:t>
      </w:r>
    </w:p>
    <w:p w14:paraId="320579A9" w14:textId="725EFC74" w:rsidR="00697D9E" w:rsidRPr="00B4320C" w:rsidRDefault="00B4320C" w:rsidP="00697D9E">
      <w:pPr>
        <w:spacing w:line="480" w:lineRule="auto"/>
        <w:jc w:val="center"/>
      </w:pPr>
      <w:r w:rsidRPr="00B4320C">
        <w:t xml:space="preserve">Gustavo dos Santos Rodrigues da Silva, LL.B., </w:t>
      </w:r>
      <w:proofErr w:type="spellStart"/>
      <w:r w:rsidRPr="00B4320C">
        <w:rPr>
          <w:i/>
          <w:iCs/>
        </w:rPr>
        <w:t>University</w:t>
      </w:r>
      <w:proofErr w:type="spellEnd"/>
      <w:r w:rsidRPr="00B4320C">
        <w:rPr>
          <w:i/>
          <w:iCs/>
        </w:rPr>
        <w:t xml:space="preserve"> </w:t>
      </w:r>
      <w:proofErr w:type="spellStart"/>
      <w:r w:rsidRPr="00B4320C">
        <w:rPr>
          <w:i/>
          <w:iCs/>
        </w:rPr>
        <w:t>of</w:t>
      </w:r>
      <w:proofErr w:type="spellEnd"/>
      <w:r w:rsidRPr="00B4320C">
        <w:rPr>
          <w:i/>
          <w:iCs/>
        </w:rPr>
        <w:t xml:space="preserve"> São Paulo, </w:t>
      </w:r>
      <w:proofErr w:type="spellStart"/>
      <w:r w:rsidRPr="00B4320C">
        <w:rPr>
          <w:i/>
          <w:iCs/>
        </w:rPr>
        <w:t>independent</w:t>
      </w:r>
      <w:proofErr w:type="spellEnd"/>
      <w:r w:rsidRPr="00B4320C">
        <w:rPr>
          <w:i/>
          <w:iCs/>
        </w:rPr>
        <w:t xml:space="preserve"> </w:t>
      </w:r>
      <w:proofErr w:type="spellStart"/>
      <w:r w:rsidRPr="00B4320C">
        <w:rPr>
          <w:i/>
          <w:iCs/>
        </w:rPr>
        <w:t>researcher</w:t>
      </w:r>
      <w:proofErr w:type="spellEnd"/>
      <w:r w:rsidRPr="00B4320C">
        <w:rPr>
          <w:i/>
          <w:iCs/>
        </w:rPr>
        <w:t xml:space="preserve"> </w:t>
      </w:r>
      <w:proofErr w:type="spellStart"/>
      <w:r w:rsidRPr="00B4320C">
        <w:rPr>
          <w:i/>
          <w:iCs/>
        </w:rPr>
        <w:t>on</w:t>
      </w:r>
      <w:proofErr w:type="spellEnd"/>
      <w:r w:rsidRPr="00B4320C">
        <w:rPr>
          <w:i/>
          <w:iCs/>
        </w:rPr>
        <w:t xml:space="preserve"> data </w:t>
      </w:r>
      <w:proofErr w:type="spellStart"/>
      <w:r w:rsidRPr="00B4320C">
        <w:rPr>
          <w:i/>
          <w:iCs/>
        </w:rPr>
        <w:t>and</w:t>
      </w:r>
      <w:proofErr w:type="spellEnd"/>
      <w:r w:rsidRPr="00B4320C">
        <w:rPr>
          <w:i/>
          <w:iCs/>
        </w:rPr>
        <w:t xml:space="preserve"> </w:t>
      </w:r>
      <w:proofErr w:type="spellStart"/>
      <w:r w:rsidRPr="00B4320C">
        <w:rPr>
          <w:i/>
          <w:iCs/>
        </w:rPr>
        <w:t>computer</w:t>
      </w:r>
      <w:proofErr w:type="spellEnd"/>
      <w:r w:rsidRPr="00B4320C">
        <w:rPr>
          <w:i/>
          <w:iCs/>
        </w:rPr>
        <w:t xml:space="preserve"> </w:t>
      </w:r>
      <w:proofErr w:type="spellStart"/>
      <w:r w:rsidRPr="00B4320C">
        <w:rPr>
          <w:i/>
          <w:iCs/>
        </w:rPr>
        <w:t>sciences</w:t>
      </w:r>
      <w:proofErr w:type="spellEnd"/>
    </w:p>
    <w:p w14:paraId="2BCF39A1" w14:textId="77777777" w:rsidR="004B6DB1" w:rsidRPr="000315D4" w:rsidRDefault="00801C7F" w:rsidP="00697D9E">
      <w:pPr>
        <w:spacing w:before="480" w:after="240" w:line="480" w:lineRule="auto"/>
        <w:jc w:val="both"/>
        <w:rPr>
          <w:smallCaps/>
          <w:lang w:val="en-US"/>
        </w:rPr>
      </w:pPr>
      <w:r w:rsidRPr="000315D4">
        <w:rPr>
          <w:b/>
          <w:bCs/>
          <w:smallCaps/>
          <w:lang w:val="en-US"/>
        </w:rPr>
        <w:t>I. Introduction</w:t>
      </w:r>
    </w:p>
    <w:p w14:paraId="47E29BC5" w14:textId="508E7DD1" w:rsidR="004B6DB1" w:rsidRPr="00F13AF7" w:rsidRDefault="00801C7F" w:rsidP="00697D9E">
      <w:pPr>
        <w:spacing w:line="480" w:lineRule="auto"/>
        <w:ind w:firstLine="708"/>
        <w:jc w:val="both"/>
        <w:rPr>
          <w:lang w:val="en-US"/>
        </w:rPr>
      </w:pPr>
      <w:r w:rsidRPr="00697D9E">
        <w:rPr>
          <w:lang w:val="en-US"/>
        </w:rPr>
        <w:t xml:space="preserve">The study of climate litigation has grown substantially over </w:t>
      </w:r>
      <w:r w:rsidRPr="00F13AF7">
        <w:rPr>
          <w:lang w:val="en-US"/>
        </w:rPr>
        <w:t>the past</w:t>
      </w:r>
      <w:r w:rsidR="00893CC4" w:rsidRPr="00F13AF7">
        <w:rPr>
          <w:lang w:val="en-US"/>
        </w:rPr>
        <w:t xml:space="preserve"> two</w:t>
      </w:r>
      <w:r w:rsidRPr="00F13AF7">
        <w:rPr>
          <w:lang w:val="en-US"/>
        </w:rPr>
        <w:t xml:space="preserve"> decade</w:t>
      </w:r>
      <w:r w:rsidR="00893CC4" w:rsidRPr="00F13AF7">
        <w:rPr>
          <w:lang w:val="en-US"/>
        </w:rPr>
        <w:t>s</w:t>
      </w:r>
      <w:r w:rsidRPr="00F13AF7">
        <w:rPr>
          <w:lang w:val="en-US"/>
        </w:rPr>
        <w:t>.</w:t>
      </w:r>
      <w:r w:rsidRPr="00F13AF7">
        <w:rPr>
          <w:rStyle w:val="Refdenotaderodap"/>
        </w:rPr>
        <w:footnoteReference w:id="1"/>
      </w:r>
      <w:r w:rsidRPr="00F13AF7">
        <w:rPr>
          <w:lang w:val="en-US"/>
        </w:rPr>
        <w:t xml:space="preserve"> Annual reports track case numbers, outcomes and monitor emerging trends across jurisdictions,</w:t>
      </w:r>
      <w:r w:rsidRPr="00F13AF7">
        <w:rPr>
          <w:rStyle w:val="Refdenotaderodap"/>
        </w:rPr>
        <w:footnoteReference w:id="2"/>
      </w:r>
      <w:r w:rsidRPr="00F13AF7">
        <w:rPr>
          <w:lang w:val="en-US"/>
        </w:rPr>
        <w:t xml:space="preserve"> and scholarly articles analyze landmark decisions. This body of work has produced valuable insights into the strategies litigants employ, the legal theories courts accept or reject, and the policy implications of judicial intervention in climate governance.</w:t>
      </w:r>
      <w:r w:rsidR="0063786A" w:rsidRPr="00F13AF7">
        <w:rPr>
          <w:lang w:val="en-US"/>
        </w:rPr>
        <w:t xml:space="preserve"> </w:t>
      </w:r>
      <w:hyperlink r:id="rId8" w:history="1">
        <w:r w:rsidR="0063786A" w:rsidRPr="00F13AF7">
          <w:rPr>
            <w:rStyle w:val="Refdenotaderodap"/>
          </w:rPr>
          <w:footnoteReference w:id="3"/>
        </w:r>
      </w:hyperlink>
    </w:p>
    <w:p w14:paraId="5B7EBCF1" w14:textId="1038CD5E" w:rsidR="004B6DB1" w:rsidRPr="00F13AF7" w:rsidRDefault="00801C7F" w:rsidP="00697D9E">
      <w:pPr>
        <w:spacing w:line="480" w:lineRule="auto"/>
        <w:ind w:firstLine="720"/>
        <w:jc w:val="both"/>
        <w:rPr>
          <w:lang w:val="en-US"/>
        </w:rPr>
      </w:pPr>
      <w:r w:rsidRPr="00F13AF7">
        <w:rPr>
          <w:lang w:val="en-US"/>
        </w:rPr>
        <w:t xml:space="preserve">Many of these developments raise opportunities to be discussed across jurisdictions, as courts have the opportunity to analyze the same issues or </w:t>
      </w:r>
      <w:r w:rsidR="00384361" w:rsidRPr="00F13AF7">
        <w:rPr>
          <w:lang w:val="en-US"/>
        </w:rPr>
        <w:t>similar</w:t>
      </w:r>
      <w:r w:rsidRPr="00F13AF7">
        <w:rPr>
          <w:lang w:val="en-US"/>
        </w:rPr>
        <w:t xml:space="preserve"> norms.</w:t>
      </w:r>
      <w:r w:rsidRPr="00F13AF7">
        <w:rPr>
          <w:rStyle w:val="Refdenotaderodap"/>
        </w:rPr>
        <w:footnoteReference w:id="4"/>
      </w:r>
      <w:r w:rsidRPr="00F13AF7">
        <w:rPr>
          <w:lang w:val="en-US"/>
        </w:rPr>
        <w:t xml:space="preserve"> Authors have argued that baseline climate rights would constitute an international normative common ground, consolidating the convergence of human rights, environmental protection, and climate governance.</w:t>
      </w:r>
      <w:r w:rsidRPr="00F13AF7">
        <w:rPr>
          <w:rStyle w:val="Refdenotaderodap"/>
        </w:rPr>
        <w:footnoteReference w:id="5"/>
      </w:r>
      <w:r w:rsidRPr="00F13AF7">
        <w:rPr>
          <w:lang w:val="en-US"/>
        </w:rPr>
        <w:t xml:space="preserve"> When courts across the world are interpreting the same international treaties, applying the same scientific </w:t>
      </w:r>
      <w:r w:rsidRPr="00F13AF7">
        <w:rPr>
          <w:lang w:val="en-US"/>
        </w:rPr>
        <w:lastRenderedPageBreak/>
        <w:t>evidence from the Intergovernmental Panel on Climate Change, and reasoning about the same fundamental tension between present economic interests and future climate harms, the conditions would seem ripe for a productive exchange of judicial reasoning across borders.</w:t>
      </w:r>
    </w:p>
    <w:p w14:paraId="2823445E" w14:textId="07668F19" w:rsidR="004B6DB1" w:rsidRPr="00F13AF7" w:rsidRDefault="00801C7F" w:rsidP="00697D9E">
      <w:pPr>
        <w:spacing w:line="480" w:lineRule="auto"/>
        <w:ind w:firstLine="720"/>
        <w:jc w:val="both"/>
        <w:rPr>
          <w:lang w:val="en-US"/>
        </w:rPr>
      </w:pPr>
      <w:r w:rsidRPr="00F13AF7">
        <w:rPr>
          <w:lang w:val="en-US"/>
        </w:rPr>
        <w:t>It is under this logic that academic discourses frequently invoke cross-fertilization, transnational dialogue, and migration of constitutional ideas in climate litigation.</w:t>
      </w:r>
      <w:r w:rsidRPr="00F13AF7">
        <w:rPr>
          <w:rStyle w:val="Refdenotaderodap"/>
        </w:rPr>
        <w:footnoteReference w:id="6"/>
      </w:r>
      <w:r w:rsidRPr="00F13AF7">
        <w:rPr>
          <w:lang w:val="en-US"/>
        </w:rPr>
        <w:t xml:space="preserve"> The idea is that strategies and interpretations are likely to encourage similar </w:t>
      </w:r>
      <w:r w:rsidR="00384361" w:rsidRPr="00F13AF7">
        <w:rPr>
          <w:lang w:val="en-US"/>
        </w:rPr>
        <w:t>strategies</w:t>
      </w:r>
      <w:r w:rsidRPr="00F13AF7">
        <w:rPr>
          <w:lang w:val="en-US"/>
        </w:rPr>
        <w:t xml:space="preserve"> in other jurisdictions and may serve as inspiration to explore different options.</w:t>
      </w:r>
      <w:r w:rsidRPr="00F13AF7">
        <w:rPr>
          <w:rStyle w:val="Refdenotaderodap"/>
        </w:rPr>
        <w:footnoteReference w:id="7"/>
      </w:r>
      <w:r w:rsidRPr="00F13AF7">
        <w:rPr>
          <w:lang w:val="en-US"/>
        </w:rPr>
        <w:t xml:space="preserve"> These concepts imply that successful legal strategies travel</w:t>
      </w:r>
      <w:r w:rsidR="003C12B3" w:rsidRPr="00F13AF7">
        <w:rPr>
          <w:lang w:val="en-US"/>
        </w:rPr>
        <w:t xml:space="preserve"> (or may travel)</w:t>
      </w:r>
      <w:r w:rsidRPr="00F13AF7">
        <w:rPr>
          <w:lang w:val="en-US"/>
        </w:rPr>
        <w:t xml:space="preserve"> across borders, and that a coherent body of transnational climate jurisprudence </w:t>
      </w:r>
      <w:r w:rsidR="0099323B" w:rsidRPr="00F13AF7">
        <w:rPr>
          <w:lang w:val="en-US"/>
        </w:rPr>
        <w:t>could be</w:t>
      </w:r>
      <w:r w:rsidRPr="00F13AF7">
        <w:rPr>
          <w:lang w:val="en-US"/>
        </w:rPr>
        <w:t xml:space="preserve"> emerging.</w:t>
      </w:r>
      <w:r w:rsidRPr="00F13AF7">
        <w:rPr>
          <w:rStyle w:val="Refdenotaderodap"/>
        </w:rPr>
        <w:footnoteReference w:id="8"/>
      </w:r>
      <w:r w:rsidRPr="00F13AF7">
        <w:rPr>
          <w:lang w:val="en-US"/>
        </w:rPr>
        <w:t xml:space="preserve"> Indeed, the most recent Global Climate Litigation Report, published jointly by the United Nations Environment </w:t>
      </w:r>
      <w:proofErr w:type="spellStart"/>
      <w:r w:rsidRPr="00F13AF7">
        <w:rPr>
          <w:lang w:val="en-US"/>
        </w:rPr>
        <w:t>Programme</w:t>
      </w:r>
      <w:proofErr w:type="spellEnd"/>
      <w:r w:rsidRPr="00F13AF7">
        <w:rPr>
          <w:lang w:val="en-US"/>
        </w:rPr>
        <w:t xml:space="preserve"> and the Sabin Center, identifies </w:t>
      </w:r>
      <w:proofErr w:type="spellStart"/>
      <w:r w:rsidRPr="00F13AF7">
        <w:rPr>
          <w:lang w:val="en-US"/>
        </w:rPr>
        <w:t>transjudicial</w:t>
      </w:r>
      <w:proofErr w:type="spellEnd"/>
      <w:r w:rsidRPr="00F13AF7">
        <w:rPr>
          <w:lang w:val="en-US"/>
        </w:rPr>
        <w:t xml:space="preserve"> dialogues as one of eight emerging themes shaping the field, recognizing that courts are increasingly engaging with reasoning developed in other jurisdictions.</w:t>
      </w:r>
      <w:r w:rsidRPr="00F13AF7">
        <w:rPr>
          <w:rStyle w:val="Refdenotaderodap"/>
        </w:rPr>
        <w:footnoteReference w:id="9"/>
      </w:r>
    </w:p>
    <w:p w14:paraId="6C028351" w14:textId="041A928D" w:rsidR="004B6DB1" w:rsidRPr="00F13AF7" w:rsidRDefault="00801C7F" w:rsidP="00697D9E">
      <w:pPr>
        <w:spacing w:line="480" w:lineRule="auto"/>
        <w:ind w:firstLine="720"/>
        <w:jc w:val="both"/>
        <w:rPr>
          <w:lang w:val="en-US"/>
        </w:rPr>
      </w:pPr>
      <w:r w:rsidRPr="00F13AF7">
        <w:rPr>
          <w:lang w:val="en-US"/>
        </w:rPr>
        <w:t>The relevance of this exchange is heightened by the current moment. The international climate protection regime faces significant political challenges, with multilateral commitments encountering resistance and implementation gaps widening.</w:t>
      </w:r>
      <w:r w:rsidRPr="00F13AF7">
        <w:rPr>
          <w:rStyle w:val="Refdenotaderodap"/>
        </w:rPr>
        <w:footnoteReference w:id="10"/>
      </w:r>
      <w:r w:rsidRPr="00F13AF7">
        <w:rPr>
          <w:lang w:val="en-US"/>
        </w:rPr>
        <w:t xml:space="preserve"> In this context, national courts </w:t>
      </w:r>
      <w:r w:rsidRPr="00F13AF7">
        <w:rPr>
          <w:lang w:val="en-US"/>
        </w:rPr>
        <w:lastRenderedPageBreak/>
        <w:t xml:space="preserve">assume a particularly important role as interpreters and enforcers of climate obligations. The IPCC itself has highlighted climate litigation as an important arena for climate governance, with the potential to </w:t>
      </w:r>
      <w:r w:rsidR="00B65B40" w:rsidRPr="00F13AF7">
        <w:rPr>
          <w:lang w:val="en-US"/>
        </w:rPr>
        <w:t>affect the outcome and ambition of climate governance</w:t>
      </w:r>
      <w:r w:rsidRPr="00F13AF7">
        <w:rPr>
          <w:lang w:val="en-US"/>
        </w:rPr>
        <w:t>.</w:t>
      </w:r>
      <w:r w:rsidRPr="00F13AF7">
        <w:rPr>
          <w:rStyle w:val="Refdenotaderodap"/>
        </w:rPr>
        <w:footnoteReference w:id="11"/>
      </w:r>
    </w:p>
    <w:p w14:paraId="3774AAF8" w14:textId="374D1394" w:rsidR="004B6DB1" w:rsidRPr="00F13AF7" w:rsidRDefault="00A53737" w:rsidP="00697D9E">
      <w:pPr>
        <w:spacing w:line="480" w:lineRule="auto"/>
        <w:ind w:firstLine="720"/>
        <w:jc w:val="both"/>
        <w:rPr>
          <w:lang w:val="en-US"/>
        </w:rPr>
      </w:pPr>
      <w:r w:rsidRPr="00F13AF7">
        <w:rPr>
          <w:lang w:val="en-US"/>
        </w:rPr>
        <w:t xml:space="preserve">Despite the increase in the number of cases, </w:t>
      </w:r>
      <w:r w:rsidR="00801C7F" w:rsidRPr="00F13AF7">
        <w:rPr>
          <w:lang w:val="en-US"/>
        </w:rPr>
        <w:t>in most jurisdictions the body of climate jurisprudence remains limited. Courts confronting climate questions for the first time face novel legal challenges for which domestic precedent is scarce. In this context, the study of foreign case law becomes a practical resource. Scholarship on judicial dialogue in human rights has demonstrated that engagement with foreign reasoning enhances the quality of judicial decisions by expanding the pool of interpretive resources available to courts, allowing decisions to rest on better grounds.</w:t>
      </w:r>
      <w:r w:rsidR="00801C7F" w:rsidRPr="00F13AF7">
        <w:rPr>
          <w:rStyle w:val="Refdenotaderodap"/>
        </w:rPr>
        <w:footnoteReference w:id="12"/>
      </w:r>
      <w:r w:rsidR="00801C7F" w:rsidRPr="00F13AF7">
        <w:rPr>
          <w:lang w:val="en-US"/>
        </w:rPr>
        <w:t xml:space="preserve"> Engagement with foreign jurisprudence also strengthens judicial legitimacy: when a court can demonstrate that its interpretation of a contested question is consistent with how other respected tribunals have addressed similar challenges, this reinforces the authority of the decision and signals that the reasoning is not arbitrary or idiosyncratic.</w:t>
      </w:r>
      <w:r w:rsidR="00801C7F" w:rsidRPr="00F13AF7">
        <w:rPr>
          <w:rStyle w:val="Refdenotaderodap"/>
        </w:rPr>
        <w:footnoteReference w:id="13"/>
      </w:r>
      <w:r w:rsidR="00801C7F" w:rsidRPr="00F13AF7">
        <w:rPr>
          <w:lang w:val="en-US"/>
        </w:rPr>
        <w:t xml:space="preserve"> These advantages, well documented in human rights adjudication, </w:t>
      </w:r>
      <w:r w:rsidR="00384361" w:rsidRPr="00F13AF7">
        <w:rPr>
          <w:lang w:val="en-US"/>
        </w:rPr>
        <w:t>could be</w:t>
      </w:r>
      <w:r w:rsidR="00801C7F" w:rsidRPr="00F13AF7">
        <w:rPr>
          <w:lang w:val="en-US"/>
        </w:rPr>
        <w:t xml:space="preserve"> transferable to climate litigation, where courts routinely face questions of first impression, from translating temperature targets into emissions reduction obligations to assessing the adequacy of governmental climate policies and operationalizing intergenerational equity. A court wrestling with how to translate IPCC scenarios </w:t>
      </w:r>
      <w:r w:rsidR="00801C7F" w:rsidRPr="00F13AF7">
        <w:rPr>
          <w:lang w:val="en-US"/>
        </w:rPr>
        <w:lastRenderedPageBreak/>
        <w:t xml:space="preserve">into legally enforceable obligations </w:t>
      </w:r>
      <w:proofErr w:type="gramStart"/>
      <w:r w:rsidR="00801C7F" w:rsidRPr="00F13AF7">
        <w:rPr>
          <w:lang w:val="en-US"/>
        </w:rPr>
        <w:t>need</w:t>
      </w:r>
      <w:proofErr w:type="gramEnd"/>
      <w:r w:rsidR="00801C7F" w:rsidRPr="00F13AF7">
        <w:rPr>
          <w:lang w:val="en-US"/>
        </w:rPr>
        <w:t xml:space="preserve"> not develop its analysis in isolation when courts elsewhere have already engaged with this same translation problem.</w:t>
      </w:r>
    </w:p>
    <w:p w14:paraId="11CFBF58" w14:textId="7925C1A3" w:rsidR="004B6DB1" w:rsidRPr="00F13AF7" w:rsidRDefault="00801C7F" w:rsidP="0049791B">
      <w:pPr>
        <w:spacing w:line="480" w:lineRule="auto"/>
        <w:ind w:firstLine="720"/>
        <w:jc w:val="both"/>
        <w:rPr>
          <w:lang w:val="en-US"/>
        </w:rPr>
      </w:pPr>
      <w:r w:rsidRPr="00F13AF7">
        <w:rPr>
          <w:lang w:val="en-US"/>
        </w:rPr>
        <w:t>This engagement with foreign case law, however, is not yet systematically practiced nor empirically studied in climate litigation. Despite the frequency with which scholars invoke concepts of judicial dialogue, cross-fertilization, and transnational jurisprudence, the actual mechanisms through which such exchange occurs, the extent to which courts genuinely engage with foreign reasoning rather than merely citing it, and the substantive impact of such engagement on judicial outcomes remain understudied.</w:t>
      </w:r>
      <w:r w:rsidRPr="00F13AF7">
        <w:rPr>
          <w:rStyle w:val="Refdenotaderodap"/>
        </w:rPr>
        <w:footnoteReference w:id="14"/>
      </w:r>
      <w:r w:rsidRPr="00F13AF7">
        <w:rPr>
          <w:lang w:val="en-US"/>
        </w:rPr>
        <w:t xml:space="preserve"> </w:t>
      </w:r>
      <w:r w:rsidR="0049791B" w:rsidRPr="00F13AF7">
        <w:rPr>
          <w:lang w:val="en-US"/>
        </w:rPr>
        <w:t>Scholarship has given limited attention to transnational climate cases and the cross-border dimensions of climate litigation</w:t>
      </w:r>
      <w:r w:rsidRPr="00F13AF7">
        <w:rPr>
          <w:lang w:val="en-US"/>
        </w:rPr>
        <w:t>.</w:t>
      </w:r>
      <w:r w:rsidRPr="00F13AF7">
        <w:rPr>
          <w:rStyle w:val="Refdenotaderodap"/>
        </w:rPr>
        <w:footnoteReference w:id="15"/>
      </w:r>
    </w:p>
    <w:p w14:paraId="69EC3EE0" w14:textId="01A41517" w:rsidR="004B6DB1" w:rsidRPr="00F13AF7" w:rsidRDefault="00801C7F" w:rsidP="00697D9E">
      <w:pPr>
        <w:spacing w:line="480" w:lineRule="auto"/>
        <w:ind w:firstLine="720"/>
        <w:jc w:val="both"/>
        <w:rPr>
          <w:lang w:val="en-US"/>
        </w:rPr>
      </w:pPr>
      <w:r w:rsidRPr="00F13AF7">
        <w:rPr>
          <w:lang w:val="en-US"/>
        </w:rPr>
        <w:t xml:space="preserve">This paper </w:t>
      </w:r>
      <w:r w:rsidR="000315D4" w:rsidRPr="00F13AF7">
        <w:rPr>
          <w:lang w:val="en-US"/>
        </w:rPr>
        <w:t>intends</w:t>
      </w:r>
      <w:r w:rsidRPr="00F13AF7">
        <w:rPr>
          <w:lang w:val="en-US"/>
        </w:rPr>
        <w:t xml:space="preserve"> to </w:t>
      </w:r>
      <w:r w:rsidR="00C75E69" w:rsidRPr="00F13AF7">
        <w:rPr>
          <w:lang w:val="en-US"/>
        </w:rPr>
        <w:t>explore</w:t>
      </w:r>
      <w:r w:rsidRPr="00F13AF7">
        <w:rPr>
          <w:lang w:val="en-US"/>
        </w:rPr>
        <w:t xml:space="preserve"> that gap. Drawing on a computational methodology that combines Large Language Models with legal analysis, this research systematically examines all judicial decisions in the Sabin Center’s Climate Change Litigation Database</w:t>
      </w:r>
      <w:r w:rsidRPr="00F13AF7">
        <w:rPr>
          <w:rStyle w:val="Refdenotaderodap"/>
        </w:rPr>
        <w:footnoteReference w:id="16"/>
      </w:r>
      <w:r w:rsidRPr="00F13AF7">
        <w:rPr>
          <w:lang w:val="en-US"/>
        </w:rPr>
        <w:t xml:space="preserve"> to identify patterns of foreign case law citation across jurisdictions, a task that would be unfeasible through traditional methods alone.</w:t>
      </w:r>
      <w:r w:rsidRPr="00F13AF7">
        <w:rPr>
          <w:rStyle w:val="Refdenotaderodap"/>
        </w:rPr>
        <w:footnoteReference w:id="17"/>
      </w:r>
    </w:p>
    <w:p w14:paraId="27350226" w14:textId="77777777" w:rsidR="004B6DB1" w:rsidRPr="00F13AF7" w:rsidRDefault="00801C7F" w:rsidP="00697D9E">
      <w:pPr>
        <w:spacing w:line="480" w:lineRule="auto"/>
        <w:ind w:firstLine="720"/>
        <w:jc w:val="both"/>
        <w:rPr>
          <w:lang w:val="en-US"/>
        </w:rPr>
      </w:pPr>
      <w:r w:rsidRPr="00F13AF7">
        <w:rPr>
          <w:lang w:val="en-US"/>
        </w:rPr>
        <w:t xml:space="preserve">The paper uses this data to address three interrelated dimensions. First, it establishes baseline empirical findings on the existence and prevalence of transnational judicial dialogue in climate litigation, examining how frequently courts expressly cite foreign case law. Second, it identifies patterns of citation, investigating which jurisdictions cite foreign precedents more </w:t>
      </w:r>
      <w:r w:rsidRPr="00F13AF7">
        <w:rPr>
          <w:lang w:val="en-US"/>
        </w:rPr>
        <w:lastRenderedPageBreak/>
        <w:t xml:space="preserve">frequently, which are most cited by others, and whether there </w:t>
      </w:r>
      <w:proofErr w:type="gramStart"/>
      <w:r w:rsidRPr="00F13AF7">
        <w:rPr>
          <w:lang w:val="en-US"/>
        </w:rPr>
        <w:t>are</w:t>
      </w:r>
      <w:proofErr w:type="gramEnd"/>
      <w:r w:rsidRPr="00F13AF7">
        <w:rPr>
          <w:lang w:val="en-US"/>
        </w:rPr>
        <w:t xml:space="preserve"> identifiable citation networks organized along regional, linguistic, or legal tradition lines. Third, it examines asymmetries in these citation patterns, investigating whether the flow of judicial authority operates asymmetrically and whether structural constraints shape who participates in transnational judicial dialogue and who remains excluded.</w:t>
      </w:r>
    </w:p>
    <w:p w14:paraId="37A03F6D" w14:textId="1324156F" w:rsidR="004B6DB1" w:rsidRPr="00F13AF7" w:rsidRDefault="00801C7F" w:rsidP="00697D9E">
      <w:pPr>
        <w:spacing w:line="480" w:lineRule="auto"/>
        <w:ind w:firstLine="720"/>
        <w:jc w:val="both"/>
        <w:rPr>
          <w:lang w:val="en-US"/>
        </w:rPr>
      </w:pPr>
      <w:r w:rsidRPr="00F13AF7">
        <w:rPr>
          <w:lang w:val="en-US"/>
        </w:rPr>
        <w:t>These questions carry practical implications for litigation strategy, judicial practice, and the development of climate governance.</w:t>
      </w:r>
      <w:r w:rsidR="00BF220F" w:rsidRPr="00F13AF7">
        <w:rPr>
          <w:lang w:val="en-US"/>
        </w:rPr>
        <w:t xml:space="preserve"> We believe this first clear view of the lack of dialogue could </w:t>
      </w:r>
      <w:r w:rsidR="00C31C3B" w:rsidRPr="00F13AF7">
        <w:rPr>
          <w:lang w:val="en-US"/>
        </w:rPr>
        <w:t xml:space="preserve">be the initial argument for the development of structured mechanisms for judicial exchange in climate matters. </w:t>
      </w:r>
      <w:r w:rsidRPr="00F13AF7">
        <w:rPr>
          <w:lang w:val="en-US"/>
        </w:rPr>
        <w:t xml:space="preserve"> This is early-stage work that would benefit from the constructive feedback of the senior scholars participating in the Colloquium.</w:t>
      </w:r>
    </w:p>
    <w:p w14:paraId="19AE075A" w14:textId="77777777" w:rsidR="004B6DB1" w:rsidRPr="00F13AF7" w:rsidRDefault="00801C7F" w:rsidP="00697D9E">
      <w:pPr>
        <w:spacing w:before="480" w:after="240" w:line="480" w:lineRule="auto"/>
        <w:jc w:val="both"/>
        <w:rPr>
          <w:smallCaps/>
          <w:lang w:val="en-US"/>
        </w:rPr>
      </w:pPr>
      <w:r w:rsidRPr="00F13AF7">
        <w:rPr>
          <w:b/>
          <w:bCs/>
          <w:smallCaps/>
          <w:lang w:val="en-US"/>
        </w:rPr>
        <w:t>II. Methodology</w:t>
      </w:r>
    </w:p>
    <w:p w14:paraId="28B529A8" w14:textId="4AB7CBD8" w:rsidR="00C504BA" w:rsidRPr="00F13AF7" w:rsidRDefault="00C504BA" w:rsidP="00C504BA">
      <w:pPr>
        <w:spacing w:line="480" w:lineRule="auto"/>
        <w:ind w:firstLine="708"/>
        <w:jc w:val="both"/>
        <w:rPr>
          <w:lang w:val="en-US"/>
        </w:rPr>
      </w:pPr>
      <w:r w:rsidRPr="00C504BA">
        <w:rPr>
          <w:lang w:val="en-US"/>
        </w:rPr>
        <w:t xml:space="preserve">The analysis required the systematic examination of 2,924 judicial decisions drawn from the Sabin Center's Climate Change Litigation Database, comprising documents from 102 jurisdictions, written </w:t>
      </w:r>
      <w:r w:rsidRPr="00F13AF7">
        <w:rPr>
          <w:lang w:val="en-US"/>
        </w:rPr>
        <w:t>different</w:t>
      </w:r>
      <w:r w:rsidRPr="00C504BA">
        <w:rPr>
          <w:lang w:val="en-US"/>
        </w:rPr>
        <w:t xml:space="preserve"> languages, and employing citation formats that vary across legal traditions. Identifying every reference to case law in this corpus and determining whether each citation is domestic or foreign is a task that traditional methods, whether manual reading </w:t>
      </w:r>
      <w:proofErr w:type="gramStart"/>
      <w:r w:rsidRPr="00C504BA">
        <w:rPr>
          <w:lang w:val="en-US"/>
        </w:rPr>
        <w:t>or regex</w:t>
      </w:r>
      <w:proofErr w:type="gramEnd"/>
      <w:r w:rsidRPr="00C504BA">
        <w:rPr>
          <w:lang w:val="en-US"/>
        </w:rPr>
        <w:t>-based pattern matching, could not accomplish at this scale with acceptable accuracy. Courts cite foreign decisions in formats ranging from formal neutral citations to narrative references embedded in reasoning, and the same case may appear under different names across jurisdictions. This diversity demanded an approach capable of understanding legal text in context rather than merely matching predetermined patterns, making Large Language Models a necessary methodological choice.</w:t>
      </w:r>
    </w:p>
    <w:p w14:paraId="17186B01" w14:textId="3BCBB117" w:rsidR="00CC7F9E" w:rsidRPr="00F13AF7" w:rsidRDefault="00C52FFA" w:rsidP="00CC7F9E">
      <w:pPr>
        <w:spacing w:line="480" w:lineRule="auto"/>
        <w:ind w:firstLine="708"/>
        <w:jc w:val="both"/>
        <w:rPr>
          <w:lang w:val="en-US"/>
        </w:rPr>
      </w:pPr>
      <w:r w:rsidRPr="00C52FFA">
        <w:rPr>
          <w:lang w:val="en-US"/>
        </w:rPr>
        <w:lastRenderedPageBreak/>
        <w:t>The extraction pipeline operated in sequential phases. First, each decision was classified as a judicial decision or another document type, filtering the corpus to the relevant subset. The full text of each confirmed decision was then processed by Google's Gemini</w:t>
      </w:r>
      <w:r w:rsidR="003E5A16" w:rsidRPr="00F13AF7">
        <w:rPr>
          <w:lang w:val="en-US"/>
        </w:rPr>
        <w:t xml:space="preserve"> API</w:t>
      </w:r>
      <w:r w:rsidRPr="00C52FFA">
        <w:rPr>
          <w:lang w:val="en-US"/>
        </w:rPr>
        <w:t xml:space="preserve">, which was tasked with identifying every case law reference in the document regardless of format, capturing the citation text, its context within the decision, and the section in which it appeared. For each extracted reference, the system identified the jurisdiction of origin through a three-tier process: a dictionary lookup against a database of known courts and landmark climate cases, followed by LLM-assisted analysis for unresolved references, with confidence scores assigned at each tier. </w:t>
      </w:r>
      <w:proofErr w:type="spellStart"/>
      <w:r w:rsidRPr="00C52FFA">
        <w:rPr>
          <w:lang w:val="en-US"/>
        </w:rPr>
        <w:t>Anthropic's</w:t>
      </w:r>
      <w:proofErr w:type="spellEnd"/>
      <w:r w:rsidRPr="00C52FFA">
        <w:rPr>
          <w:lang w:val="en-US"/>
        </w:rPr>
        <w:t xml:space="preserve"> Claude was then employed as a reviewer, verifying the outputs of the extraction phase and performing the classification of each citation into the sixfold typology developed for this research. The separation of extraction and review across two independent model families was a deliberate methodological choice, reducing the risk of systematic errors that a single-model pipeline might propagate.</w:t>
      </w:r>
    </w:p>
    <w:p w14:paraId="2E2BBD74" w14:textId="1885001A" w:rsidR="00F13AF7" w:rsidRPr="00F13AF7" w:rsidRDefault="00F13AF7" w:rsidP="00F13AF7">
      <w:pPr>
        <w:spacing w:after="240" w:line="480" w:lineRule="auto"/>
        <w:ind w:firstLine="708"/>
        <w:jc w:val="both"/>
        <w:rPr>
          <w:lang w:val="en-US"/>
        </w:rPr>
      </w:pPr>
      <w:r w:rsidRPr="00F13AF7">
        <w:rPr>
          <w:lang w:val="en-US"/>
        </w:rPr>
        <w:t xml:space="preserve">The computational results were subjected to manual verification through a batch-by-batch review process in which the researchers examined the original PDF decisions against the extracted citations. This verification revealed that automated extraction, while necessary for processing the full corpus, produced a non-trivial rate of errors, including misattributions of case origins and hallucinated references, confirming that LLM-based extraction without human oversight would be methodologically insufficient. Citations flagged with confidence scores below the established threshold were individually reviewed, and the final dataset was deduplicated at the level of the unique citing decision: one judicial decision citing a given foreign case counts as one citation, regardless </w:t>
      </w:r>
      <w:proofErr w:type="gramStart"/>
      <w:r w:rsidRPr="00F13AF7">
        <w:rPr>
          <w:lang w:val="en-US"/>
        </w:rPr>
        <w:t>of how many times or under</w:t>
      </w:r>
      <w:proofErr w:type="gramEnd"/>
      <w:r w:rsidRPr="00F13AF7">
        <w:rPr>
          <w:lang w:val="en-US"/>
        </w:rPr>
        <w:t xml:space="preserve"> how many name variants the reference appears. The </w:t>
      </w:r>
      <w:r w:rsidRPr="00F13AF7">
        <w:rPr>
          <w:lang w:val="en-US"/>
        </w:rPr>
        <w:lastRenderedPageBreak/>
        <w:t>resulting dataset of 1,410 verified cross-jurisdictional citations forms the empirical basis for the findings presented in this paper.</w:t>
      </w:r>
    </w:p>
    <w:p w14:paraId="33F87EFF" w14:textId="4707F395" w:rsidR="004B6DB1" w:rsidRPr="00F13AF7" w:rsidRDefault="00801C7F" w:rsidP="00CC7F9E">
      <w:pPr>
        <w:spacing w:line="480" w:lineRule="auto"/>
        <w:ind w:firstLine="708"/>
        <w:jc w:val="both"/>
        <w:rPr>
          <w:smallCaps/>
          <w:lang w:val="en-US"/>
        </w:rPr>
      </w:pPr>
      <w:r w:rsidRPr="00F13AF7">
        <w:rPr>
          <w:b/>
          <w:bCs/>
          <w:smallCaps/>
          <w:lang w:val="en-US"/>
        </w:rPr>
        <w:t>III. Preliminary Findings</w:t>
      </w:r>
    </w:p>
    <w:p w14:paraId="5F2CB9C7" w14:textId="4AD0202A" w:rsidR="004B6DB1" w:rsidRPr="00F13AF7" w:rsidRDefault="00801C7F" w:rsidP="00697D9E">
      <w:pPr>
        <w:spacing w:line="480" w:lineRule="auto"/>
        <w:ind w:firstLine="708"/>
        <w:jc w:val="both"/>
        <w:rPr>
          <w:lang w:val="en-US"/>
        </w:rPr>
      </w:pPr>
      <w:r w:rsidRPr="00F13AF7">
        <w:rPr>
          <w:lang w:val="en-US"/>
        </w:rPr>
        <w:t>The computational analysis covered 2,924 judicial decisions from the Sabin Center’s Climate Change Litigation Database, spanning cases from 102 jurisdictions filed between 1986 and 2025.</w:t>
      </w:r>
      <w:r w:rsidRPr="00F13AF7">
        <w:rPr>
          <w:rStyle w:val="Refdenotaderodap"/>
        </w:rPr>
        <w:footnoteReference w:id="18"/>
      </w:r>
      <w:r w:rsidRPr="00F13AF7">
        <w:rPr>
          <w:lang w:val="en-US"/>
        </w:rPr>
        <w:t xml:space="preserve"> The analytical pipeline identified every reference to case law in each decision and classified it as domestic or foreign. For the purposes of this paper, the analysis focuse</w:t>
      </w:r>
      <w:r w:rsidR="002373C2" w:rsidRPr="00F13AF7">
        <w:rPr>
          <w:lang w:val="en-US"/>
        </w:rPr>
        <w:t>d</w:t>
      </w:r>
      <w:r w:rsidRPr="00F13AF7">
        <w:rPr>
          <w:lang w:val="en-US"/>
        </w:rPr>
        <w:t xml:space="preserve"> on</w:t>
      </w:r>
      <w:r w:rsidR="00384361" w:rsidRPr="00F13AF7">
        <w:rPr>
          <w:lang w:val="en-US"/>
        </w:rPr>
        <w:t xml:space="preserve"> citations</w:t>
      </w:r>
      <w:r w:rsidRPr="00F13AF7">
        <w:rPr>
          <w:lang w:val="en-US"/>
        </w:rPr>
        <w:t xml:space="preserve"> where a national court cites a decision from a national court in a different country</w:t>
      </w:r>
      <w:r w:rsidR="00384361" w:rsidRPr="00F13AF7">
        <w:rPr>
          <w:lang w:val="en-US"/>
        </w:rPr>
        <w:t xml:space="preserve">. </w:t>
      </w:r>
      <w:r w:rsidRPr="00F13AF7">
        <w:rPr>
          <w:lang w:val="en-US"/>
        </w:rPr>
        <w:t>The full dataset, including additional categories covering vertical dialogue between domestic and international courts, is being prepared for separate publication</w:t>
      </w:r>
      <w:r w:rsidR="00384361" w:rsidRPr="00F13AF7">
        <w:rPr>
          <w:lang w:val="en-US"/>
        </w:rPr>
        <w:t>.</w:t>
      </w:r>
      <w:r w:rsidR="00384361" w:rsidRPr="00F13AF7">
        <w:rPr>
          <w:rStyle w:val="Refdenotaderodap"/>
        </w:rPr>
        <w:footnoteReference w:id="19"/>
      </w:r>
    </w:p>
    <w:p w14:paraId="51DFE986" w14:textId="77777777" w:rsidR="004B6DB1" w:rsidRPr="00F13AF7" w:rsidRDefault="00801C7F" w:rsidP="00697D9E">
      <w:pPr>
        <w:spacing w:before="360" w:after="120" w:line="480" w:lineRule="auto"/>
        <w:jc w:val="both"/>
        <w:rPr>
          <w:lang w:val="en-US"/>
        </w:rPr>
      </w:pPr>
      <w:r w:rsidRPr="00F13AF7">
        <w:rPr>
          <w:b/>
          <w:bCs/>
          <w:i/>
          <w:iCs/>
          <w:lang w:val="en-US"/>
        </w:rPr>
        <w:t>A. Existence and Prevalence of Dialogue</w:t>
      </w:r>
    </w:p>
    <w:p w14:paraId="160E988B" w14:textId="77777777" w:rsidR="004B6DB1" w:rsidRPr="00F13AF7" w:rsidRDefault="00801C7F" w:rsidP="00384361">
      <w:pPr>
        <w:spacing w:line="480" w:lineRule="auto"/>
        <w:ind w:firstLine="708"/>
        <w:jc w:val="both"/>
        <w:rPr>
          <w:lang w:val="en-US"/>
        </w:rPr>
      </w:pPr>
      <w:r w:rsidRPr="00F13AF7">
        <w:rPr>
          <w:lang w:val="en-US"/>
        </w:rPr>
        <w:t xml:space="preserve">The first finding concerns the baseline question: is transnational judicial dialogue </w:t>
      </w:r>
      <w:proofErr w:type="gramStart"/>
      <w:r w:rsidRPr="00F13AF7">
        <w:rPr>
          <w:lang w:val="en-US"/>
        </w:rPr>
        <w:t>actually taking</w:t>
      </w:r>
      <w:proofErr w:type="gramEnd"/>
      <w:r w:rsidRPr="00F13AF7">
        <w:rPr>
          <w:lang w:val="en-US"/>
        </w:rPr>
        <w:t xml:space="preserve"> place in climate litigation? The data reveals that approximately 4% of all climate decisions in the database contain at least one reference to foreign case law, with citations originating from only 24 of the 102 jurisdictions covered. This figure is notably low, suggesting that despite the frequency with which scholars invoke transnational judicial dialogue, the practice of expressly citing foreign case law remains a marginal phenomenon in climate litigation.</w:t>
      </w:r>
      <w:r w:rsidRPr="00F13AF7">
        <w:rPr>
          <w:rStyle w:val="Refdenotaderodap"/>
        </w:rPr>
        <w:footnoteReference w:id="20"/>
      </w:r>
    </w:p>
    <w:p w14:paraId="3B3D854B" w14:textId="77777777" w:rsidR="000A52CF" w:rsidRPr="00F13AF7" w:rsidRDefault="000A52CF" w:rsidP="000A52CF">
      <w:pPr>
        <w:jc w:val="center"/>
        <w:rPr>
          <w:lang w:val="en-US"/>
        </w:rPr>
      </w:pPr>
      <w:r w:rsidRPr="00F13AF7">
        <w:rPr>
          <w:lang w:val="en-US"/>
        </w:rPr>
        <w:lastRenderedPageBreak/>
        <w:drawing>
          <wp:inline distT="0" distB="0" distL="0" distR="0" wp14:anchorId="2C438D7F" wp14:editId="11484167">
            <wp:extent cx="5177534" cy="2623616"/>
            <wp:effectExtent l="0" t="0" r="4445" b="5715"/>
            <wp:docPr id="16544650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54553" name=""/>
                    <pic:cNvPicPr/>
                  </pic:nvPicPr>
                  <pic:blipFill>
                    <a:blip r:embed="rId9"/>
                    <a:stretch>
                      <a:fillRect/>
                    </a:stretch>
                  </pic:blipFill>
                  <pic:spPr>
                    <a:xfrm>
                      <a:off x="0" y="0"/>
                      <a:ext cx="5210174" cy="2640156"/>
                    </a:xfrm>
                    <a:prstGeom prst="rect">
                      <a:avLst/>
                    </a:prstGeom>
                  </pic:spPr>
                </pic:pic>
              </a:graphicData>
            </a:graphic>
          </wp:inline>
        </w:drawing>
      </w:r>
    </w:p>
    <w:p w14:paraId="4A0C6B42" w14:textId="2D9AFA31" w:rsidR="000A52CF" w:rsidRPr="00F13AF7" w:rsidRDefault="000A52CF" w:rsidP="000A52CF">
      <w:pPr>
        <w:spacing w:after="240"/>
        <w:jc w:val="both"/>
        <w:rPr>
          <w:sz w:val="20"/>
          <w:szCs w:val="20"/>
          <w:lang w:val="en-US"/>
        </w:rPr>
      </w:pPr>
      <w:r w:rsidRPr="00F13AF7">
        <w:rPr>
          <w:sz w:val="20"/>
          <w:szCs w:val="20"/>
          <w:lang w:val="en-US"/>
        </w:rPr>
        <w:t>Figure 1: Prepared by the authors based on the LLM’s analysis of Sabin Center’s database described above.</w:t>
      </w:r>
    </w:p>
    <w:p w14:paraId="36EEF55F" w14:textId="1A2FD901" w:rsidR="006E0205" w:rsidRPr="00F13AF7" w:rsidRDefault="006E0205" w:rsidP="00697D9E">
      <w:pPr>
        <w:spacing w:line="480" w:lineRule="auto"/>
        <w:ind w:firstLine="720"/>
        <w:jc w:val="both"/>
        <w:rPr>
          <w:lang w:val="en-US"/>
        </w:rPr>
      </w:pPr>
      <w:r w:rsidRPr="00F13AF7">
        <w:rPr>
          <w:lang w:val="en-US"/>
        </w:rPr>
        <w:t>The Netherlands is the most frequently cited country, receiving 41 citations from 16 different jurisdictions</w:t>
      </w:r>
      <w:r w:rsidRPr="00F13AF7">
        <w:rPr>
          <w:lang w:val="en-US"/>
        </w:rPr>
        <w:t>,</w:t>
      </w:r>
      <w:r w:rsidRPr="00F13AF7">
        <w:rPr>
          <w:lang w:val="en-US"/>
        </w:rPr>
        <w:t xml:space="preserve"> a reflection of the outsized influence of cases such as </w:t>
      </w:r>
      <w:proofErr w:type="spellStart"/>
      <w:r w:rsidRPr="00F13AF7">
        <w:rPr>
          <w:i/>
          <w:iCs/>
          <w:lang w:val="en-US"/>
        </w:rPr>
        <w:t>Urgenda</w:t>
      </w:r>
      <w:proofErr w:type="spellEnd"/>
      <w:r w:rsidRPr="00F13AF7">
        <w:rPr>
          <w:lang w:val="en-US"/>
        </w:rPr>
        <w:t xml:space="preserve"> and </w:t>
      </w:r>
      <w:proofErr w:type="spellStart"/>
      <w:r w:rsidRPr="00F13AF7">
        <w:rPr>
          <w:i/>
          <w:iCs/>
          <w:lang w:val="en-US"/>
        </w:rPr>
        <w:t>Milieudefensie</w:t>
      </w:r>
      <w:proofErr w:type="spellEnd"/>
      <w:r w:rsidRPr="00F13AF7">
        <w:rPr>
          <w:i/>
          <w:iCs/>
          <w:lang w:val="en-US"/>
        </w:rPr>
        <w:t xml:space="preserve"> v. Shell</w:t>
      </w:r>
      <w:r w:rsidRPr="00F13AF7">
        <w:rPr>
          <w:lang w:val="en-US"/>
        </w:rPr>
        <w:t>. The United States follows with 35 incoming citations from 12 jurisdictions, and Germany with 21 from 9. On the citing side, New Zealand is the most active jurisdiction, with 32 foreign citations directed at 7 countries, closely followed by Brazil with 30 citations across 7 jurisdictions.</w:t>
      </w:r>
      <w:r w:rsidR="003D058A" w:rsidRPr="00F13AF7">
        <w:rPr>
          <w:lang w:val="en-US"/>
        </w:rPr>
        <w:t xml:space="preserve"> Despite being a heavy citer, Brazil is cited only once.</w:t>
      </w:r>
    </w:p>
    <w:p w14:paraId="52E64752" w14:textId="5A03108E" w:rsidR="004815D5" w:rsidRPr="00F13AF7" w:rsidRDefault="006E0205" w:rsidP="00697D9E">
      <w:pPr>
        <w:spacing w:line="480" w:lineRule="auto"/>
        <w:ind w:firstLine="720"/>
        <w:jc w:val="both"/>
        <w:rPr>
          <w:lang w:val="en-US"/>
        </w:rPr>
      </w:pPr>
      <w:r w:rsidRPr="00F13AF7">
        <w:rPr>
          <w:lang w:val="en-US"/>
        </w:rPr>
        <w:t>A notable cluster emerges among common law jurisdictions in the Pacific and the British Isles: New Zealand, the United Kingdom and Australia account for 22 cross-citations among themselves alone</w:t>
      </w:r>
      <w:r w:rsidR="003D058A" w:rsidRPr="00F13AF7">
        <w:rPr>
          <w:lang w:val="en-US"/>
        </w:rPr>
        <w:t>, with</w:t>
      </w:r>
      <w:r w:rsidRPr="00F13AF7">
        <w:rPr>
          <w:lang w:val="en-US"/>
        </w:rPr>
        <w:t xml:space="preserve"> New Zealand citing the United Kingdom 9 times and Australia 7 times</w:t>
      </w:r>
      <w:r w:rsidR="003D058A" w:rsidRPr="00F13AF7">
        <w:rPr>
          <w:lang w:val="en-US"/>
        </w:rPr>
        <w:t>,</w:t>
      </w:r>
      <w:r w:rsidRPr="00F13AF7">
        <w:rPr>
          <w:lang w:val="en-US"/>
        </w:rPr>
        <w:t xml:space="preserve"> suggesting that shared legal traditions and language facilitate the transnational circulation of climate case law.</w:t>
      </w:r>
    </w:p>
    <w:p w14:paraId="66CD9F13" w14:textId="06EDE43F" w:rsidR="004B6DB1" w:rsidRPr="00F13AF7" w:rsidRDefault="003D058A" w:rsidP="00697D9E">
      <w:pPr>
        <w:spacing w:line="480" w:lineRule="auto"/>
        <w:ind w:firstLine="720"/>
        <w:jc w:val="both"/>
        <w:rPr>
          <w:lang w:val="en-US"/>
        </w:rPr>
      </w:pPr>
      <w:r w:rsidRPr="00F13AF7">
        <w:rPr>
          <w:lang w:val="en-US"/>
        </w:rPr>
        <w:t>We can observe that t</w:t>
      </w:r>
      <w:r w:rsidR="00801C7F" w:rsidRPr="00F13AF7">
        <w:rPr>
          <w:lang w:val="en-US"/>
        </w:rPr>
        <w:t>he distribution</w:t>
      </w:r>
      <w:r w:rsidR="009B764D" w:rsidRPr="00F13AF7">
        <w:rPr>
          <w:lang w:val="en-US"/>
        </w:rPr>
        <w:t xml:space="preserve"> of those citations</w:t>
      </w:r>
      <w:r w:rsidR="00801C7F" w:rsidRPr="00F13AF7">
        <w:rPr>
          <w:lang w:val="en-US"/>
        </w:rPr>
        <w:t xml:space="preserve"> is</w:t>
      </w:r>
      <w:r w:rsidR="009B764D" w:rsidRPr="00F13AF7">
        <w:rPr>
          <w:lang w:val="en-US"/>
        </w:rPr>
        <w:t xml:space="preserve"> </w:t>
      </w:r>
      <w:r w:rsidR="00801C7F" w:rsidRPr="00F13AF7">
        <w:rPr>
          <w:lang w:val="en-US"/>
        </w:rPr>
        <w:t xml:space="preserve">highly uneven. A small number of jurisdictions account for </w:t>
      </w:r>
      <w:proofErr w:type="gramStart"/>
      <w:r w:rsidR="00801C7F" w:rsidRPr="00F13AF7">
        <w:rPr>
          <w:lang w:val="en-US"/>
        </w:rPr>
        <w:t>the vast majority of</w:t>
      </w:r>
      <w:proofErr w:type="gramEnd"/>
      <w:r w:rsidR="00801C7F" w:rsidRPr="00F13AF7">
        <w:rPr>
          <w:lang w:val="en-US"/>
        </w:rPr>
        <w:t xml:space="preserve"> foreign citations, while most jurisdictions’ climate decisions contain no reference to foreign case law whatsoever. This uneven distribution suggests that transnational judicial dialogue, to the extent it exists, is not a global phenomenon but a practice </w:t>
      </w:r>
      <w:r w:rsidR="00801C7F" w:rsidRPr="00F13AF7">
        <w:rPr>
          <w:lang w:val="en-US"/>
        </w:rPr>
        <w:lastRenderedPageBreak/>
        <w:t xml:space="preserve">concentrated in specific jurisdictions and shaped by identifiable structural factors. </w:t>
      </w:r>
      <w:r w:rsidR="00805935" w:rsidRPr="00F13AF7">
        <w:rPr>
          <w:lang w:val="en-US"/>
        </w:rPr>
        <w:t>Considering the amount of data generated, there are several analyses that could be done. In t</w:t>
      </w:r>
      <w:r w:rsidR="00801C7F" w:rsidRPr="00F13AF7">
        <w:rPr>
          <w:lang w:val="en-US"/>
        </w:rPr>
        <w:t>he following sections</w:t>
      </w:r>
      <w:r w:rsidR="00805935" w:rsidRPr="00F13AF7">
        <w:rPr>
          <w:lang w:val="en-US"/>
        </w:rPr>
        <w:t xml:space="preserve"> we</w:t>
      </w:r>
      <w:r w:rsidR="00801C7F" w:rsidRPr="00F13AF7">
        <w:rPr>
          <w:lang w:val="en-US"/>
        </w:rPr>
        <w:t xml:space="preserve"> examine three patterns that illustrate </w:t>
      </w:r>
      <w:r w:rsidR="00805935" w:rsidRPr="00F13AF7">
        <w:rPr>
          <w:lang w:val="en-US"/>
        </w:rPr>
        <w:t>relev</w:t>
      </w:r>
      <w:r w:rsidR="00731A58" w:rsidRPr="00F13AF7">
        <w:rPr>
          <w:lang w:val="en-US"/>
        </w:rPr>
        <w:t xml:space="preserve">ant </w:t>
      </w:r>
      <w:r w:rsidR="00801C7F" w:rsidRPr="00F13AF7">
        <w:rPr>
          <w:lang w:val="en-US"/>
        </w:rPr>
        <w:t>dynamics.</w:t>
      </w:r>
    </w:p>
    <w:p w14:paraId="795C95BC" w14:textId="77777777" w:rsidR="004B6DB1" w:rsidRPr="00F13AF7" w:rsidRDefault="00801C7F" w:rsidP="00697D9E">
      <w:pPr>
        <w:spacing w:before="360" w:after="120" w:line="480" w:lineRule="auto"/>
        <w:jc w:val="both"/>
        <w:rPr>
          <w:lang w:val="en-US"/>
        </w:rPr>
      </w:pPr>
      <w:r w:rsidRPr="00F13AF7">
        <w:rPr>
          <w:b/>
          <w:bCs/>
          <w:i/>
          <w:iCs/>
          <w:lang w:val="en-US"/>
        </w:rPr>
        <w:t>B. Patterns of Citation</w:t>
      </w:r>
    </w:p>
    <w:p w14:paraId="52BB8F75" w14:textId="759FC772" w:rsidR="003B7D62" w:rsidRPr="00F13AF7" w:rsidRDefault="003B7D62" w:rsidP="00697D9E">
      <w:pPr>
        <w:spacing w:line="480" w:lineRule="auto"/>
        <w:ind w:firstLine="708"/>
        <w:jc w:val="both"/>
        <w:rPr>
          <w:lang w:val="en-US"/>
        </w:rPr>
      </w:pPr>
      <w:r w:rsidRPr="00F13AF7">
        <w:rPr>
          <w:lang w:val="en-US"/>
        </w:rPr>
        <w:t>Three patterns merit closer examination. The first concerns the United States, which occupies a singular position as a jurisdiction whose climate jurisprudence is widely cited abroad yet whose courts engage with virtually no foreign case law in return. The second concerns Brazil, which presents a contrasting dynamic: an active importer of foreign reasoning whose own jurisprudence remains largely invisible to courts elsewhere. The third concerns the common law cluster formed by the United Kingdom, Australia, and New Zealand, where a more sustained and mutual exchange is observable</w:t>
      </w:r>
      <w:r w:rsidR="00801C7F" w:rsidRPr="00F13AF7">
        <w:rPr>
          <w:lang w:val="en-US"/>
        </w:rPr>
        <w:t xml:space="preserve">. </w:t>
      </w:r>
    </w:p>
    <w:p w14:paraId="6AC40B21" w14:textId="37B463C5" w:rsidR="00B105A0" w:rsidRPr="00F13AF7" w:rsidRDefault="00801C7F" w:rsidP="008F7005">
      <w:pPr>
        <w:spacing w:line="480" w:lineRule="auto"/>
        <w:ind w:firstLine="708"/>
        <w:jc w:val="both"/>
        <w:rPr>
          <w:lang w:val="en-US"/>
        </w:rPr>
      </w:pPr>
      <w:r w:rsidRPr="00F13AF7">
        <w:rPr>
          <w:lang w:val="en-US"/>
        </w:rPr>
        <w:t xml:space="preserve">The United States holds the highest number of climate litigation cases in the world. Several of its decisions, most prominently </w:t>
      </w:r>
      <w:r w:rsidRPr="00F13AF7">
        <w:rPr>
          <w:i/>
          <w:iCs/>
          <w:lang w:val="en-US"/>
        </w:rPr>
        <w:t>Massachusetts v. EPA</w:t>
      </w:r>
      <w:r w:rsidRPr="00F13AF7">
        <w:rPr>
          <w:lang w:val="en-US"/>
        </w:rPr>
        <w:t>, are cited by courts across at least twelve foreign jurisdictions.</w:t>
      </w:r>
      <w:r w:rsidR="008F7005" w:rsidRPr="00F13AF7">
        <w:rPr>
          <w:lang w:val="en-US"/>
        </w:rPr>
        <w:t xml:space="preserve"> </w:t>
      </w:r>
    </w:p>
    <w:p w14:paraId="1ED05FA1" w14:textId="24FD51E9" w:rsidR="006B083B" w:rsidRPr="00F13AF7" w:rsidRDefault="006B083B" w:rsidP="00697D9E">
      <w:pPr>
        <w:spacing w:line="480" w:lineRule="auto"/>
        <w:ind w:firstLine="720"/>
        <w:jc w:val="both"/>
        <w:rPr>
          <w:lang w:val="en-US"/>
        </w:rPr>
      </w:pPr>
      <w:r w:rsidRPr="00F13AF7">
        <w:rPr>
          <w:lang w:val="en-US"/>
        </w:rPr>
        <w:t>Across all US climate decisions in the database,</w:t>
      </w:r>
      <w:r w:rsidR="008F7005" w:rsidRPr="00F13AF7">
        <w:rPr>
          <w:lang w:val="en-US"/>
        </w:rPr>
        <w:t xml:space="preserve"> </w:t>
      </w:r>
      <w:proofErr w:type="gramStart"/>
      <w:r w:rsidR="008F7005" w:rsidRPr="00F13AF7">
        <w:rPr>
          <w:lang w:val="en-US"/>
        </w:rPr>
        <w:t xml:space="preserve">we </w:t>
      </w:r>
      <w:r w:rsidRPr="00F13AF7">
        <w:rPr>
          <w:lang w:val="en-US"/>
        </w:rPr>
        <w:t xml:space="preserve"> only</w:t>
      </w:r>
      <w:proofErr w:type="gramEnd"/>
      <w:r w:rsidR="008F7005" w:rsidRPr="00F13AF7">
        <w:rPr>
          <w:lang w:val="en-US"/>
        </w:rPr>
        <w:t xml:space="preserve"> found</w:t>
      </w:r>
      <w:r w:rsidRPr="00F13AF7">
        <w:rPr>
          <w:lang w:val="en-US"/>
        </w:rPr>
        <w:t xml:space="preserve"> two decisions contain</w:t>
      </w:r>
      <w:r w:rsidR="008F7005" w:rsidRPr="00F13AF7">
        <w:rPr>
          <w:lang w:val="en-US"/>
        </w:rPr>
        <w:t>ing</w:t>
      </w:r>
      <w:r w:rsidRPr="00F13AF7">
        <w:rPr>
          <w:lang w:val="en-US"/>
        </w:rPr>
        <w:t xml:space="preserve"> references to foreign case law: Juliana v. United States, which cites </w:t>
      </w:r>
      <w:proofErr w:type="spellStart"/>
      <w:r w:rsidRPr="00F13AF7">
        <w:rPr>
          <w:lang w:val="en-US"/>
        </w:rPr>
        <w:t>Urgenda</w:t>
      </w:r>
      <w:proofErr w:type="spellEnd"/>
      <w:r w:rsidRPr="00F13AF7">
        <w:rPr>
          <w:lang w:val="en-US"/>
        </w:rPr>
        <w:t xml:space="preserve">, and </w:t>
      </w:r>
      <w:proofErr w:type="gramStart"/>
      <w:r w:rsidRPr="00F13AF7">
        <w:rPr>
          <w:lang w:val="en-US"/>
        </w:rPr>
        <w:t>In</w:t>
      </w:r>
      <w:proofErr w:type="gramEnd"/>
      <w:r w:rsidRPr="00F13AF7">
        <w:rPr>
          <w:lang w:val="en-US"/>
        </w:rPr>
        <w:t xml:space="preserve"> re Hawai’i Electric Light Co., which references decisions from Australia, the Netherlands, and Pakistan. This contrasts with at least 51 citations to US decisions by courts in twelve foreign jurisdictions</w:t>
      </w:r>
      <w:r w:rsidRPr="00F13AF7">
        <w:rPr>
          <w:lang w:val="en-US"/>
        </w:rPr>
        <w:t>.</w:t>
      </w:r>
    </w:p>
    <w:p w14:paraId="608EE471" w14:textId="4865CD50" w:rsidR="004B6DB1" w:rsidRPr="00F13AF7" w:rsidRDefault="00801C7F" w:rsidP="00697D9E">
      <w:pPr>
        <w:spacing w:line="480" w:lineRule="auto"/>
        <w:ind w:firstLine="720"/>
        <w:jc w:val="both"/>
        <w:rPr>
          <w:lang w:val="en-US"/>
        </w:rPr>
      </w:pPr>
      <w:r w:rsidRPr="00F13AF7">
        <w:rPr>
          <w:lang w:val="en-US"/>
        </w:rPr>
        <w:t xml:space="preserve">The </w:t>
      </w:r>
      <w:proofErr w:type="gramStart"/>
      <w:r w:rsidRPr="00F13AF7">
        <w:rPr>
          <w:lang w:val="en-US"/>
        </w:rPr>
        <w:t>near-absence</w:t>
      </w:r>
      <w:proofErr w:type="gramEnd"/>
      <w:r w:rsidRPr="00F13AF7">
        <w:rPr>
          <w:lang w:val="en-US"/>
        </w:rPr>
        <w:t xml:space="preserve"> of foreign citation in US climate decisions is consistent with a broader tradition in American jurisprudence characterized by resistance to foreign legal authority. </w:t>
      </w:r>
      <w:r w:rsidR="0030097B" w:rsidRPr="00F13AF7">
        <w:rPr>
          <w:lang w:val="en-US"/>
        </w:rPr>
        <w:t>As Jackson has observed, judicial engagement with foreign law in constitutional adjudication may take three distinct postures: convergence, resistance, and engagement. While engagement</w:t>
      </w:r>
      <w:r w:rsidR="00A6638F" w:rsidRPr="00F13AF7">
        <w:rPr>
          <w:lang w:val="en-US"/>
        </w:rPr>
        <w:t>,</w:t>
      </w:r>
      <w:r w:rsidR="0030097B" w:rsidRPr="00F13AF7">
        <w:rPr>
          <w:lang w:val="en-US"/>
        </w:rPr>
        <w:t xml:space="preserve"> the critical consideration of foreign law without treating it as binding</w:t>
      </w:r>
      <w:r w:rsidR="00A6638F" w:rsidRPr="00F13AF7">
        <w:rPr>
          <w:lang w:val="en-US"/>
        </w:rPr>
        <w:t>,</w:t>
      </w:r>
      <w:r w:rsidR="0030097B" w:rsidRPr="00F13AF7">
        <w:rPr>
          <w:lang w:val="en-US"/>
        </w:rPr>
        <w:t xml:space="preserve"> represents the analytically </w:t>
      </w:r>
      <w:r w:rsidR="0030097B" w:rsidRPr="00F13AF7">
        <w:rPr>
          <w:lang w:val="en-US"/>
        </w:rPr>
        <w:lastRenderedPageBreak/>
        <w:t xml:space="preserve">preferred approach, American constitutional practice has exhibited a strong tendency toward resistance, as illustrated by the sharp disagreement among the Justices in </w:t>
      </w:r>
      <w:r w:rsidR="0030097B" w:rsidRPr="00F13AF7">
        <w:rPr>
          <w:i/>
          <w:iCs/>
          <w:lang w:val="en-US"/>
        </w:rPr>
        <w:t>Roper v. Simmons</w:t>
      </w:r>
      <w:r w:rsidR="0030097B" w:rsidRPr="00F13AF7">
        <w:rPr>
          <w:lang w:val="en-US"/>
        </w:rPr>
        <w:t xml:space="preserve"> over whether foreign authority has any legitimate role in constitutional interpretation.</w:t>
      </w:r>
      <w:r w:rsidRPr="00F13AF7">
        <w:rPr>
          <w:lang w:val="en-US"/>
        </w:rPr>
        <w:t>.</w:t>
      </w:r>
      <w:r w:rsidRPr="00F13AF7">
        <w:rPr>
          <w:rStyle w:val="Refdenotaderodap"/>
        </w:rPr>
        <w:footnoteReference w:id="21"/>
      </w:r>
      <w:r w:rsidRPr="00F13AF7">
        <w:rPr>
          <w:lang w:val="en-US"/>
        </w:rPr>
        <w:t xml:space="preserve"> The United States thus functions primarily as an exporter of judicial authority in climate litigation, with its decisions received and cited by courts in at least twelve foreign jurisdictions, while its own courts remain largely outside this exchange. The structural reasons for this pattern, including the role of legal tradition, the domestic availability of precedent, and institutional attitudes toward foreign authority, warrant further investigation.</w:t>
      </w:r>
    </w:p>
    <w:p w14:paraId="7B1E7652" w14:textId="77777777" w:rsidR="00426010" w:rsidRPr="00F13AF7" w:rsidRDefault="00801C7F" w:rsidP="00697D9E">
      <w:pPr>
        <w:spacing w:line="480" w:lineRule="auto"/>
        <w:ind w:firstLine="708"/>
        <w:jc w:val="both"/>
        <w:rPr>
          <w:lang w:val="en-US"/>
        </w:rPr>
      </w:pPr>
      <w:r w:rsidRPr="00F13AF7">
        <w:rPr>
          <w:lang w:val="en-US"/>
        </w:rPr>
        <w:t>Brazil presents a contrasting pattern. The literature has documented that climate litigation in the Global South faces constraints related to access to justice, institutional capacity, and visibility in international academic and legal discourse.</w:t>
      </w:r>
      <w:r w:rsidRPr="00F13AF7">
        <w:rPr>
          <w:rStyle w:val="Refdenotaderodap"/>
        </w:rPr>
        <w:footnoteReference w:id="22"/>
      </w:r>
      <w:r w:rsidRPr="00F13AF7">
        <w:rPr>
          <w:lang w:val="en-US"/>
        </w:rPr>
        <w:t xml:space="preserve"> The data confirms one dimension of this observation while complicating another. </w:t>
      </w:r>
    </w:p>
    <w:p w14:paraId="52A9BA23" w14:textId="6E1A7DAC" w:rsidR="00426010" w:rsidRPr="00F13AF7" w:rsidRDefault="00801C7F" w:rsidP="00697D9E">
      <w:pPr>
        <w:spacing w:line="480" w:lineRule="auto"/>
        <w:ind w:firstLine="708"/>
        <w:jc w:val="both"/>
        <w:rPr>
          <w:lang w:val="en-US"/>
        </w:rPr>
      </w:pPr>
      <w:r w:rsidRPr="00F13AF7">
        <w:rPr>
          <w:lang w:val="en-US"/>
        </w:rPr>
        <w:t>Brazilian courts, when deciding climate cases, draw on foreign case law and international jurisprudence with notable frequency.</w:t>
      </w:r>
      <w:r w:rsidRPr="00F13AF7">
        <w:rPr>
          <w:rStyle w:val="Refdenotaderodap"/>
        </w:rPr>
        <w:footnoteReference w:id="23"/>
      </w:r>
      <w:r w:rsidRPr="00F13AF7">
        <w:rPr>
          <w:lang w:val="en-US"/>
        </w:rPr>
        <w:t xml:space="preserve"> </w:t>
      </w:r>
      <w:r w:rsidR="00426010" w:rsidRPr="00F13AF7">
        <w:rPr>
          <w:lang w:val="en-US"/>
        </w:rPr>
        <w:t xml:space="preserve">Brazilian courts produced 34 foreign case law citations across 19 decisions, referencing precedents including </w:t>
      </w:r>
      <w:proofErr w:type="spellStart"/>
      <w:r w:rsidR="00426010" w:rsidRPr="00F13AF7">
        <w:rPr>
          <w:lang w:val="en-US"/>
        </w:rPr>
        <w:t>Urgenda</w:t>
      </w:r>
      <w:proofErr w:type="spellEnd"/>
      <w:r w:rsidR="00426010" w:rsidRPr="00F13AF7">
        <w:rPr>
          <w:lang w:val="en-US"/>
        </w:rPr>
        <w:t xml:space="preserve">, Neubauer, Leghari, Notre Affaire </w:t>
      </w:r>
      <w:r w:rsidR="00426010" w:rsidRPr="00F13AF7">
        <w:rPr>
          <w:lang w:val="en-US"/>
        </w:rPr>
        <w:lastRenderedPageBreak/>
        <w:t xml:space="preserve">à Tous, and Juliana. This places Brazil among the most active citing jurisdictions in the dataset, alongside New Zealand (43 foreign citations across 16 decisions) and the United Kingdom (30 across 17 decisions). </w:t>
      </w:r>
    </w:p>
    <w:p w14:paraId="64DE9ED6" w14:textId="2E497211" w:rsidR="004B6DB1" w:rsidRPr="00F13AF7" w:rsidRDefault="00801C7F" w:rsidP="00697D9E">
      <w:pPr>
        <w:spacing w:line="480" w:lineRule="auto"/>
        <w:ind w:firstLine="708"/>
        <w:jc w:val="both"/>
        <w:rPr>
          <w:lang w:val="en-US"/>
        </w:rPr>
      </w:pPr>
      <w:r w:rsidRPr="00F13AF7">
        <w:rPr>
          <w:lang w:val="en-US"/>
        </w:rPr>
        <w:t xml:space="preserve">Brazilian decisions reference precedents from other jurisdictions to support their reasoning on questions ranging from state obligations to the application of environmental principles. Brazil has also produced significant jurisprudence, including the recognition of the Paris Agreement as a human rights treaty by the Brazilian Supreme Court in the </w:t>
      </w:r>
      <w:r w:rsidRPr="00F13AF7">
        <w:rPr>
          <w:i/>
          <w:iCs/>
          <w:lang w:val="en-US"/>
        </w:rPr>
        <w:t>Climate Fund</w:t>
      </w:r>
      <w:r w:rsidRPr="00F13AF7">
        <w:rPr>
          <w:lang w:val="en-US"/>
        </w:rPr>
        <w:t xml:space="preserve"> case.</w:t>
      </w:r>
      <w:r w:rsidRPr="00F13AF7">
        <w:rPr>
          <w:rStyle w:val="Refdenotaderodap"/>
        </w:rPr>
        <w:footnoteReference w:id="24"/>
      </w:r>
    </w:p>
    <w:p w14:paraId="4B806523" w14:textId="2248CD5C" w:rsidR="004B6DB1" w:rsidRPr="00F13AF7" w:rsidRDefault="00CD1D10" w:rsidP="00CD1D10">
      <w:pPr>
        <w:spacing w:line="480" w:lineRule="auto"/>
        <w:ind w:firstLine="708"/>
        <w:jc w:val="both"/>
        <w:rPr>
          <w:lang w:val="en-US"/>
        </w:rPr>
      </w:pPr>
      <w:r w:rsidRPr="00F13AF7">
        <w:rPr>
          <w:lang w:val="en-US"/>
        </w:rPr>
        <w:t xml:space="preserve">In the reverse direction, only one foreign decision in the database cites Brazilian jurisprudence: </w:t>
      </w:r>
      <w:proofErr w:type="spellStart"/>
      <w:r w:rsidRPr="00F13AF7">
        <w:rPr>
          <w:lang w:val="en-US"/>
        </w:rPr>
        <w:t>Milieudefensie</w:t>
      </w:r>
      <w:proofErr w:type="spellEnd"/>
      <w:r w:rsidRPr="00F13AF7">
        <w:rPr>
          <w:lang w:val="en-US"/>
        </w:rPr>
        <w:t xml:space="preserve"> et al. v. Royal Dutch Shell, referencing the Brazilian Supreme Court’s Climate Fund decision.</w:t>
      </w:r>
      <w:r w:rsidRPr="00F13AF7">
        <w:rPr>
          <w:lang w:val="en-US"/>
        </w:rPr>
        <w:t xml:space="preserve"> </w:t>
      </w:r>
      <w:r w:rsidR="00801C7F" w:rsidRPr="00F13AF7">
        <w:rPr>
          <w:lang w:val="en-US"/>
        </w:rPr>
        <w:t xml:space="preserve">Very little of Brazil’s climate jurisprudence appears to be cited by courts elsewhere, despite its innovative character, and Brazil’s engagement with foreign case law is not reciprocated. This asymmetry raises questions about what determines which jurisdictions’ jurisprudence achieves transnational influence and which remains invisible. Language is an obvious factor: Brazilian decisions are rendered in Portuguese, limiting their accessibility to courts and practitioners operating in English, French, or Spanish. But language alone may not fully explain the pattern. The structure of international academic networks, the focus of climate litigation databases, and the relative visibility of different legal systems in transnational legal discourse may all contribute to this </w:t>
      </w:r>
      <w:proofErr w:type="gramStart"/>
      <w:r w:rsidR="00801C7F" w:rsidRPr="00F13AF7">
        <w:rPr>
          <w:lang w:val="en-US"/>
        </w:rPr>
        <w:t>asymmetry</w:t>
      </w:r>
      <w:proofErr w:type="gramEnd"/>
      <w:r w:rsidR="00E026E7" w:rsidRPr="00F13AF7">
        <w:rPr>
          <w:lang w:val="en-US"/>
        </w:rPr>
        <w:t>, which we intend to explore.</w:t>
      </w:r>
    </w:p>
    <w:p w14:paraId="17B4D10D" w14:textId="5D25FA36" w:rsidR="004B6DB1" w:rsidRPr="00F13AF7" w:rsidRDefault="00801C7F" w:rsidP="00697D9E">
      <w:pPr>
        <w:spacing w:line="480" w:lineRule="auto"/>
        <w:ind w:firstLine="708"/>
        <w:jc w:val="both"/>
        <w:rPr>
          <w:lang w:val="en-US"/>
        </w:rPr>
      </w:pPr>
      <w:r w:rsidRPr="00F13AF7">
        <w:rPr>
          <w:lang w:val="en-US"/>
        </w:rPr>
        <w:t xml:space="preserve">A third pattern emerges among common law jurisdictions, particularly the United Kingdom, Australia, and New Zealand. These jurisdictions engage in a more sustained dialogue among themselves, forming an identifiable citation cluster. The United Kingdom’s Supreme Court has a tradition of internationalism, having inherited the jurisdiction of the old Appellate Committee </w:t>
      </w:r>
      <w:r w:rsidRPr="00F13AF7">
        <w:rPr>
          <w:lang w:val="en-US"/>
        </w:rPr>
        <w:lastRenderedPageBreak/>
        <w:t>of the House of Lords,</w:t>
      </w:r>
      <w:r w:rsidRPr="00F13AF7">
        <w:rPr>
          <w:rStyle w:val="Refdenotaderodap"/>
        </w:rPr>
        <w:footnoteReference w:id="25"/>
      </w:r>
      <w:r w:rsidRPr="00F13AF7">
        <w:rPr>
          <w:lang w:val="en-US"/>
        </w:rPr>
        <w:t xml:space="preserve"> and this openness to foreign authority extends to its climate jurisprudence. Australian and New Zealand courts similarly reference decisions from other common law jurisdictions with regularity.</w:t>
      </w:r>
    </w:p>
    <w:p w14:paraId="0EC49154" w14:textId="6033B495" w:rsidR="004B6DB1" w:rsidRPr="00F13AF7" w:rsidRDefault="00801C7F" w:rsidP="00697D9E">
      <w:pPr>
        <w:spacing w:line="480" w:lineRule="auto"/>
        <w:ind w:firstLine="720"/>
        <w:jc w:val="both"/>
        <w:rPr>
          <w:lang w:val="en-US"/>
        </w:rPr>
      </w:pPr>
      <w:r w:rsidRPr="00F13AF7">
        <w:rPr>
          <w:lang w:val="en-US"/>
        </w:rPr>
        <w:t xml:space="preserve">This clustering is consistent with broader patterns identified in the literature on transnational litigation. </w:t>
      </w:r>
      <w:r w:rsidR="004F1649" w:rsidRPr="00F13AF7">
        <w:rPr>
          <w:lang w:val="en-US"/>
        </w:rPr>
        <w:t>C</w:t>
      </w:r>
      <w:r w:rsidRPr="00F13AF7">
        <w:rPr>
          <w:lang w:val="en-US"/>
        </w:rPr>
        <w:t>ommon law jurisdictions share methodological and institutional characteristics that facilitate cross-citation: precedent-based reasoning, similar procedural frameworks, and a shared legal language. The common law cluster suggests that judicial dialogue in climate litigation is shaped not only by the substantive content of decisions but also by the institutional and methodological infrastructure of legal systems. Courts are more likely to engage with foreign precedents when the foreign legal system is methodologically familiar, when decisions are rendered in the same language, and when there exists a pre-existing tradition of cross-referencing.</w:t>
      </w:r>
    </w:p>
    <w:p w14:paraId="2608006F" w14:textId="77777777" w:rsidR="004B6DB1" w:rsidRPr="00F13AF7" w:rsidRDefault="00801C7F" w:rsidP="00697D9E">
      <w:pPr>
        <w:spacing w:before="360" w:after="120" w:line="480" w:lineRule="auto"/>
        <w:jc w:val="both"/>
        <w:rPr>
          <w:lang w:val="en-US"/>
        </w:rPr>
      </w:pPr>
      <w:r w:rsidRPr="00F13AF7">
        <w:rPr>
          <w:b/>
          <w:bCs/>
          <w:i/>
          <w:iCs/>
          <w:lang w:val="en-US"/>
        </w:rPr>
        <w:t>C. Asymmetries in Transnational Citation</w:t>
      </w:r>
    </w:p>
    <w:p w14:paraId="1C056FA7" w14:textId="77777777" w:rsidR="004B6DB1" w:rsidRPr="00F13AF7" w:rsidRDefault="00801C7F" w:rsidP="00801C7F">
      <w:pPr>
        <w:spacing w:line="480" w:lineRule="auto"/>
        <w:ind w:firstLine="708"/>
        <w:jc w:val="both"/>
        <w:rPr>
          <w:lang w:val="en-US"/>
        </w:rPr>
      </w:pPr>
      <w:r w:rsidRPr="00F13AF7">
        <w:rPr>
          <w:lang w:val="en-US"/>
        </w:rPr>
        <w:t>The patterns described above, taken together, point to a structural feature of transnational judicial dialogue in climate litigation: citation flows are asymmetric. Certain jurisdictions produce jurisprudence that travels across borders; others engage actively with foreign precedent yet remain invisible in return; still others participate in sustained mutual exchange within bounded clusters. The flow of judicial authority does not operate as a single global conversation but as a set of fragmented, structurally constrained exchanges.</w:t>
      </w:r>
    </w:p>
    <w:p w14:paraId="17991E88" w14:textId="77777777" w:rsidR="004B6DB1" w:rsidRPr="00F13AF7" w:rsidRDefault="00801C7F" w:rsidP="00697D9E">
      <w:pPr>
        <w:spacing w:line="480" w:lineRule="auto"/>
        <w:ind w:firstLine="720"/>
        <w:jc w:val="both"/>
        <w:rPr>
          <w:lang w:val="en-US"/>
        </w:rPr>
      </w:pPr>
      <w:r w:rsidRPr="00F13AF7">
        <w:rPr>
          <w:lang w:val="en-US"/>
        </w:rPr>
        <w:lastRenderedPageBreak/>
        <w:t>Three factors appear to shape these asymmetries. First, legal tradition determines the propensity to cite and be cited. Common law jurisdictions, with their methodological reliance on precedent, are more likely to engage in cross-citation, while jurisdictions with traditions of resistance to foreign authority remain outside the dialogue regardless of their importance as producers of climate jurisprudence. Second, language operates as a significant filter. Decisions rendered in English achieve wider circulation and citation than those rendered in Portuguese, Spanish, or other languages, irrespective of their substantive contribution. Third, institutional visibility, meaning the extent to which a jurisdiction’s decisions are captured by international databases, discussed in academic literature, and circulated through practitioner networks, affects whether courts elsewhere even become aware of relevant foreign precedents.</w:t>
      </w:r>
      <w:r w:rsidRPr="00F13AF7">
        <w:rPr>
          <w:rStyle w:val="Refdenotaderodap"/>
        </w:rPr>
        <w:footnoteReference w:id="26"/>
      </w:r>
    </w:p>
    <w:p w14:paraId="6834F81C" w14:textId="77777777" w:rsidR="004B6DB1" w:rsidRPr="00F13AF7" w:rsidRDefault="00801C7F" w:rsidP="00697D9E">
      <w:pPr>
        <w:spacing w:line="480" w:lineRule="auto"/>
        <w:ind w:firstLine="720"/>
        <w:jc w:val="both"/>
        <w:rPr>
          <w:lang w:val="en-US"/>
        </w:rPr>
      </w:pPr>
      <w:r w:rsidRPr="00F13AF7">
        <w:rPr>
          <w:lang w:val="en-US"/>
        </w:rPr>
        <w:t>The recent advisory opinions issued by the International Tribunal for the Law of the Sea, the Inter-American Court of Human Rights, and the International Court of Justice between 2024 and 2025 may alter these dynamics. The three opinions demonstrate significant convergence on the role of science, due diligence standards, the duty to cooperate, and human rights obligations in the climate context.</w:t>
      </w:r>
      <w:r w:rsidRPr="00F13AF7">
        <w:rPr>
          <w:rStyle w:val="Refdenotaderodap"/>
        </w:rPr>
        <w:footnoteReference w:id="27"/>
      </w:r>
      <w:r w:rsidRPr="00F13AF7">
        <w:rPr>
          <w:lang w:val="en-US"/>
        </w:rPr>
        <w:t xml:space="preserve"> These opinions are multilingual, authoritative, and available to courts across all legal traditions and regions. They bring a sturdier legal architecture to international climate law, offering a common vocabulary that courts and decision-makers are already positioned to use.</w:t>
      </w:r>
      <w:r w:rsidRPr="00F13AF7">
        <w:rPr>
          <w:rStyle w:val="Refdenotaderodap"/>
        </w:rPr>
        <w:footnoteReference w:id="28"/>
      </w:r>
      <w:r w:rsidRPr="00F13AF7">
        <w:rPr>
          <w:lang w:val="en-US"/>
        </w:rPr>
        <w:t xml:space="preserve"> Unlike the jurisprudence of any single domestic court, advisory opinions are not constrained by </w:t>
      </w:r>
      <w:r w:rsidRPr="00F13AF7">
        <w:rPr>
          <w:lang w:val="en-US"/>
        </w:rPr>
        <w:lastRenderedPageBreak/>
        <w:t>the language, legal tradition, or institutional visibility barriers that, as the data presented here suggests, structure existing patterns of citation. They could, in this sense, serve as common reference points that enable courts in jurisdictions currently excluded from transnational dialogue to engage with, and contribute to, the developing body of climate jurisprudence. Whether this potential is realized is an empirical question that the coming years will help answer, and the data developed for this research provides a baseline against which such developments can be measured.</w:t>
      </w:r>
    </w:p>
    <w:p w14:paraId="531F268F" w14:textId="77777777" w:rsidR="004B6DB1" w:rsidRPr="00F13AF7" w:rsidRDefault="00801C7F" w:rsidP="00407A74">
      <w:pPr>
        <w:keepNext/>
        <w:keepLines/>
        <w:spacing w:before="480" w:after="240" w:line="480" w:lineRule="auto"/>
        <w:jc w:val="both"/>
        <w:rPr>
          <w:smallCaps/>
          <w:lang w:val="en-US"/>
        </w:rPr>
      </w:pPr>
      <w:r w:rsidRPr="00F13AF7">
        <w:rPr>
          <w:b/>
          <w:bCs/>
          <w:smallCaps/>
          <w:lang w:val="en-US"/>
        </w:rPr>
        <w:t>IV. Conclusion</w:t>
      </w:r>
    </w:p>
    <w:p w14:paraId="6D17145D" w14:textId="77777777" w:rsidR="004B6DB1" w:rsidRPr="00F13AF7" w:rsidRDefault="00801C7F" w:rsidP="00697D9E">
      <w:pPr>
        <w:spacing w:line="480" w:lineRule="auto"/>
        <w:ind w:firstLine="708"/>
        <w:jc w:val="both"/>
        <w:rPr>
          <w:lang w:val="en-US"/>
        </w:rPr>
      </w:pPr>
      <w:r w:rsidRPr="00F13AF7">
        <w:rPr>
          <w:lang w:val="en-US"/>
        </w:rPr>
        <w:t>The findings presented in this paper suggest that courts deciding climate cases operate in considerable isolation from one another. Where dialogue occurs, it is structurally constrained by legal tradition, language, and institutional visibility, concentrated within specific clusters rather than operating as a global conversation.</w:t>
      </w:r>
    </w:p>
    <w:p w14:paraId="29751A83" w14:textId="4D094D06" w:rsidR="004B6DB1" w:rsidRPr="00F13AF7" w:rsidRDefault="00801C7F" w:rsidP="00697D9E">
      <w:pPr>
        <w:spacing w:line="480" w:lineRule="auto"/>
        <w:ind w:firstLine="720"/>
        <w:jc w:val="both"/>
        <w:rPr>
          <w:lang w:val="en-US"/>
        </w:rPr>
      </w:pPr>
      <w:r w:rsidRPr="00F13AF7">
        <w:rPr>
          <w:lang w:val="en-US"/>
        </w:rPr>
        <w:t xml:space="preserve">As developed in this paper, scholarship on judicial dialogue in human rights adjudication has demonstrated that engagement with foreign reasoning </w:t>
      </w:r>
      <w:r w:rsidR="00F730F0" w:rsidRPr="00F13AF7">
        <w:rPr>
          <w:lang w:val="en-US"/>
        </w:rPr>
        <w:t xml:space="preserve">could </w:t>
      </w:r>
      <w:r w:rsidRPr="00F13AF7">
        <w:rPr>
          <w:lang w:val="en-US"/>
        </w:rPr>
        <w:t>serve concrete functions</w:t>
      </w:r>
      <w:r w:rsidR="001B3C08" w:rsidRPr="00F13AF7">
        <w:rPr>
          <w:lang w:val="en-US"/>
        </w:rPr>
        <w:t>, including the</w:t>
      </w:r>
      <w:r w:rsidRPr="00F13AF7">
        <w:rPr>
          <w:lang w:val="en-US"/>
        </w:rPr>
        <w:t xml:space="preserve"> enhance</w:t>
      </w:r>
      <w:r w:rsidR="001B3C08" w:rsidRPr="00F13AF7">
        <w:rPr>
          <w:lang w:val="en-US"/>
        </w:rPr>
        <w:t>ment of</w:t>
      </w:r>
      <w:r w:rsidRPr="00F13AF7">
        <w:rPr>
          <w:lang w:val="en-US"/>
        </w:rPr>
        <w:t xml:space="preserve"> the quality of judicial decisions by expanding the pool of interpretive resources, and it strengthens judicial legitimacy by demonstrating that a court’s interpretation aligns with that of other respected tribunals. The patterns identified in this paper suggest that these resources remain largely untapped in climate litigation, even as the advisory opinions from ITLOS, the </w:t>
      </w:r>
      <w:proofErr w:type="spellStart"/>
      <w:r w:rsidRPr="00F13AF7">
        <w:rPr>
          <w:lang w:val="en-US"/>
        </w:rPr>
        <w:t>IACtHR</w:t>
      </w:r>
      <w:proofErr w:type="spellEnd"/>
      <w:r w:rsidRPr="00F13AF7">
        <w:rPr>
          <w:lang w:val="en-US"/>
        </w:rPr>
        <w:t>, and the ICJ open new possibilities for engagement across the structural barriers that currently constrain transnational citation.</w:t>
      </w:r>
    </w:p>
    <w:p w14:paraId="463FCBA9" w14:textId="77777777" w:rsidR="001B3C08" w:rsidRPr="00F13AF7" w:rsidRDefault="00801C7F" w:rsidP="00697D9E">
      <w:pPr>
        <w:spacing w:line="480" w:lineRule="auto"/>
        <w:ind w:firstLine="720"/>
        <w:jc w:val="both"/>
        <w:rPr>
          <w:lang w:val="en-US"/>
        </w:rPr>
      </w:pPr>
      <w:r w:rsidRPr="00F13AF7">
        <w:rPr>
          <w:lang w:val="en-US"/>
        </w:rPr>
        <w:t xml:space="preserve">These findings carry implications that extend beyond the academic study of judicial dialogue. For litigation practitioners, the citation patterns mapped here offer a resource for identifying persuasive authority across jurisdictions, revealing which decisions have achieved </w:t>
      </w:r>
      <w:r w:rsidRPr="00F13AF7">
        <w:rPr>
          <w:lang w:val="en-US"/>
        </w:rPr>
        <w:lastRenderedPageBreak/>
        <w:t xml:space="preserve">transnational influence and through which pathways foreign reasoning has traveled. For courts encountering climate questions for the first time, particularly in jurisdictions where domestic precedent is scarce, the data provides an empirical basis for locating relevant foreign reasoning on comparable legal challenges, from the translation of temperature targets into enforceable obligations to the operationalization of intergenerational equity. </w:t>
      </w:r>
    </w:p>
    <w:p w14:paraId="5A40F854" w14:textId="77777777" w:rsidR="001B3C08" w:rsidRPr="00F13AF7" w:rsidRDefault="00801C7F" w:rsidP="00697D9E">
      <w:pPr>
        <w:spacing w:line="480" w:lineRule="auto"/>
        <w:ind w:firstLine="720"/>
        <w:jc w:val="both"/>
        <w:rPr>
          <w:lang w:val="en-US"/>
        </w:rPr>
      </w:pPr>
      <w:r w:rsidRPr="00F13AF7">
        <w:rPr>
          <w:lang w:val="en-US"/>
        </w:rPr>
        <w:t xml:space="preserve">At the institutional level, the asymmetries documented in this paper point to interventions that respond to identified barriers rather than hypothetical ones. The expansion of international databases to improve coverage and visibility of decisions from underrepresented jurisdictions would reduce the institutional visibility gap that the data reveals. </w:t>
      </w:r>
    </w:p>
    <w:p w14:paraId="0C86EEA2" w14:textId="0FFF2DDF" w:rsidR="004B6DB1" w:rsidRPr="00F13AF7" w:rsidRDefault="001B3C08" w:rsidP="00E02AF6">
      <w:pPr>
        <w:spacing w:line="480" w:lineRule="auto"/>
        <w:ind w:firstLine="720"/>
        <w:jc w:val="both"/>
        <w:rPr>
          <w:lang w:val="en-US"/>
        </w:rPr>
      </w:pPr>
      <w:r w:rsidRPr="00F13AF7">
        <w:rPr>
          <w:lang w:val="en-US"/>
        </w:rPr>
        <w:t xml:space="preserve">Finally, and probably most importantly, </w:t>
      </w:r>
      <w:r w:rsidR="00E02AF6" w:rsidRPr="00F13AF7">
        <w:rPr>
          <w:lang w:val="en-US"/>
        </w:rPr>
        <w:t xml:space="preserve">the identification of a severe lack of dialogue can be the initial argument for the </w:t>
      </w:r>
      <w:r w:rsidR="00801C7F" w:rsidRPr="00F13AF7">
        <w:rPr>
          <w:lang w:val="en-US"/>
        </w:rPr>
        <w:t xml:space="preserve">development of structured mechanisms for judicial exchange in climate matters, whether through judicial networks, annotated case compilations, or dedicated platforms, </w:t>
      </w:r>
      <w:r w:rsidR="00E02AF6" w:rsidRPr="00F13AF7">
        <w:rPr>
          <w:lang w:val="en-US"/>
        </w:rPr>
        <w:t xml:space="preserve">which </w:t>
      </w:r>
      <w:r w:rsidR="00801C7F" w:rsidRPr="00F13AF7">
        <w:rPr>
          <w:lang w:val="en-US"/>
        </w:rPr>
        <w:t xml:space="preserve">could facilitate the kind of cross-jurisdictional engagement that at present occurs only </w:t>
      </w:r>
      <w:r w:rsidR="0083479A" w:rsidRPr="00F13AF7">
        <w:rPr>
          <w:lang w:val="en-US"/>
        </w:rPr>
        <w:t>erratically</w:t>
      </w:r>
      <w:r w:rsidR="00801C7F" w:rsidRPr="00F13AF7">
        <w:rPr>
          <w:lang w:val="en-US"/>
        </w:rPr>
        <w:t xml:space="preserve">. </w:t>
      </w:r>
    </w:p>
    <w:p w14:paraId="2F7D6491" w14:textId="5C8E298F" w:rsidR="004B6DB1" w:rsidRPr="00697D9E" w:rsidRDefault="00801C7F" w:rsidP="00697D9E">
      <w:pPr>
        <w:spacing w:line="480" w:lineRule="auto"/>
        <w:ind w:firstLine="720"/>
        <w:jc w:val="both"/>
        <w:rPr>
          <w:lang w:val="en-US"/>
        </w:rPr>
      </w:pPr>
      <w:r w:rsidRPr="00F13AF7">
        <w:rPr>
          <w:lang w:val="en-US"/>
        </w:rPr>
        <w:t>This paper has presented early-stage findings from a broader doctoral research project that examines the conditions, barriers, and institutional foundations of transnational judicial dialogue in climate litigation. The author</w:t>
      </w:r>
      <w:r w:rsidR="0083479A" w:rsidRPr="00F13AF7">
        <w:rPr>
          <w:lang w:val="en-US"/>
        </w:rPr>
        <w:t>s</w:t>
      </w:r>
      <w:r w:rsidRPr="00F13AF7">
        <w:rPr>
          <w:lang w:val="en-US"/>
        </w:rPr>
        <w:t xml:space="preserve"> welcome the constructive engagement of the Colloquium’s participants in shaping the direction of this work.</w:t>
      </w:r>
    </w:p>
    <w:sectPr w:rsidR="004B6DB1" w:rsidRPr="00697D9E">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C85B9" w14:textId="77777777" w:rsidR="009D4971" w:rsidRDefault="009D4971">
      <w:r>
        <w:separator/>
      </w:r>
    </w:p>
  </w:endnote>
  <w:endnote w:type="continuationSeparator" w:id="0">
    <w:p w14:paraId="61B630CB" w14:textId="77777777" w:rsidR="009D4971" w:rsidRDefault="009D4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8367" w14:textId="77777777" w:rsidR="004B6DB1" w:rsidRDefault="00801C7F">
    <w:pPr>
      <w:jc w:val="center"/>
    </w:pPr>
    <w:r>
      <w:rPr>
        <w:sz w:val="20"/>
        <w:szCs w:val="20"/>
      </w:rPr>
      <w:fldChar w:fldCharType="begin"/>
    </w:r>
    <w:r>
      <w:rPr>
        <w:sz w:val="20"/>
        <w:szCs w:val="20"/>
      </w:rPr>
      <w:instrText>PAGE</w:instrText>
    </w:r>
    <w:r>
      <w:rPr>
        <w:sz w:val="20"/>
        <w:szCs w:val="20"/>
      </w:rPr>
      <w:fldChar w:fldCharType="separate"/>
    </w:r>
    <w:r w:rsidR="00697D9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D4B3D" w14:textId="77777777" w:rsidR="009D4971" w:rsidRDefault="009D4971">
      <w:r>
        <w:separator/>
      </w:r>
    </w:p>
  </w:footnote>
  <w:footnote w:type="continuationSeparator" w:id="0">
    <w:p w14:paraId="494E54DA" w14:textId="77777777" w:rsidR="009D4971" w:rsidRDefault="009D4971">
      <w:r>
        <w:continuationSeparator/>
      </w:r>
    </w:p>
  </w:footnote>
  <w:footnote w:id="1">
    <w:p w14:paraId="54D99186" w14:textId="09CDA54E" w:rsidR="004B6DB1" w:rsidRPr="00F13AF7" w:rsidRDefault="00801C7F" w:rsidP="00176A31">
      <w:pPr>
        <w:jc w:val="both"/>
        <w:rPr>
          <w:lang w:val="en-US"/>
        </w:rPr>
      </w:pPr>
      <w:r w:rsidRPr="00F13AF7">
        <w:rPr>
          <w:rStyle w:val="Refdenotaderodap"/>
        </w:rPr>
        <w:footnoteRef/>
      </w:r>
      <w:r w:rsidR="00445A18" w:rsidRPr="00F13AF7">
        <w:rPr>
          <w:sz w:val="20"/>
          <w:szCs w:val="20"/>
          <w:lang w:val="en-US"/>
        </w:rPr>
        <w:t xml:space="preserve"> </w:t>
      </w:r>
      <w:r w:rsidRPr="00F13AF7">
        <w:rPr>
          <w:sz w:val="20"/>
          <w:szCs w:val="20"/>
          <w:lang w:val="en-US"/>
        </w:rPr>
        <w:t xml:space="preserve">Setzer, J., &amp; Vanhala, L. C. (2019). Climate change litigation: A review of research on courts and litigants in climate governance. </w:t>
      </w:r>
      <w:r w:rsidRPr="00F13AF7">
        <w:rPr>
          <w:i/>
          <w:iCs/>
          <w:sz w:val="20"/>
          <w:szCs w:val="20"/>
          <w:lang w:val="en-US"/>
        </w:rPr>
        <w:t>WIREs Climate Change</w:t>
      </w:r>
      <w:r w:rsidRPr="00F13AF7">
        <w:rPr>
          <w:sz w:val="20"/>
          <w:szCs w:val="20"/>
          <w:lang w:val="en-US"/>
        </w:rPr>
        <w:t>, 10(3), e580.</w:t>
      </w:r>
    </w:p>
  </w:footnote>
  <w:footnote w:id="2">
    <w:p w14:paraId="39B0A76F" w14:textId="314B4AEC" w:rsidR="004B6DB1" w:rsidRPr="00F13AF7" w:rsidRDefault="00801C7F" w:rsidP="00176A31">
      <w:pPr>
        <w:jc w:val="both"/>
        <w:rPr>
          <w:lang w:val="en-US"/>
        </w:rPr>
      </w:pPr>
      <w:r w:rsidRPr="00F13AF7">
        <w:rPr>
          <w:rStyle w:val="Refdenotaderodap"/>
        </w:rPr>
        <w:footnoteRef/>
      </w:r>
      <w:r w:rsidR="00445A18" w:rsidRPr="00F13AF7">
        <w:rPr>
          <w:sz w:val="20"/>
          <w:szCs w:val="20"/>
          <w:lang w:val="en-US"/>
        </w:rPr>
        <w:t xml:space="preserve"> </w:t>
      </w:r>
      <w:r w:rsidRPr="00F13AF7">
        <w:rPr>
          <w:sz w:val="20"/>
          <w:szCs w:val="20"/>
          <w:lang w:val="en-US"/>
        </w:rPr>
        <w:t xml:space="preserve">Setzer, J., &amp; Higham, C. (2025). </w:t>
      </w:r>
      <w:r w:rsidRPr="00F13AF7">
        <w:rPr>
          <w:i/>
          <w:iCs/>
          <w:sz w:val="20"/>
          <w:szCs w:val="20"/>
          <w:lang w:val="en-US"/>
        </w:rPr>
        <w:t>Global trends in climate change litigation: 2025 snapshot</w:t>
      </w:r>
      <w:r w:rsidRPr="00F13AF7">
        <w:rPr>
          <w:sz w:val="20"/>
          <w:szCs w:val="20"/>
          <w:lang w:val="en-US"/>
        </w:rPr>
        <w:t xml:space="preserve">. London School of Economics and Political Science; United Nations Environment </w:t>
      </w:r>
      <w:proofErr w:type="spellStart"/>
      <w:r w:rsidRPr="00F13AF7">
        <w:rPr>
          <w:sz w:val="20"/>
          <w:szCs w:val="20"/>
          <w:lang w:val="en-US"/>
        </w:rPr>
        <w:t>Programme</w:t>
      </w:r>
      <w:proofErr w:type="spellEnd"/>
      <w:r w:rsidRPr="00F13AF7">
        <w:rPr>
          <w:sz w:val="20"/>
          <w:szCs w:val="20"/>
          <w:lang w:val="en-US"/>
        </w:rPr>
        <w:t xml:space="preserve">. (2025). </w:t>
      </w:r>
      <w:r w:rsidRPr="00F13AF7">
        <w:rPr>
          <w:i/>
          <w:iCs/>
          <w:sz w:val="20"/>
          <w:szCs w:val="20"/>
          <w:lang w:val="en-US"/>
        </w:rPr>
        <w:t>Climate change in the courtroom: Trends, impacts and emerging lessons</w:t>
      </w:r>
      <w:r w:rsidRPr="00F13AF7">
        <w:rPr>
          <w:sz w:val="20"/>
          <w:szCs w:val="20"/>
          <w:lang w:val="en-US"/>
        </w:rPr>
        <w:t>.</w:t>
      </w:r>
    </w:p>
  </w:footnote>
  <w:footnote w:id="3">
    <w:p w14:paraId="7C1CAB16" w14:textId="77777777" w:rsidR="0063786A" w:rsidRPr="00F13AF7" w:rsidRDefault="0063786A" w:rsidP="00176A31">
      <w:pPr>
        <w:jc w:val="both"/>
        <w:rPr>
          <w:lang w:val="en-US"/>
        </w:rPr>
      </w:pPr>
      <w:r w:rsidRPr="00F13AF7">
        <w:rPr>
          <w:rStyle w:val="Refdenotaderodap"/>
        </w:rPr>
        <w:footnoteRef/>
      </w:r>
      <w:r w:rsidRPr="00F13AF7">
        <w:rPr>
          <w:sz w:val="20"/>
          <w:szCs w:val="20"/>
          <w:lang w:val="en-US"/>
        </w:rPr>
        <w:t xml:space="preserve"> Jodoin, S., &amp; Wewerinke-Singh, M. (2025). Legal mobilization in a global context: The transnational practices and diffusion of rights-based climate litigation. </w:t>
      </w:r>
      <w:r w:rsidRPr="00F13AF7">
        <w:rPr>
          <w:i/>
          <w:iCs/>
          <w:sz w:val="20"/>
          <w:szCs w:val="20"/>
          <w:lang w:val="en-US"/>
        </w:rPr>
        <w:t>Law &amp; Society Review</w:t>
      </w:r>
      <w:r w:rsidRPr="00F13AF7">
        <w:rPr>
          <w:sz w:val="20"/>
          <w:szCs w:val="20"/>
          <w:lang w:val="en-US"/>
        </w:rPr>
        <w:t>, 59(1), 17–49.</w:t>
      </w:r>
    </w:p>
  </w:footnote>
  <w:footnote w:id="4">
    <w:p w14:paraId="23469DEB" w14:textId="22791A9F" w:rsidR="004B6DB1" w:rsidRPr="00F13AF7" w:rsidRDefault="00801C7F" w:rsidP="00176A31">
      <w:pPr>
        <w:jc w:val="both"/>
        <w:rPr>
          <w:lang w:val="fr-FR"/>
        </w:rPr>
      </w:pPr>
      <w:r w:rsidRPr="00F13AF7">
        <w:rPr>
          <w:rStyle w:val="Refdenotaderodap"/>
        </w:rPr>
        <w:footnoteRef/>
      </w:r>
      <w:r w:rsidR="00445A18" w:rsidRPr="00F13AF7">
        <w:rPr>
          <w:sz w:val="20"/>
          <w:szCs w:val="20"/>
          <w:lang w:val="en-US"/>
        </w:rPr>
        <w:t xml:space="preserve"> </w:t>
      </w:r>
      <w:r w:rsidRPr="00F13AF7">
        <w:rPr>
          <w:sz w:val="20"/>
          <w:szCs w:val="20"/>
          <w:lang w:val="en-US"/>
        </w:rPr>
        <w:t xml:space="preserve">Bañuelos, J. A. C., &amp; Samuel, S. A. (2025). </w:t>
      </w:r>
      <w:r w:rsidRPr="00F13AF7">
        <w:rPr>
          <w:i/>
          <w:iCs/>
          <w:sz w:val="20"/>
          <w:szCs w:val="20"/>
          <w:lang w:val="fr-FR"/>
        </w:rPr>
        <w:t>Judicial Convergence on Climate Change</w:t>
      </w:r>
      <w:r w:rsidRPr="00F13AF7">
        <w:rPr>
          <w:sz w:val="20"/>
          <w:szCs w:val="20"/>
          <w:lang w:val="fr-FR"/>
        </w:rPr>
        <w:t>, p. 121.</w:t>
      </w:r>
    </w:p>
  </w:footnote>
  <w:footnote w:id="5">
    <w:p w14:paraId="6724FD70" w14:textId="203939E9" w:rsidR="004B6DB1" w:rsidRPr="00F13AF7" w:rsidRDefault="00801C7F" w:rsidP="00176A31">
      <w:pPr>
        <w:jc w:val="both"/>
        <w:rPr>
          <w:lang w:val="en-US"/>
        </w:rPr>
      </w:pPr>
      <w:r w:rsidRPr="00F13AF7">
        <w:rPr>
          <w:rStyle w:val="Refdenotaderodap"/>
        </w:rPr>
        <w:footnoteRef/>
      </w:r>
      <w:r w:rsidR="00445A18" w:rsidRPr="00F13AF7">
        <w:rPr>
          <w:sz w:val="20"/>
          <w:szCs w:val="20"/>
          <w:lang w:val="en-US"/>
        </w:rPr>
        <w:t xml:space="preserve"> </w:t>
      </w:r>
      <w:r w:rsidRPr="00F13AF7">
        <w:rPr>
          <w:sz w:val="20"/>
          <w:szCs w:val="20"/>
          <w:lang w:val="en-US"/>
        </w:rPr>
        <w:t xml:space="preserve">Rodríguez Garavito, C. (Ed.). (2023). </w:t>
      </w:r>
      <w:r w:rsidRPr="00F13AF7">
        <w:rPr>
          <w:i/>
          <w:iCs/>
          <w:sz w:val="20"/>
          <w:szCs w:val="20"/>
          <w:lang w:val="en-US"/>
        </w:rPr>
        <w:t>Litigating the climate emergency: How human rights, courts, and legal mobilization can bolster climate action</w:t>
      </w:r>
      <w:r w:rsidRPr="00F13AF7">
        <w:rPr>
          <w:sz w:val="20"/>
          <w:szCs w:val="20"/>
          <w:lang w:val="en-US"/>
        </w:rPr>
        <w:t>. Cambridge University Press, p. 27.</w:t>
      </w:r>
    </w:p>
  </w:footnote>
  <w:footnote w:id="6">
    <w:p w14:paraId="111B8CF4" w14:textId="45052FCE" w:rsidR="004B6DB1" w:rsidRPr="00F13AF7" w:rsidRDefault="00801C7F" w:rsidP="00176A31">
      <w:pPr>
        <w:jc w:val="both"/>
        <w:rPr>
          <w:lang w:val="en-US"/>
        </w:rPr>
      </w:pPr>
      <w:r w:rsidRPr="00F13AF7">
        <w:rPr>
          <w:rStyle w:val="Refdenotaderodap"/>
        </w:rPr>
        <w:footnoteRef/>
      </w:r>
      <w:r w:rsidR="00445A18" w:rsidRPr="00F13AF7">
        <w:rPr>
          <w:sz w:val="20"/>
          <w:szCs w:val="20"/>
          <w:lang w:val="en-US"/>
        </w:rPr>
        <w:t xml:space="preserve"> </w:t>
      </w:r>
      <w:r w:rsidRPr="00F13AF7">
        <w:rPr>
          <w:sz w:val="20"/>
          <w:szCs w:val="20"/>
          <w:lang w:val="en-US"/>
        </w:rPr>
        <w:t xml:space="preserve">Tigre, M. A. (2021). Major developments for global climate litigation. Climate Law Blog; Affolder and </w:t>
      </w:r>
      <w:proofErr w:type="spellStart"/>
      <w:r w:rsidRPr="00F13AF7">
        <w:rPr>
          <w:sz w:val="20"/>
          <w:szCs w:val="20"/>
          <w:lang w:val="en-US"/>
        </w:rPr>
        <w:t>Dzah</w:t>
      </w:r>
      <w:proofErr w:type="spellEnd"/>
      <w:r w:rsidRPr="00F13AF7">
        <w:rPr>
          <w:sz w:val="20"/>
          <w:szCs w:val="20"/>
          <w:lang w:val="en-US"/>
        </w:rPr>
        <w:t xml:space="preserve"> in </w:t>
      </w:r>
      <w:proofErr w:type="spellStart"/>
      <w:r w:rsidRPr="00F13AF7">
        <w:rPr>
          <w:sz w:val="20"/>
          <w:szCs w:val="20"/>
          <w:lang w:val="en-US"/>
        </w:rPr>
        <w:t>Sindico</w:t>
      </w:r>
      <w:proofErr w:type="spellEnd"/>
      <w:r w:rsidRPr="00F13AF7">
        <w:rPr>
          <w:sz w:val="20"/>
          <w:szCs w:val="20"/>
          <w:lang w:val="en-US"/>
        </w:rPr>
        <w:t xml:space="preserve">, F. et al. (Eds.). (2024). </w:t>
      </w:r>
      <w:r w:rsidRPr="00F13AF7">
        <w:rPr>
          <w:i/>
          <w:iCs/>
          <w:sz w:val="20"/>
          <w:szCs w:val="20"/>
          <w:lang w:val="en-US"/>
        </w:rPr>
        <w:t>Research handbook on climate change litigation</w:t>
      </w:r>
      <w:r w:rsidRPr="00F13AF7">
        <w:rPr>
          <w:sz w:val="20"/>
          <w:szCs w:val="20"/>
          <w:lang w:val="en-US"/>
        </w:rPr>
        <w:t xml:space="preserve">. Edward Elgar Publishing; Niehaus, M. (2023). </w:t>
      </w:r>
      <w:r w:rsidRPr="00F13AF7">
        <w:rPr>
          <w:i/>
          <w:iCs/>
          <w:sz w:val="20"/>
          <w:szCs w:val="20"/>
          <w:lang w:val="en-US"/>
        </w:rPr>
        <w:t>Global Climate Constitutionalism from Below</w:t>
      </w:r>
      <w:r w:rsidRPr="00F13AF7">
        <w:rPr>
          <w:sz w:val="20"/>
          <w:szCs w:val="20"/>
          <w:lang w:val="en-US"/>
        </w:rPr>
        <w:t>. Springer.</w:t>
      </w:r>
    </w:p>
  </w:footnote>
  <w:footnote w:id="7">
    <w:p w14:paraId="68FB2941" w14:textId="5A8C335B" w:rsidR="004B6DB1" w:rsidRPr="00F13AF7" w:rsidRDefault="00801C7F" w:rsidP="00176A31">
      <w:pPr>
        <w:jc w:val="both"/>
        <w:rPr>
          <w:lang w:val="en-US"/>
        </w:rPr>
      </w:pPr>
      <w:r w:rsidRPr="00F13AF7">
        <w:rPr>
          <w:rStyle w:val="Refdenotaderodap"/>
        </w:rPr>
        <w:footnoteRef/>
      </w:r>
      <w:r w:rsidR="00445A18" w:rsidRPr="00F13AF7">
        <w:rPr>
          <w:sz w:val="20"/>
          <w:szCs w:val="20"/>
          <w:lang w:val="en-US"/>
        </w:rPr>
        <w:t xml:space="preserve"> </w:t>
      </w:r>
      <w:r w:rsidR="002C0223" w:rsidRPr="00F13AF7">
        <w:rPr>
          <w:sz w:val="20"/>
          <w:szCs w:val="20"/>
          <w:lang w:val="en-US"/>
        </w:rPr>
        <w:t xml:space="preserve">Casper, K., Fournier, L., Harvey, R., Jonker-Argueta, M., Valente, K., &amp; Sharma, A. (2024). Breaking the </w:t>
      </w:r>
      <w:proofErr w:type="spellStart"/>
      <w:r w:rsidR="002C0223" w:rsidRPr="00F13AF7">
        <w:rPr>
          <w:sz w:val="20"/>
          <w:szCs w:val="20"/>
          <w:lang w:val="en-US"/>
        </w:rPr>
        <w:t>mould</w:t>
      </w:r>
      <w:proofErr w:type="spellEnd"/>
      <w:r w:rsidR="002C0223" w:rsidRPr="00F13AF7">
        <w:rPr>
          <w:sz w:val="20"/>
          <w:szCs w:val="20"/>
          <w:lang w:val="en-US"/>
        </w:rPr>
        <w:t xml:space="preserve"> in the strategic design and implementation of climate litigation. In F. </w:t>
      </w:r>
      <w:proofErr w:type="spellStart"/>
      <w:r w:rsidR="002C0223" w:rsidRPr="00F13AF7">
        <w:rPr>
          <w:sz w:val="20"/>
          <w:szCs w:val="20"/>
          <w:lang w:val="en-US"/>
        </w:rPr>
        <w:t>Sindico</w:t>
      </w:r>
      <w:proofErr w:type="spellEnd"/>
      <w:r w:rsidR="002C0223" w:rsidRPr="00F13AF7">
        <w:rPr>
          <w:sz w:val="20"/>
          <w:szCs w:val="20"/>
          <w:lang w:val="en-US"/>
        </w:rPr>
        <w:t xml:space="preserve">, K. McKenzie, G. Médici Colombo, &amp; L. Wegener (Eds.), </w:t>
      </w:r>
      <w:r w:rsidR="002C0223" w:rsidRPr="00F13AF7">
        <w:rPr>
          <w:i/>
          <w:iCs/>
          <w:sz w:val="20"/>
          <w:szCs w:val="20"/>
          <w:lang w:val="en-US"/>
        </w:rPr>
        <w:t>Research handbook on climate change litigation</w:t>
      </w:r>
      <w:r w:rsidR="009D330D" w:rsidRPr="00F13AF7">
        <w:rPr>
          <w:i/>
          <w:iCs/>
          <w:sz w:val="20"/>
          <w:szCs w:val="20"/>
          <w:lang w:val="en-US"/>
        </w:rPr>
        <w:t xml:space="preserve"> </w:t>
      </w:r>
      <w:r w:rsidR="009D330D" w:rsidRPr="00F13AF7">
        <w:rPr>
          <w:sz w:val="20"/>
          <w:szCs w:val="20"/>
          <w:lang w:val="en-US"/>
        </w:rPr>
        <w:t>(p. 56)</w:t>
      </w:r>
      <w:r w:rsidR="002C0223" w:rsidRPr="00F13AF7">
        <w:rPr>
          <w:sz w:val="20"/>
          <w:szCs w:val="20"/>
          <w:lang w:val="en-US"/>
        </w:rPr>
        <w:t>. Edward Elgar Publishing</w:t>
      </w:r>
      <w:r w:rsidR="009D330D" w:rsidRPr="00F13AF7">
        <w:rPr>
          <w:sz w:val="20"/>
          <w:szCs w:val="20"/>
          <w:lang w:val="en-US"/>
        </w:rPr>
        <w:t>.</w:t>
      </w:r>
    </w:p>
  </w:footnote>
  <w:footnote w:id="8">
    <w:p w14:paraId="066AA0CC" w14:textId="0A743C2C" w:rsidR="004B6DB1" w:rsidRPr="00F13AF7" w:rsidRDefault="00801C7F" w:rsidP="00176A31">
      <w:pPr>
        <w:jc w:val="both"/>
        <w:rPr>
          <w:lang w:val="en-US"/>
        </w:rPr>
      </w:pPr>
      <w:r w:rsidRPr="00F13AF7">
        <w:rPr>
          <w:rStyle w:val="Refdenotaderodap"/>
        </w:rPr>
        <w:footnoteRef/>
      </w:r>
      <w:r w:rsidR="00445A18" w:rsidRPr="00F13AF7">
        <w:rPr>
          <w:sz w:val="20"/>
          <w:szCs w:val="20"/>
          <w:lang w:val="en-US"/>
        </w:rPr>
        <w:t xml:space="preserve"> </w:t>
      </w:r>
      <w:r w:rsidRPr="00F13AF7">
        <w:rPr>
          <w:sz w:val="20"/>
          <w:szCs w:val="20"/>
          <w:lang w:val="en-US"/>
        </w:rPr>
        <w:t xml:space="preserve">Peel, J., &amp; Lin, J. (2019). Transnational Climate Litigation: The Contribution of the Global South. </w:t>
      </w:r>
      <w:r w:rsidRPr="00F13AF7">
        <w:rPr>
          <w:i/>
          <w:iCs/>
          <w:sz w:val="20"/>
          <w:szCs w:val="20"/>
          <w:lang w:val="en-US"/>
        </w:rPr>
        <w:t>American Journal of International Law</w:t>
      </w:r>
      <w:r w:rsidRPr="00F13AF7">
        <w:rPr>
          <w:sz w:val="20"/>
          <w:szCs w:val="20"/>
          <w:lang w:val="en-US"/>
        </w:rPr>
        <w:t>, 113(4), 679–726.</w:t>
      </w:r>
    </w:p>
  </w:footnote>
  <w:footnote w:id="9">
    <w:p w14:paraId="43A76117" w14:textId="283528B2" w:rsidR="004B6DB1" w:rsidRPr="00F13AF7" w:rsidRDefault="00801C7F" w:rsidP="00176A31">
      <w:pPr>
        <w:jc w:val="both"/>
        <w:rPr>
          <w:lang w:val="en-US"/>
        </w:rPr>
      </w:pPr>
      <w:r w:rsidRPr="00F13AF7">
        <w:rPr>
          <w:rStyle w:val="Refdenotaderodap"/>
        </w:rPr>
        <w:footnoteRef/>
      </w:r>
      <w:r w:rsidR="00445A18" w:rsidRPr="00F13AF7">
        <w:rPr>
          <w:sz w:val="20"/>
          <w:szCs w:val="20"/>
          <w:lang w:val="en-US"/>
        </w:rPr>
        <w:t xml:space="preserve"> </w:t>
      </w:r>
      <w:r w:rsidRPr="00F13AF7">
        <w:rPr>
          <w:sz w:val="20"/>
          <w:szCs w:val="20"/>
          <w:lang w:val="en-US"/>
        </w:rPr>
        <w:t xml:space="preserve">United Nations Environment </w:t>
      </w:r>
      <w:proofErr w:type="spellStart"/>
      <w:r w:rsidRPr="00F13AF7">
        <w:rPr>
          <w:sz w:val="20"/>
          <w:szCs w:val="20"/>
          <w:lang w:val="en-US"/>
        </w:rPr>
        <w:t>Programme</w:t>
      </w:r>
      <w:proofErr w:type="spellEnd"/>
      <w:r w:rsidRPr="00F13AF7">
        <w:rPr>
          <w:sz w:val="20"/>
          <w:szCs w:val="20"/>
          <w:lang w:val="en-US"/>
        </w:rPr>
        <w:t xml:space="preserve">. (2025). </w:t>
      </w:r>
      <w:r w:rsidRPr="00F13AF7">
        <w:rPr>
          <w:i/>
          <w:iCs/>
          <w:sz w:val="20"/>
          <w:szCs w:val="20"/>
          <w:lang w:val="en-US"/>
        </w:rPr>
        <w:t>Climate change in the courtroom: Trends, impacts and emerging lessons</w:t>
      </w:r>
      <w:r w:rsidRPr="00F13AF7">
        <w:rPr>
          <w:sz w:val="20"/>
          <w:szCs w:val="20"/>
          <w:lang w:val="en-US"/>
        </w:rPr>
        <w:t>. The report identifies eight emerging themes, including ‘</w:t>
      </w:r>
      <w:proofErr w:type="spellStart"/>
      <w:r w:rsidRPr="00F13AF7">
        <w:rPr>
          <w:sz w:val="20"/>
          <w:szCs w:val="20"/>
          <w:lang w:val="en-US"/>
        </w:rPr>
        <w:t>transjudicial</w:t>
      </w:r>
      <w:proofErr w:type="spellEnd"/>
      <w:r w:rsidRPr="00F13AF7">
        <w:rPr>
          <w:sz w:val="20"/>
          <w:szCs w:val="20"/>
          <w:lang w:val="en-US"/>
        </w:rPr>
        <w:t xml:space="preserve"> dialogues are shaping climate litigation,’ recognizing that courts are increasingly looking to reasoning developed in other jurisdictions when adjudicating climate cases.</w:t>
      </w:r>
    </w:p>
  </w:footnote>
  <w:footnote w:id="10">
    <w:p w14:paraId="074484ED" w14:textId="08701E54" w:rsidR="004B6DB1" w:rsidRPr="00F13AF7" w:rsidRDefault="00801C7F" w:rsidP="00176A31">
      <w:pPr>
        <w:jc w:val="both"/>
        <w:rPr>
          <w:lang w:val="en-US"/>
        </w:rPr>
      </w:pPr>
      <w:r w:rsidRPr="00F13AF7">
        <w:rPr>
          <w:rStyle w:val="Refdenotaderodap"/>
        </w:rPr>
        <w:footnoteRef/>
      </w:r>
      <w:r w:rsidR="00445A18" w:rsidRPr="00F13AF7">
        <w:rPr>
          <w:sz w:val="20"/>
          <w:szCs w:val="20"/>
          <w:lang w:val="en-US"/>
        </w:rPr>
        <w:t xml:space="preserve"> </w:t>
      </w:r>
      <w:r w:rsidR="00577742" w:rsidRPr="00F13AF7">
        <w:rPr>
          <w:sz w:val="20"/>
          <w:szCs w:val="20"/>
          <w:lang w:val="en-US"/>
        </w:rPr>
        <w:t xml:space="preserve">United Nations Environment </w:t>
      </w:r>
      <w:proofErr w:type="spellStart"/>
      <w:r w:rsidR="00577742" w:rsidRPr="00F13AF7">
        <w:rPr>
          <w:sz w:val="20"/>
          <w:szCs w:val="20"/>
          <w:lang w:val="en-US"/>
        </w:rPr>
        <w:t>Programme</w:t>
      </w:r>
      <w:proofErr w:type="spellEnd"/>
      <w:r w:rsidR="00577742" w:rsidRPr="00F13AF7">
        <w:rPr>
          <w:sz w:val="20"/>
          <w:szCs w:val="20"/>
          <w:lang w:val="en-US"/>
        </w:rPr>
        <w:t xml:space="preserve">. (2025). </w:t>
      </w:r>
      <w:r w:rsidR="00577742" w:rsidRPr="00F13AF7">
        <w:rPr>
          <w:i/>
          <w:iCs/>
          <w:sz w:val="20"/>
          <w:szCs w:val="20"/>
          <w:lang w:val="en-US"/>
        </w:rPr>
        <w:t>Emissions Gap Report 2025: Off Target — Continued collective inaction puts global temperature goal at risk</w:t>
      </w:r>
      <w:r w:rsidR="00577742" w:rsidRPr="00F13AF7">
        <w:rPr>
          <w:sz w:val="20"/>
          <w:szCs w:val="20"/>
          <w:lang w:val="en-US"/>
        </w:rPr>
        <w:t xml:space="preserve">. UNEP. </w:t>
      </w:r>
      <w:r w:rsidRPr="00F13AF7">
        <w:rPr>
          <w:sz w:val="20"/>
          <w:szCs w:val="20"/>
          <w:lang w:val="en-US"/>
        </w:rPr>
        <w:t>The report documents that a significant implementation gap persists, with countries not on track to meet their 2030 nationally determined contributions, and that the withdrawal of the United States from the Paris Agreement will offset projected improvements. The report further notes that accelerating emissions reductions would require navigating a challenging geopolitical environment. See also Setzer &amp; Higham (2025), pp. 3–5, documenting political headwinds that are reshaping the landscape of climate litigation, with 60 of 226 cases filed in 2024 classified as involving arguments not aligned with climate goals.</w:t>
      </w:r>
    </w:p>
  </w:footnote>
  <w:footnote w:id="11">
    <w:p w14:paraId="6AAC3C35" w14:textId="756FEA52" w:rsidR="004B6DB1" w:rsidRPr="00F13AF7" w:rsidRDefault="00801C7F" w:rsidP="00176A31">
      <w:pPr>
        <w:jc w:val="both"/>
        <w:rPr>
          <w:lang w:val="en-US"/>
        </w:rPr>
      </w:pPr>
      <w:r w:rsidRPr="00F13AF7">
        <w:rPr>
          <w:rStyle w:val="Refdenotaderodap"/>
        </w:rPr>
        <w:footnoteRef/>
      </w:r>
      <w:r w:rsidR="00445A18" w:rsidRPr="00F13AF7">
        <w:rPr>
          <w:sz w:val="20"/>
          <w:szCs w:val="20"/>
          <w:lang w:val="en-US"/>
        </w:rPr>
        <w:t xml:space="preserve"> </w:t>
      </w:r>
      <w:r w:rsidR="00371657" w:rsidRPr="00F13AF7">
        <w:rPr>
          <w:sz w:val="20"/>
          <w:szCs w:val="20"/>
          <w:lang w:val="en-US"/>
        </w:rPr>
        <w:t xml:space="preserve">Intergovernmental Panel on Climate Change. (2022). National and sub-national policies and institutions. In P. R. Shukla et al. (Eds.), </w:t>
      </w:r>
      <w:r w:rsidR="00371657" w:rsidRPr="00F13AF7">
        <w:rPr>
          <w:i/>
          <w:iCs/>
          <w:sz w:val="20"/>
          <w:szCs w:val="20"/>
          <w:lang w:val="en-US"/>
        </w:rPr>
        <w:t>Climate Change 2022: Mitigation of Climate Change</w:t>
      </w:r>
      <w:r w:rsidR="00371657" w:rsidRPr="00F13AF7">
        <w:rPr>
          <w:sz w:val="20"/>
          <w:szCs w:val="20"/>
          <w:lang w:val="en-US"/>
        </w:rPr>
        <w:t xml:space="preserve"> (pp. 1355–1450). Cambridge University Press</w:t>
      </w:r>
      <w:r w:rsidRPr="00F13AF7">
        <w:rPr>
          <w:sz w:val="20"/>
          <w:szCs w:val="20"/>
          <w:lang w:val="en-US"/>
        </w:rPr>
        <w:t>.</w:t>
      </w:r>
    </w:p>
  </w:footnote>
  <w:footnote w:id="12">
    <w:p w14:paraId="6C8E9B5D" w14:textId="73FF7A86" w:rsidR="004B6DB1" w:rsidRPr="00F13AF7" w:rsidRDefault="00801C7F" w:rsidP="00176A31">
      <w:pPr>
        <w:jc w:val="both"/>
        <w:rPr>
          <w:lang w:val="en-US"/>
        </w:rPr>
      </w:pPr>
      <w:r w:rsidRPr="00F13AF7">
        <w:rPr>
          <w:rStyle w:val="Refdenotaderodap"/>
        </w:rPr>
        <w:footnoteRef/>
      </w:r>
      <w:r w:rsidR="00445A18" w:rsidRPr="00F13AF7">
        <w:rPr>
          <w:sz w:val="20"/>
          <w:szCs w:val="20"/>
          <w:lang w:val="en-US"/>
        </w:rPr>
        <w:t xml:space="preserve"> </w:t>
      </w:r>
      <w:r w:rsidR="000E0EB3" w:rsidRPr="00F13AF7">
        <w:rPr>
          <w:sz w:val="20"/>
          <w:szCs w:val="20"/>
          <w:lang w:val="en-US"/>
        </w:rPr>
        <w:t xml:space="preserve">Müller, A. (2017). Conclusion. In A. Müller &amp; H. E. Kjos (Eds.), </w:t>
      </w:r>
      <w:r w:rsidR="000E0EB3" w:rsidRPr="00F13AF7">
        <w:rPr>
          <w:i/>
          <w:iCs/>
          <w:sz w:val="20"/>
          <w:szCs w:val="20"/>
          <w:lang w:val="en-US"/>
        </w:rPr>
        <w:t>Judicial Dialogue and Human Rights</w:t>
      </w:r>
      <w:r w:rsidR="000E0EB3" w:rsidRPr="00F13AF7">
        <w:rPr>
          <w:sz w:val="20"/>
          <w:szCs w:val="20"/>
          <w:lang w:val="en-US"/>
        </w:rPr>
        <w:t xml:space="preserve"> (pp. 504–528). Cambridge University Press</w:t>
      </w:r>
      <w:r w:rsidRPr="00F13AF7">
        <w:rPr>
          <w:sz w:val="20"/>
          <w:szCs w:val="20"/>
          <w:lang w:val="en-US"/>
        </w:rPr>
        <w:t xml:space="preserve">; </w:t>
      </w:r>
      <w:r w:rsidR="00C9435B" w:rsidRPr="00F13AF7">
        <w:rPr>
          <w:sz w:val="20"/>
          <w:szCs w:val="20"/>
          <w:lang w:val="en-US"/>
        </w:rPr>
        <w:t xml:space="preserve">Ferrer Mac Gregor Poisot, E. (2017). What do we mean when we talk about judicial </w:t>
      </w:r>
      <w:proofErr w:type="gramStart"/>
      <w:r w:rsidR="00C9435B" w:rsidRPr="00F13AF7">
        <w:rPr>
          <w:sz w:val="20"/>
          <w:szCs w:val="20"/>
          <w:lang w:val="en-US"/>
        </w:rPr>
        <w:t>dialogue?:</w:t>
      </w:r>
      <w:proofErr w:type="gramEnd"/>
      <w:r w:rsidR="00C9435B" w:rsidRPr="00F13AF7">
        <w:rPr>
          <w:sz w:val="20"/>
          <w:szCs w:val="20"/>
          <w:lang w:val="en-US"/>
        </w:rPr>
        <w:t xml:space="preserve"> Reflections of a judge of the Inter-American Court of Human Rights. </w:t>
      </w:r>
      <w:r w:rsidR="00C9435B" w:rsidRPr="00F13AF7">
        <w:rPr>
          <w:i/>
          <w:iCs/>
          <w:sz w:val="20"/>
          <w:szCs w:val="20"/>
          <w:lang w:val="en-US"/>
        </w:rPr>
        <w:t>Harvard Human Rights Journal</w:t>
      </w:r>
      <w:r w:rsidR="00C9435B" w:rsidRPr="00F13AF7">
        <w:rPr>
          <w:sz w:val="20"/>
          <w:szCs w:val="20"/>
          <w:lang w:val="en-US"/>
        </w:rPr>
        <w:t xml:space="preserve">, </w:t>
      </w:r>
      <w:r w:rsidR="00C9435B" w:rsidRPr="00F13AF7">
        <w:rPr>
          <w:i/>
          <w:iCs/>
          <w:sz w:val="20"/>
          <w:szCs w:val="20"/>
          <w:lang w:val="en-US"/>
        </w:rPr>
        <w:t>30</w:t>
      </w:r>
      <w:r w:rsidR="00C9435B" w:rsidRPr="00F13AF7">
        <w:rPr>
          <w:sz w:val="20"/>
          <w:szCs w:val="20"/>
          <w:lang w:val="en-US"/>
        </w:rPr>
        <w:t>, 89–130</w:t>
      </w:r>
      <w:r w:rsidRPr="00F13AF7">
        <w:rPr>
          <w:sz w:val="20"/>
          <w:szCs w:val="20"/>
          <w:lang w:val="en-US"/>
        </w:rPr>
        <w:t>.</w:t>
      </w:r>
    </w:p>
  </w:footnote>
  <w:footnote w:id="13">
    <w:p w14:paraId="35EB1E05" w14:textId="7E5E6F0D" w:rsidR="004B6DB1" w:rsidRPr="00F13AF7" w:rsidRDefault="00801C7F" w:rsidP="00176A31">
      <w:pPr>
        <w:jc w:val="both"/>
        <w:rPr>
          <w:lang w:val="en-US"/>
        </w:rPr>
      </w:pPr>
      <w:r w:rsidRPr="00F13AF7">
        <w:rPr>
          <w:rStyle w:val="Refdenotaderodap"/>
        </w:rPr>
        <w:footnoteRef/>
      </w:r>
      <w:r w:rsidR="00445A18" w:rsidRPr="00F13AF7">
        <w:rPr>
          <w:sz w:val="20"/>
          <w:szCs w:val="20"/>
          <w:lang w:val="en-US"/>
        </w:rPr>
        <w:t xml:space="preserve"> </w:t>
      </w:r>
      <w:r w:rsidRPr="00F13AF7">
        <w:rPr>
          <w:sz w:val="20"/>
          <w:szCs w:val="20"/>
          <w:lang w:val="en-US"/>
        </w:rPr>
        <w:t xml:space="preserve">Sandholtz, W. (2021). Human rights courts and global constitutionalism: Coordination through judicial dialogue. </w:t>
      </w:r>
      <w:r w:rsidRPr="00F13AF7">
        <w:rPr>
          <w:i/>
          <w:iCs/>
          <w:sz w:val="20"/>
          <w:szCs w:val="20"/>
          <w:lang w:val="en-US"/>
        </w:rPr>
        <w:t>Global Constitutionalism</w:t>
      </w:r>
      <w:r w:rsidRPr="00F13AF7">
        <w:rPr>
          <w:sz w:val="20"/>
          <w:szCs w:val="20"/>
          <w:lang w:val="en-US"/>
        </w:rPr>
        <w:t>, 10(3), 439–464; Gonzalez-</w:t>
      </w:r>
      <w:proofErr w:type="spellStart"/>
      <w:r w:rsidRPr="00F13AF7">
        <w:rPr>
          <w:sz w:val="20"/>
          <w:szCs w:val="20"/>
          <w:lang w:val="en-US"/>
        </w:rPr>
        <w:t>Ocantos</w:t>
      </w:r>
      <w:proofErr w:type="spellEnd"/>
      <w:r w:rsidRPr="00F13AF7">
        <w:rPr>
          <w:sz w:val="20"/>
          <w:szCs w:val="20"/>
          <w:lang w:val="en-US"/>
        </w:rPr>
        <w:t xml:space="preserve">, E., &amp; </w:t>
      </w:r>
      <w:proofErr w:type="spellStart"/>
      <w:r w:rsidRPr="00F13AF7">
        <w:rPr>
          <w:sz w:val="20"/>
          <w:szCs w:val="20"/>
          <w:lang w:val="en-US"/>
        </w:rPr>
        <w:t>Sandholtz</w:t>
      </w:r>
      <w:proofErr w:type="spellEnd"/>
      <w:r w:rsidRPr="00F13AF7">
        <w:rPr>
          <w:sz w:val="20"/>
          <w:szCs w:val="20"/>
          <w:lang w:val="en-US"/>
        </w:rPr>
        <w:t xml:space="preserve">, W. (2021). Constructing a regional human rights legal order: The Inter-American Court, national courts, and judicial dialogue, 1988–2014. </w:t>
      </w:r>
      <w:r w:rsidRPr="00F13AF7">
        <w:rPr>
          <w:i/>
          <w:iCs/>
          <w:sz w:val="20"/>
          <w:szCs w:val="20"/>
          <w:lang w:val="en-US"/>
        </w:rPr>
        <w:t>International Journal of Constitutional Law</w:t>
      </w:r>
      <w:r w:rsidRPr="00F13AF7">
        <w:rPr>
          <w:sz w:val="20"/>
          <w:szCs w:val="20"/>
          <w:lang w:val="en-US"/>
        </w:rPr>
        <w:t>, 19(5), 1559–1596.</w:t>
      </w:r>
    </w:p>
  </w:footnote>
  <w:footnote w:id="14">
    <w:p w14:paraId="3FC9AA7F" w14:textId="65948A05" w:rsidR="004B6DB1" w:rsidRPr="00F13AF7" w:rsidRDefault="00801C7F" w:rsidP="00176A31">
      <w:pPr>
        <w:jc w:val="both"/>
        <w:rPr>
          <w:lang w:val="en-US"/>
        </w:rPr>
      </w:pPr>
      <w:r w:rsidRPr="00F13AF7">
        <w:rPr>
          <w:rStyle w:val="Refdenotaderodap"/>
        </w:rPr>
        <w:footnoteRef/>
      </w:r>
      <w:r w:rsidR="00445A18" w:rsidRPr="00F13AF7">
        <w:rPr>
          <w:sz w:val="20"/>
          <w:szCs w:val="20"/>
          <w:lang w:val="en-US"/>
        </w:rPr>
        <w:t xml:space="preserve"> </w:t>
      </w:r>
      <w:r w:rsidRPr="00F13AF7">
        <w:rPr>
          <w:sz w:val="20"/>
          <w:szCs w:val="20"/>
          <w:lang w:val="en-US"/>
        </w:rPr>
        <w:t xml:space="preserve">A preliminary analysis was made by Affolder and </w:t>
      </w:r>
      <w:proofErr w:type="spellStart"/>
      <w:r w:rsidRPr="00F13AF7">
        <w:rPr>
          <w:sz w:val="20"/>
          <w:szCs w:val="20"/>
          <w:lang w:val="en-US"/>
        </w:rPr>
        <w:t>Dzah</w:t>
      </w:r>
      <w:proofErr w:type="spellEnd"/>
      <w:r w:rsidRPr="00F13AF7">
        <w:rPr>
          <w:sz w:val="20"/>
          <w:szCs w:val="20"/>
          <w:lang w:val="en-US"/>
        </w:rPr>
        <w:t xml:space="preserve"> (in </w:t>
      </w:r>
      <w:proofErr w:type="spellStart"/>
      <w:r w:rsidRPr="00F13AF7">
        <w:rPr>
          <w:sz w:val="20"/>
          <w:szCs w:val="20"/>
          <w:lang w:val="en-US"/>
        </w:rPr>
        <w:t>Sindico</w:t>
      </w:r>
      <w:proofErr w:type="spellEnd"/>
      <w:r w:rsidRPr="00F13AF7">
        <w:rPr>
          <w:sz w:val="20"/>
          <w:szCs w:val="20"/>
          <w:lang w:val="en-US"/>
        </w:rPr>
        <w:t xml:space="preserve"> et al., 2024), but the authors looked only at the most well-known </w:t>
      </w:r>
      <w:proofErr w:type="gramStart"/>
      <w:r w:rsidRPr="00F13AF7">
        <w:rPr>
          <w:sz w:val="20"/>
          <w:szCs w:val="20"/>
          <w:lang w:val="en-US"/>
        </w:rPr>
        <w:t>cases, and</w:t>
      </w:r>
      <w:proofErr w:type="gramEnd"/>
      <w:r w:rsidRPr="00F13AF7">
        <w:rPr>
          <w:sz w:val="20"/>
          <w:szCs w:val="20"/>
          <w:lang w:val="en-US"/>
        </w:rPr>
        <w:t xml:space="preserve"> recognize that ‘the broader picture of </w:t>
      </w:r>
      <w:proofErr w:type="spellStart"/>
      <w:r w:rsidRPr="00F13AF7">
        <w:rPr>
          <w:sz w:val="20"/>
          <w:szCs w:val="20"/>
          <w:lang w:val="en-US"/>
        </w:rPr>
        <w:t>transjudicial</w:t>
      </w:r>
      <w:proofErr w:type="spellEnd"/>
      <w:r w:rsidRPr="00F13AF7">
        <w:rPr>
          <w:sz w:val="20"/>
          <w:szCs w:val="20"/>
          <w:lang w:val="en-US"/>
        </w:rPr>
        <w:t xml:space="preserve"> communication through climate litigation is far greater than the parts we have been able to distill in this short chapter.’</w:t>
      </w:r>
    </w:p>
  </w:footnote>
  <w:footnote w:id="15">
    <w:p w14:paraId="369EAF37" w14:textId="0E7FCA92" w:rsidR="004B6DB1" w:rsidRPr="00F13AF7" w:rsidRDefault="00801C7F" w:rsidP="00176A31">
      <w:pPr>
        <w:jc w:val="both"/>
        <w:rPr>
          <w:lang w:val="en-US"/>
        </w:rPr>
      </w:pPr>
      <w:r w:rsidRPr="00F13AF7">
        <w:rPr>
          <w:rStyle w:val="Refdenotaderodap"/>
        </w:rPr>
        <w:footnoteRef/>
      </w:r>
      <w:r w:rsidR="00445A18" w:rsidRPr="00F13AF7">
        <w:rPr>
          <w:sz w:val="20"/>
          <w:szCs w:val="20"/>
          <w:lang w:val="en-US"/>
        </w:rPr>
        <w:t xml:space="preserve"> </w:t>
      </w:r>
      <w:r w:rsidRPr="00F13AF7">
        <w:rPr>
          <w:sz w:val="20"/>
          <w:szCs w:val="20"/>
          <w:lang w:val="en-US"/>
        </w:rPr>
        <w:t xml:space="preserve">Murcott, M. J., &amp; Tigre, M. A. (2024). Developments, Opportunities, and Complexities in Global South Climate Litigation. </w:t>
      </w:r>
      <w:r w:rsidRPr="00F13AF7">
        <w:rPr>
          <w:i/>
          <w:iCs/>
          <w:sz w:val="20"/>
          <w:szCs w:val="20"/>
          <w:lang w:val="en-US"/>
        </w:rPr>
        <w:t>Journal of Human Rights Practice</w:t>
      </w:r>
      <w:r w:rsidRPr="00F13AF7">
        <w:rPr>
          <w:sz w:val="20"/>
          <w:szCs w:val="20"/>
          <w:lang w:val="en-US"/>
        </w:rPr>
        <w:t>, 16(1), 1–24.</w:t>
      </w:r>
    </w:p>
  </w:footnote>
  <w:footnote w:id="16">
    <w:p w14:paraId="00B4AC19" w14:textId="578AF3F7" w:rsidR="004B6DB1" w:rsidRPr="00F13AF7" w:rsidRDefault="00801C7F" w:rsidP="00176A31">
      <w:pPr>
        <w:jc w:val="both"/>
        <w:rPr>
          <w:lang w:val="en-US"/>
        </w:rPr>
      </w:pPr>
      <w:r w:rsidRPr="00F13AF7">
        <w:rPr>
          <w:rStyle w:val="Refdenotaderodap"/>
        </w:rPr>
        <w:footnoteRef/>
      </w:r>
      <w:r w:rsidR="00445A18" w:rsidRPr="00F13AF7">
        <w:rPr>
          <w:sz w:val="20"/>
          <w:szCs w:val="20"/>
          <w:lang w:val="en-US"/>
        </w:rPr>
        <w:t xml:space="preserve"> </w:t>
      </w:r>
      <w:r w:rsidRPr="00F13AF7">
        <w:rPr>
          <w:sz w:val="20"/>
          <w:szCs w:val="20"/>
          <w:lang w:val="en-US"/>
        </w:rPr>
        <w:t>Sabin Center for Climate Change Law, Climate Litigation Database (2025). The definition of climate litigation adopted by this research is of cases where climate change law, policy, or science is a material issue, consistent with the Sabin Center’s database.</w:t>
      </w:r>
    </w:p>
  </w:footnote>
  <w:footnote w:id="17">
    <w:p w14:paraId="2E3AE9C4" w14:textId="3126AB7B" w:rsidR="004B6DB1" w:rsidRPr="00F13AF7" w:rsidRDefault="00801C7F" w:rsidP="00176A31">
      <w:pPr>
        <w:jc w:val="both"/>
        <w:rPr>
          <w:lang w:val="en-US"/>
        </w:rPr>
      </w:pPr>
      <w:r w:rsidRPr="00F13AF7">
        <w:rPr>
          <w:rStyle w:val="Refdenotaderodap"/>
        </w:rPr>
        <w:footnoteRef/>
      </w:r>
      <w:r w:rsidR="00445A18" w:rsidRPr="00F13AF7">
        <w:rPr>
          <w:sz w:val="20"/>
          <w:szCs w:val="20"/>
          <w:lang w:val="en-US"/>
        </w:rPr>
        <w:t xml:space="preserve"> </w:t>
      </w:r>
      <w:r w:rsidRPr="00F13AF7">
        <w:rPr>
          <w:sz w:val="20"/>
          <w:szCs w:val="20"/>
          <w:lang w:val="en-US"/>
        </w:rPr>
        <w:t xml:space="preserve">The methodology has been presented at the Grantham Research Institute on Climate Change and the Environment at the London School of Economics and shared with Climate Policy Radar. Despite general arguments on cross-fertilization, it is not to the knowledge of </w:t>
      </w:r>
      <w:proofErr w:type="gramStart"/>
      <w:r w:rsidRPr="00F13AF7">
        <w:rPr>
          <w:sz w:val="20"/>
          <w:szCs w:val="20"/>
          <w:lang w:val="en-US"/>
        </w:rPr>
        <w:t>this researcher</w:t>
      </w:r>
      <w:r w:rsidR="00C75E69" w:rsidRPr="00F13AF7">
        <w:rPr>
          <w:sz w:val="20"/>
          <w:szCs w:val="20"/>
          <w:lang w:val="en-US"/>
        </w:rPr>
        <w:t>s</w:t>
      </w:r>
      <w:proofErr w:type="gramEnd"/>
      <w:r w:rsidRPr="00F13AF7">
        <w:rPr>
          <w:sz w:val="20"/>
          <w:szCs w:val="20"/>
          <w:lang w:val="en-US"/>
        </w:rPr>
        <w:t xml:space="preserve"> that this data has been systematically generated before.</w:t>
      </w:r>
    </w:p>
  </w:footnote>
  <w:footnote w:id="18">
    <w:p w14:paraId="2526BDE7" w14:textId="5BA68472" w:rsidR="004B6DB1" w:rsidRPr="00F13AF7" w:rsidRDefault="00801C7F" w:rsidP="00176A31">
      <w:pPr>
        <w:jc w:val="both"/>
        <w:rPr>
          <w:lang w:val="en-US"/>
        </w:rPr>
      </w:pPr>
      <w:r w:rsidRPr="00F13AF7">
        <w:rPr>
          <w:rStyle w:val="Refdenotaderodap"/>
        </w:rPr>
        <w:footnoteRef/>
      </w:r>
      <w:r w:rsidR="00384361" w:rsidRPr="00F13AF7">
        <w:rPr>
          <w:sz w:val="20"/>
          <w:szCs w:val="20"/>
          <w:lang w:val="en-US"/>
        </w:rPr>
        <w:t xml:space="preserve"> </w:t>
      </w:r>
      <w:r w:rsidRPr="00F13AF7">
        <w:rPr>
          <w:sz w:val="20"/>
          <w:szCs w:val="20"/>
          <w:lang w:val="en-US"/>
        </w:rPr>
        <w:t xml:space="preserve">Full data tables, jurisdiction-level breakdowns, and citation network visualizations </w:t>
      </w:r>
      <w:r w:rsidR="00B66DCC" w:rsidRPr="00F13AF7">
        <w:rPr>
          <w:sz w:val="20"/>
          <w:szCs w:val="20"/>
          <w:lang w:val="en-US"/>
        </w:rPr>
        <w:t>can be provided as attachment</w:t>
      </w:r>
      <w:r w:rsidRPr="00F13AF7">
        <w:rPr>
          <w:sz w:val="20"/>
          <w:szCs w:val="20"/>
          <w:lang w:val="en-US"/>
        </w:rPr>
        <w:t>.</w:t>
      </w:r>
    </w:p>
  </w:footnote>
  <w:footnote w:id="19">
    <w:p w14:paraId="0EDEBE85" w14:textId="1CB91245" w:rsidR="00384361" w:rsidRPr="00F13AF7" w:rsidRDefault="00384361" w:rsidP="00176A31">
      <w:pPr>
        <w:jc w:val="both"/>
        <w:rPr>
          <w:lang w:val="en-US"/>
        </w:rPr>
      </w:pPr>
      <w:r w:rsidRPr="00F13AF7">
        <w:rPr>
          <w:rStyle w:val="Refdenotaderodap"/>
        </w:rPr>
        <w:footnoteRef/>
      </w:r>
      <w:r w:rsidR="00966DC8" w:rsidRPr="00F13AF7">
        <w:rPr>
          <w:sz w:val="20"/>
          <w:szCs w:val="20"/>
          <w:lang w:val="en-US"/>
        </w:rPr>
        <w:t xml:space="preserve"> </w:t>
      </w:r>
      <w:r w:rsidRPr="00F13AF7">
        <w:rPr>
          <w:sz w:val="20"/>
          <w:szCs w:val="20"/>
          <w:lang w:val="en-US"/>
        </w:rPr>
        <w:t>The six categories developed by this research were: (</w:t>
      </w:r>
      <w:proofErr w:type="spellStart"/>
      <w:r w:rsidRPr="00F13AF7">
        <w:rPr>
          <w:sz w:val="20"/>
          <w:szCs w:val="20"/>
          <w:lang w:val="en-US"/>
        </w:rPr>
        <w:t>i</w:t>
      </w:r>
      <w:proofErr w:type="spellEnd"/>
      <w:r w:rsidRPr="00F13AF7">
        <w:rPr>
          <w:sz w:val="20"/>
          <w:szCs w:val="20"/>
          <w:lang w:val="en-US"/>
        </w:rPr>
        <w:t>) foreign citations (national courts citing another national court from a different country); (ii) international citations (national courts citing international tribunals with jurisdiction over the citing court); (iii) foreign international citations (national courts citing international tribunals without jurisdiction); (iv) inter-system citations (international tribunals citing another international tribunal); (v) member-state citations (international tribunals citing national courts under their jurisdiction); and (vi) non-member citations (international tribunals citing national courts outside their jurisdiction). For the purposes of this paper, the analysis focuses on categor</w:t>
      </w:r>
      <w:r w:rsidR="00966DC8" w:rsidRPr="00F13AF7">
        <w:rPr>
          <w:sz w:val="20"/>
          <w:szCs w:val="20"/>
          <w:lang w:val="en-US"/>
        </w:rPr>
        <w:t>y</w:t>
      </w:r>
      <w:r w:rsidRPr="00F13AF7">
        <w:rPr>
          <w:sz w:val="20"/>
          <w:szCs w:val="20"/>
          <w:lang w:val="en-US"/>
        </w:rPr>
        <w:t xml:space="preserve"> (</w:t>
      </w:r>
      <w:proofErr w:type="spellStart"/>
      <w:r w:rsidRPr="00F13AF7">
        <w:rPr>
          <w:sz w:val="20"/>
          <w:szCs w:val="20"/>
          <w:lang w:val="en-US"/>
        </w:rPr>
        <w:t>i</w:t>
      </w:r>
      <w:proofErr w:type="spellEnd"/>
      <w:r w:rsidRPr="00F13AF7">
        <w:rPr>
          <w:sz w:val="20"/>
          <w:szCs w:val="20"/>
          <w:lang w:val="en-US"/>
        </w:rPr>
        <w:t>)</w:t>
      </w:r>
      <w:r w:rsidR="00966DC8" w:rsidRPr="00F13AF7">
        <w:rPr>
          <w:sz w:val="20"/>
          <w:szCs w:val="20"/>
          <w:lang w:val="en-US"/>
        </w:rPr>
        <w:t>.</w:t>
      </w:r>
    </w:p>
  </w:footnote>
  <w:footnote w:id="20">
    <w:p w14:paraId="0CCF4103" w14:textId="77777777" w:rsidR="00697D9E" w:rsidRPr="00F13AF7" w:rsidRDefault="00697D9E" w:rsidP="00176A31">
      <w:pPr>
        <w:jc w:val="both"/>
        <w:rPr>
          <w:lang w:val="en-US"/>
        </w:rPr>
      </w:pPr>
    </w:p>
    <w:p w14:paraId="05FDC093" w14:textId="77777777" w:rsidR="00801C7F" w:rsidRPr="00F13AF7" w:rsidRDefault="00801C7F" w:rsidP="00176A31">
      <w:pPr>
        <w:jc w:val="both"/>
        <w:rPr>
          <w:lang w:val="en-US"/>
        </w:rPr>
      </w:pPr>
    </w:p>
  </w:footnote>
  <w:footnote w:id="21">
    <w:p w14:paraId="66A39B18" w14:textId="3B7112BF" w:rsidR="004B6DB1" w:rsidRPr="00F13AF7" w:rsidRDefault="00801C7F" w:rsidP="00176A31">
      <w:pPr>
        <w:jc w:val="both"/>
        <w:rPr>
          <w:lang w:val="en-US"/>
        </w:rPr>
      </w:pPr>
      <w:r w:rsidRPr="00F13AF7">
        <w:rPr>
          <w:rStyle w:val="Refdenotaderodap"/>
        </w:rPr>
        <w:footnoteRef/>
      </w:r>
      <w:r w:rsidR="00FF25B0" w:rsidRPr="00F13AF7">
        <w:rPr>
          <w:sz w:val="20"/>
          <w:szCs w:val="20"/>
          <w:lang w:val="fr-FR"/>
        </w:rPr>
        <w:t xml:space="preserve"> </w:t>
      </w:r>
      <w:r w:rsidRPr="00F13AF7">
        <w:rPr>
          <w:sz w:val="20"/>
          <w:szCs w:val="20"/>
          <w:lang w:val="fr-FR"/>
        </w:rPr>
        <w:t xml:space="preserve">Jackson, V. C. (2005). Constitutional Comparisons: Convergence, Resistance, Engagement. </w:t>
      </w:r>
      <w:r w:rsidRPr="00F13AF7">
        <w:rPr>
          <w:i/>
          <w:iCs/>
          <w:sz w:val="20"/>
          <w:szCs w:val="20"/>
          <w:lang w:val="en-US"/>
        </w:rPr>
        <w:t>Harvard Law Review</w:t>
      </w:r>
      <w:r w:rsidRPr="00F13AF7">
        <w:rPr>
          <w:sz w:val="20"/>
          <w:szCs w:val="20"/>
          <w:lang w:val="en-US"/>
        </w:rPr>
        <w:t>, 119(1), 109–128. Jackson identifies three postures toward foreign authority: convergence (treating foreign law as relevant), resistance (rejecting any role for foreign law), and engagement (considering foreign law critically without treating it as binding).</w:t>
      </w:r>
      <w:r w:rsidR="00426010" w:rsidRPr="00F13AF7">
        <w:rPr>
          <w:sz w:val="20"/>
          <w:szCs w:val="20"/>
          <w:lang w:val="en-US"/>
        </w:rPr>
        <w:t xml:space="preserve"> </w:t>
      </w:r>
      <w:r w:rsidR="00426010" w:rsidRPr="00F13AF7">
        <w:rPr>
          <w:sz w:val="20"/>
          <w:szCs w:val="20"/>
          <w:lang w:val="en-US"/>
        </w:rPr>
        <w:t xml:space="preserve">The disagreement among the Justices on the use of foreign law in constitutional interpretation is well illustrated by the opinions in </w:t>
      </w:r>
      <w:r w:rsidR="00426010" w:rsidRPr="00F13AF7">
        <w:rPr>
          <w:i/>
          <w:iCs/>
          <w:sz w:val="20"/>
          <w:szCs w:val="20"/>
          <w:lang w:val="en-US"/>
        </w:rPr>
        <w:t>Roper v. Simmons</w:t>
      </w:r>
      <w:r w:rsidR="00426010" w:rsidRPr="00F13AF7">
        <w:rPr>
          <w:sz w:val="20"/>
          <w:szCs w:val="20"/>
          <w:lang w:val="en-US"/>
        </w:rPr>
        <w:t>, 543 U.S. 551 (2005), where the majority referenced international opinion while Justice Scalia’s dissent rejected any role for foreign law. A fuller examination of the US legal tradition’s relationship with foreign authority in the climate context is developed in the author’s doctoral research.</w:t>
      </w:r>
    </w:p>
  </w:footnote>
  <w:footnote w:id="22">
    <w:p w14:paraId="20C273E1" w14:textId="2548D3E1" w:rsidR="004B6DB1" w:rsidRPr="00F13AF7" w:rsidRDefault="00801C7F" w:rsidP="00176A31">
      <w:pPr>
        <w:jc w:val="both"/>
        <w:rPr>
          <w:lang w:val="en-US"/>
        </w:rPr>
      </w:pPr>
      <w:r w:rsidRPr="00F13AF7">
        <w:rPr>
          <w:rStyle w:val="Refdenotaderodap"/>
        </w:rPr>
        <w:footnoteRef/>
      </w:r>
      <w:r w:rsidR="00FF25B0" w:rsidRPr="00F13AF7">
        <w:rPr>
          <w:sz w:val="20"/>
          <w:szCs w:val="20"/>
          <w:lang w:val="en-US"/>
        </w:rPr>
        <w:t xml:space="preserve"> </w:t>
      </w:r>
      <w:r w:rsidRPr="00F13AF7">
        <w:rPr>
          <w:sz w:val="20"/>
          <w:szCs w:val="20"/>
          <w:lang w:val="en-US"/>
        </w:rPr>
        <w:t xml:space="preserve">Setzer, J., &amp; Benjamin, L. (2020). Climate Litigation in the Global South: Constraints and Innovations. </w:t>
      </w:r>
      <w:r w:rsidRPr="00F13AF7">
        <w:rPr>
          <w:i/>
          <w:iCs/>
          <w:sz w:val="20"/>
          <w:szCs w:val="20"/>
          <w:lang w:val="en-US"/>
        </w:rPr>
        <w:t>Transnational Environmental Law</w:t>
      </w:r>
      <w:r w:rsidRPr="00F13AF7">
        <w:rPr>
          <w:sz w:val="20"/>
          <w:szCs w:val="20"/>
          <w:lang w:val="en-US"/>
        </w:rPr>
        <w:t xml:space="preserve">, 9(1), 77–101; Tigre, M. A., </w:t>
      </w:r>
      <w:proofErr w:type="spellStart"/>
      <w:r w:rsidRPr="00F13AF7">
        <w:rPr>
          <w:sz w:val="20"/>
          <w:szCs w:val="20"/>
          <w:lang w:val="en-US"/>
        </w:rPr>
        <w:t>Murcott</w:t>
      </w:r>
      <w:proofErr w:type="spellEnd"/>
      <w:r w:rsidRPr="00F13AF7">
        <w:rPr>
          <w:sz w:val="20"/>
          <w:szCs w:val="20"/>
          <w:lang w:val="en-US"/>
        </w:rPr>
        <w:t xml:space="preserve">, M. J., &amp; Samuel, S. A. (2025). </w:t>
      </w:r>
      <w:r w:rsidRPr="00F13AF7">
        <w:rPr>
          <w:i/>
          <w:iCs/>
          <w:sz w:val="20"/>
          <w:szCs w:val="20"/>
          <w:lang w:val="en-US"/>
        </w:rPr>
        <w:t>Climate Litigation and Vulnerabilities: Global South Perspectives</w:t>
      </w:r>
      <w:r w:rsidRPr="00F13AF7">
        <w:rPr>
          <w:sz w:val="20"/>
          <w:szCs w:val="20"/>
          <w:lang w:val="en-US"/>
        </w:rPr>
        <w:t>. Routledge.</w:t>
      </w:r>
    </w:p>
  </w:footnote>
  <w:footnote w:id="23">
    <w:p w14:paraId="5EE43B6E" w14:textId="75F51416" w:rsidR="004B6DB1" w:rsidRPr="00F13AF7" w:rsidRDefault="00801C7F" w:rsidP="00176A31">
      <w:pPr>
        <w:jc w:val="both"/>
        <w:rPr>
          <w:lang w:val="en-US"/>
        </w:rPr>
      </w:pPr>
      <w:r w:rsidRPr="00F13AF7">
        <w:rPr>
          <w:rStyle w:val="Refdenotaderodap"/>
        </w:rPr>
        <w:footnoteRef/>
      </w:r>
      <w:r w:rsidR="00FF25B0" w:rsidRPr="00F13AF7">
        <w:rPr>
          <w:sz w:val="20"/>
          <w:szCs w:val="20"/>
          <w:lang w:val="en-US"/>
        </w:rPr>
        <w:t xml:space="preserve"> </w:t>
      </w:r>
      <w:r w:rsidRPr="00F13AF7">
        <w:rPr>
          <w:sz w:val="20"/>
          <w:szCs w:val="20"/>
          <w:lang w:val="en-US"/>
        </w:rPr>
        <w:t xml:space="preserve">Brazilian courts produced 34 verified foreign case law citations across 19 decisions, referencing precedents including </w:t>
      </w:r>
      <w:proofErr w:type="spellStart"/>
      <w:r w:rsidRPr="00F13AF7">
        <w:rPr>
          <w:sz w:val="20"/>
          <w:szCs w:val="20"/>
          <w:lang w:val="en-US"/>
        </w:rPr>
        <w:t>Urgenda</w:t>
      </w:r>
      <w:proofErr w:type="spellEnd"/>
      <w:r w:rsidRPr="00F13AF7">
        <w:rPr>
          <w:sz w:val="20"/>
          <w:szCs w:val="20"/>
          <w:lang w:val="en-US"/>
        </w:rPr>
        <w:t xml:space="preserve">, Neubauer, Leghari, Notre Affaire à Tous, and Juliana. This places Brazil among the most active citing jurisdictions in the dataset, alongside New Zealand (43 foreign citations across 16 decisions) and the United Kingdom (30 across 17 decisions). In the reverse direction, only one foreign decision in the database cites Brazilian jurisprudence: </w:t>
      </w:r>
      <w:proofErr w:type="spellStart"/>
      <w:r w:rsidRPr="00F13AF7">
        <w:rPr>
          <w:sz w:val="20"/>
          <w:szCs w:val="20"/>
          <w:lang w:val="en-US"/>
        </w:rPr>
        <w:t>Milieudefensie</w:t>
      </w:r>
      <w:proofErr w:type="spellEnd"/>
      <w:r w:rsidRPr="00F13AF7">
        <w:rPr>
          <w:sz w:val="20"/>
          <w:szCs w:val="20"/>
          <w:lang w:val="en-US"/>
        </w:rPr>
        <w:t xml:space="preserve"> et al. v. Royal Dutch Shell, referencing the Brazilian Supreme Court’s Climate Fund decision.</w:t>
      </w:r>
    </w:p>
  </w:footnote>
  <w:footnote w:id="24">
    <w:p w14:paraId="74C8C9BE" w14:textId="5610766B" w:rsidR="004B6DB1" w:rsidRPr="00F13AF7" w:rsidRDefault="00801C7F" w:rsidP="00176A31">
      <w:pPr>
        <w:jc w:val="both"/>
        <w:rPr>
          <w:lang w:val="en-US"/>
        </w:rPr>
      </w:pPr>
      <w:r w:rsidRPr="00F13AF7">
        <w:rPr>
          <w:rStyle w:val="Refdenotaderodap"/>
        </w:rPr>
        <w:footnoteRef/>
      </w:r>
      <w:r w:rsidR="00FF25B0" w:rsidRPr="00F13AF7">
        <w:rPr>
          <w:sz w:val="20"/>
          <w:szCs w:val="20"/>
          <w:lang w:val="en-US"/>
        </w:rPr>
        <w:t xml:space="preserve"> </w:t>
      </w:r>
      <w:r w:rsidRPr="00F13AF7">
        <w:rPr>
          <w:sz w:val="20"/>
          <w:szCs w:val="20"/>
          <w:lang w:val="en-US"/>
        </w:rPr>
        <w:t xml:space="preserve">Tigre, M., &amp; Setzer, J. (2023). Human Rights and Climate Change for Climate Litigation in Brazil and Beyond: An Analysis of the </w:t>
      </w:r>
      <w:r w:rsidRPr="00F13AF7">
        <w:rPr>
          <w:i/>
          <w:iCs/>
          <w:sz w:val="20"/>
          <w:szCs w:val="20"/>
          <w:lang w:val="en-US"/>
        </w:rPr>
        <w:t>Climate Fund</w:t>
      </w:r>
      <w:r w:rsidRPr="00F13AF7">
        <w:rPr>
          <w:sz w:val="20"/>
          <w:szCs w:val="20"/>
          <w:lang w:val="en-US"/>
        </w:rPr>
        <w:t xml:space="preserve"> Decision. </w:t>
      </w:r>
      <w:r w:rsidRPr="00F13AF7">
        <w:rPr>
          <w:i/>
          <w:iCs/>
          <w:sz w:val="20"/>
          <w:szCs w:val="20"/>
          <w:lang w:val="en-US"/>
        </w:rPr>
        <w:t>Georgetown Journal of International Law</w:t>
      </w:r>
      <w:r w:rsidRPr="00F13AF7">
        <w:rPr>
          <w:sz w:val="20"/>
          <w:szCs w:val="20"/>
          <w:lang w:val="en-US"/>
        </w:rPr>
        <w:t>, 54(4), 593.</w:t>
      </w:r>
    </w:p>
  </w:footnote>
  <w:footnote w:id="25">
    <w:p w14:paraId="55F0759C" w14:textId="5B62FEF4" w:rsidR="004B6DB1" w:rsidRPr="00F13AF7" w:rsidRDefault="00801C7F" w:rsidP="00176A31">
      <w:pPr>
        <w:jc w:val="both"/>
        <w:rPr>
          <w:lang w:val="en-US"/>
        </w:rPr>
      </w:pPr>
      <w:r w:rsidRPr="00F13AF7">
        <w:rPr>
          <w:rStyle w:val="Refdenotaderodap"/>
        </w:rPr>
        <w:footnoteRef/>
      </w:r>
      <w:r w:rsidR="00FF25B0" w:rsidRPr="00F13AF7">
        <w:rPr>
          <w:sz w:val="20"/>
          <w:szCs w:val="20"/>
          <w:lang w:val="en-US"/>
        </w:rPr>
        <w:t xml:space="preserve"> </w:t>
      </w:r>
      <w:proofErr w:type="spellStart"/>
      <w:r w:rsidR="002B1C04" w:rsidRPr="00F13AF7">
        <w:rPr>
          <w:sz w:val="20"/>
          <w:szCs w:val="20"/>
          <w:lang w:val="en-US"/>
        </w:rPr>
        <w:t>Carnwath</w:t>
      </w:r>
      <w:proofErr w:type="spellEnd"/>
      <w:r w:rsidR="002B1C04" w:rsidRPr="00F13AF7">
        <w:rPr>
          <w:sz w:val="20"/>
          <w:szCs w:val="20"/>
          <w:lang w:val="en-US"/>
        </w:rPr>
        <w:t xml:space="preserve">, R. J. A. (2017). Engaging in judicial dialogue: Some reflections from the United Kingdom Supreme Court. In A. Müller &amp; H. E. Kjos (Eds.), </w:t>
      </w:r>
      <w:r w:rsidR="002B1C04" w:rsidRPr="00F13AF7">
        <w:rPr>
          <w:i/>
          <w:iCs/>
          <w:sz w:val="20"/>
          <w:szCs w:val="20"/>
          <w:lang w:val="en-US"/>
        </w:rPr>
        <w:t>Judicial Dialogue and Human Rights</w:t>
      </w:r>
      <w:r w:rsidR="002B1C04" w:rsidRPr="00F13AF7">
        <w:rPr>
          <w:sz w:val="20"/>
          <w:szCs w:val="20"/>
          <w:lang w:val="en-US"/>
        </w:rPr>
        <w:t xml:space="preserve"> (pp. 253–257). Cambridge University Press</w:t>
      </w:r>
      <w:r w:rsidRPr="00F13AF7">
        <w:rPr>
          <w:sz w:val="20"/>
          <w:szCs w:val="20"/>
          <w:lang w:val="en-US"/>
        </w:rPr>
        <w:t xml:space="preserve">. </w:t>
      </w:r>
      <w:proofErr w:type="spellStart"/>
      <w:r w:rsidRPr="00F13AF7">
        <w:rPr>
          <w:sz w:val="20"/>
          <w:szCs w:val="20"/>
          <w:lang w:val="en-US"/>
        </w:rPr>
        <w:t>Carnwath</w:t>
      </w:r>
      <w:proofErr w:type="spellEnd"/>
      <w:r w:rsidRPr="00F13AF7">
        <w:rPr>
          <w:sz w:val="20"/>
          <w:szCs w:val="20"/>
          <w:lang w:val="en-US"/>
        </w:rPr>
        <w:t xml:space="preserve"> notes that the UK Supreme Court has a tradition of internationalism because it inherited the jurisdiction of the old Appellate Committee of the House of Lords.</w:t>
      </w:r>
    </w:p>
  </w:footnote>
  <w:footnote w:id="26">
    <w:p w14:paraId="227CE8FD" w14:textId="2617C0B8" w:rsidR="004B6DB1" w:rsidRPr="00F13AF7" w:rsidRDefault="00801C7F" w:rsidP="00176A31">
      <w:pPr>
        <w:jc w:val="both"/>
        <w:rPr>
          <w:lang w:val="en-US"/>
        </w:rPr>
      </w:pPr>
      <w:r w:rsidRPr="00F13AF7">
        <w:rPr>
          <w:rStyle w:val="Refdenotaderodap"/>
        </w:rPr>
        <w:footnoteRef/>
      </w:r>
      <w:r w:rsidR="00FF25B0" w:rsidRPr="00F13AF7">
        <w:rPr>
          <w:sz w:val="20"/>
          <w:szCs w:val="20"/>
          <w:lang w:val="en-US"/>
        </w:rPr>
        <w:t xml:space="preserve"> </w:t>
      </w:r>
      <w:r w:rsidRPr="00F13AF7">
        <w:rPr>
          <w:sz w:val="20"/>
          <w:szCs w:val="20"/>
          <w:lang w:val="en-US"/>
        </w:rPr>
        <w:t xml:space="preserve">Affolder and </w:t>
      </w:r>
      <w:proofErr w:type="spellStart"/>
      <w:r w:rsidRPr="00F13AF7">
        <w:rPr>
          <w:sz w:val="20"/>
          <w:szCs w:val="20"/>
          <w:lang w:val="en-US"/>
        </w:rPr>
        <w:t>Dzah</w:t>
      </w:r>
      <w:proofErr w:type="spellEnd"/>
      <w:r w:rsidRPr="00F13AF7">
        <w:rPr>
          <w:sz w:val="20"/>
          <w:szCs w:val="20"/>
          <w:lang w:val="en-US"/>
        </w:rPr>
        <w:t xml:space="preserve"> in </w:t>
      </w:r>
      <w:proofErr w:type="spellStart"/>
      <w:r w:rsidRPr="00F13AF7">
        <w:rPr>
          <w:sz w:val="20"/>
          <w:szCs w:val="20"/>
          <w:lang w:val="en-US"/>
        </w:rPr>
        <w:t>Sindico</w:t>
      </w:r>
      <w:proofErr w:type="spellEnd"/>
      <w:r w:rsidRPr="00F13AF7">
        <w:rPr>
          <w:sz w:val="20"/>
          <w:szCs w:val="20"/>
          <w:lang w:val="en-US"/>
        </w:rPr>
        <w:t xml:space="preserve"> et al. (2024), p. 208. The authors note that explicit citations may both overstate and understate the actual influence of a foreign decision.</w:t>
      </w:r>
    </w:p>
  </w:footnote>
  <w:footnote w:id="27">
    <w:p w14:paraId="2D02FB6B" w14:textId="0B7A9D60" w:rsidR="004B6DB1" w:rsidRPr="00F13AF7" w:rsidRDefault="00801C7F" w:rsidP="00176A31">
      <w:pPr>
        <w:jc w:val="both"/>
        <w:rPr>
          <w:lang w:val="en-US"/>
        </w:rPr>
      </w:pPr>
      <w:r w:rsidRPr="00F13AF7">
        <w:rPr>
          <w:rStyle w:val="Refdenotaderodap"/>
        </w:rPr>
        <w:footnoteRef/>
      </w:r>
      <w:r w:rsidR="00FF25B0" w:rsidRPr="00F13AF7">
        <w:rPr>
          <w:sz w:val="20"/>
          <w:szCs w:val="20"/>
          <w:lang w:val="en-US"/>
        </w:rPr>
        <w:t xml:space="preserve"> </w:t>
      </w:r>
      <w:r w:rsidR="007F1E63" w:rsidRPr="00F13AF7">
        <w:rPr>
          <w:sz w:val="20"/>
          <w:szCs w:val="20"/>
          <w:lang w:val="en-US"/>
        </w:rPr>
        <w:t xml:space="preserve">Carrillo Bañuelos, J. A., &amp; Samuel, S. A. (2025, September 16). Judicial convergence on climate change: The advisory opinions of the ICJ, the </w:t>
      </w:r>
      <w:proofErr w:type="spellStart"/>
      <w:r w:rsidR="007F1E63" w:rsidRPr="00F13AF7">
        <w:rPr>
          <w:sz w:val="20"/>
          <w:szCs w:val="20"/>
          <w:lang w:val="en-US"/>
        </w:rPr>
        <w:t>IACtHR</w:t>
      </w:r>
      <w:proofErr w:type="spellEnd"/>
      <w:r w:rsidR="007F1E63" w:rsidRPr="00F13AF7">
        <w:rPr>
          <w:sz w:val="20"/>
          <w:szCs w:val="20"/>
          <w:lang w:val="en-US"/>
        </w:rPr>
        <w:t xml:space="preserve">, and the ITLOS. </w:t>
      </w:r>
      <w:proofErr w:type="spellStart"/>
      <w:r w:rsidR="007F1E63" w:rsidRPr="00F13AF7">
        <w:rPr>
          <w:i/>
          <w:iCs/>
          <w:sz w:val="20"/>
          <w:szCs w:val="20"/>
          <w:lang w:val="en-US"/>
        </w:rPr>
        <w:t>Verfassungsblog</w:t>
      </w:r>
      <w:proofErr w:type="spellEnd"/>
      <w:r w:rsidRPr="00F13AF7">
        <w:rPr>
          <w:sz w:val="20"/>
          <w:szCs w:val="20"/>
          <w:lang w:val="en-US"/>
        </w:rPr>
        <w:t>.</w:t>
      </w:r>
    </w:p>
  </w:footnote>
  <w:footnote w:id="28">
    <w:p w14:paraId="6673F29D" w14:textId="41B631F1" w:rsidR="004B6DB1" w:rsidRPr="00697D9E" w:rsidRDefault="00801C7F" w:rsidP="00176A31">
      <w:pPr>
        <w:jc w:val="both"/>
        <w:rPr>
          <w:lang w:val="en-US"/>
        </w:rPr>
      </w:pPr>
      <w:r w:rsidRPr="00F13AF7">
        <w:rPr>
          <w:rStyle w:val="Refdenotaderodap"/>
        </w:rPr>
        <w:footnoteRef/>
      </w:r>
      <w:r w:rsidR="00FF25B0" w:rsidRPr="00F13AF7">
        <w:rPr>
          <w:sz w:val="20"/>
          <w:szCs w:val="20"/>
          <w:lang w:val="en-US"/>
        </w:rPr>
        <w:t xml:space="preserve"> </w:t>
      </w:r>
      <w:r w:rsidR="00ED6F9A" w:rsidRPr="00F13AF7">
        <w:rPr>
          <w:sz w:val="20"/>
          <w:szCs w:val="20"/>
          <w:lang w:val="en-US"/>
        </w:rPr>
        <w:t xml:space="preserve">Wewerinke-Singh, M. (2025). Harmonizing sources, hardening duties: Inside the ICJ's advisory opinion on climate change. In M. A. Tigre, M. Bönnemann, &amp; A. De </w:t>
      </w:r>
      <w:proofErr w:type="spellStart"/>
      <w:r w:rsidR="00ED6F9A" w:rsidRPr="00F13AF7">
        <w:rPr>
          <w:sz w:val="20"/>
          <w:szCs w:val="20"/>
          <w:lang w:val="en-US"/>
        </w:rPr>
        <w:t>Spiegeleir</w:t>
      </w:r>
      <w:proofErr w:type="spellEnd"/>
      <w:r w:rsidR="00ED6F9A" w:rsidRPr="00F13AF7">
        <w:rPr>
          <w:sz w:val="20"/>
          <w:szCs w:val="20"/>
          <w:lang w:val="en-US"/>
        </w:rPr>
        <w:t xml:space="preserve"> (Eds.), The ICJ's Advisory Opinion on Climate Change (pp. 43–61). </w:t>
      </w:r>
      <w:proofErr w:type="spellStart"/>
      <w:r w:rsidR="00ED6F9A" w:rsidRPr="00F13AF7">
        <w:rPr>
          <w:sz w:val="20"/>
          <w:szCs w:val="20"/>
          <w:lang w:val="en-US"/>
        </w:rPr>
        <w:t>Verfassungsbooks</w:t>
      </w:r>
      <w:proofErr w:type="spellEnd"/>
      <w:r w:rsidRPr="00F13AF7">
        <w:rPr>
          <w:sz w:val="20"/>
          <w:szCs w:val="20"/>
          <w:lang w:val="en-US"/>
        </w:rPr>
        <w:t>. Wewerinke-Singh argues that the ICJ opinion brings ‘sturdier legal architecture to international climate law’ and that it will travel by offering a vocabulary that courts and other decision-makers are already speaking.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81891"/>
    <w:multiLevelType w:val="hybridMultilevel"/>
    <w:tmpl w:val="3CB44BA0"/>
    <w:lvl w:ilvl="0" w:tplc="B05C6B50">
      <w:start w:val="1"/>
      <w:numFmt w:val="bullet"/>
      <w:lvlText w:val="●"/>
      <w:lvlJc w:val="left"/>
      <w:pPr>
        <w:ind w:left="720" w:hanging="360"/>
      </w:pPr>
    </w:lvl>
    <w:lvl w:ilvl="1" w:tplc="51DA774A">
      <w:start w:val="1"/>
      <w:numFmt w:val="bullet"/>
      <w:lvlText w:val="○"/>
      <w:lvlJc w:val="left"/>
      <w:pPr>
        <w:ind w:left="1440" w:hanging="360"/>
      </w:pPr>
    </w:lvl>
    <w:lvl w:ilvl="2" w:tplc="C1A8F494">
      <w:start w:val="1"/>
      <w:numFmt w:val="bullet"/>
      <w:lvlText w:val="■"/>
      <w:lvlJc w:val="left"/>
      <w:pPr>
        <w:ind w:left="2160" w:hanging="360"/>
      </w:pPr>
    </w:lvl>
    <w:lvl w:ilvl="3" w:tplc="938E1F04">
      <w:start w:val="1"/>
      <w:numFmt w:val="bullet"/>
      <w:lvlText w:val="●"/>
      <w:lvlJc w:val="left"/>
      <w:pPr>
        <w:ind w:left="2880" w:hanging="360"/>
      </w:pPr>
    </w:lvl>
    <w:lvl w:ilvl="4" w:tplc="2FAAF6CA">
      <w:start w:val="1"/>
      <w:numFmt w:val="bullet"/>
      <w:lvlText w:val="○"/>
      <w:lvlJc w:val="left"/>
      <w:pPr>
        <w:ind w:left="3600" w:hanging="360"/>
      </w:pPr>
    </w:lvl>
    <w:lvl w:ilvl="5" w:tplc="270C7496">
      <w:start w:val="1"/>
      <w:numFmt w:val="bullet"/>
      <w:lvlText w:val="■"/>
      <w:lvlJc w:val="left"/>
      <w:pPr>
        <w:ind w:left="4320" w:hanging="360"/>
      </w:pPr>
    </w:lvl>
    <w:lvl w:ilvl="6" w:tplc="0AC8F1EE">
      <w:start w:val="1"/>
      <w:numFmt w:val="bullet"/>
      <w:lvlText w:val="●"/>
      <w:lvlJc w:val="left"/>
      <w:pPr>
        <w:ind w:left="5040" w:hanging="360"/>
      </w:pPr>
    </w:lvl>
    <w:lvl w:ilvl="7" w:tplc="DFB60314">
      <w:start w:val="1"/>
      <w:numFmt w:val="bullet"/>
      <w:lvlText w:val="●"/>
      <w:lvlJc w:val="left"/>
      <w:pPr>
        <w:ind w:left="5760" w:hanging="360"/>
      </w:pPr>
    </w:lvl>
    <w:lvl w:ilvl="8" w:tplc="9962F032">
      <w:start w:val="1"/>
      <w:numFmt w:val="bullet"/>
      <w:lvlText w:val="●"/>
      <w:lvlJc w:val="left"/>
      <w:pPr>
        <w:ind w:left="6480" w:hanging="360"/>
      </w:pPr>
    </w:lvl>
  </w:abstractNum>
  <w:num w:numId="1" w16cid:durableId="1500316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DB1"/>
    <w:rsid w:val="000315D4"/>
    <w:rsid w:val="00063415"/>
    <w:rsid w:val="00095956"/>
    <w:rsid w:val="000A52CF"/>
    <w:rsid w:val="000B77C8"/>
    <w:rsid w:val="000D19AA"/>
    <w:rsid w:val="000E0EB3"/>
    <w:rsid w:val="000F07BF"/>
    <w:rsid w:val="00167DF6"/>
    <w:rsid w:val="00167E4C"/>
    <w:rsid w:val="00173875"/>
    <w:rsid w:val="00176A31"/>
    <w:rsid w:val="001B3C08"/>
    <w:rsid w:val="001D0879"/>
    <w:rsid w:val="001F18EB"/>
    <w:rsid w:val="002373C2"/>
    <w:rsid w:val="0028478C"/>
    <w:rsid w:val="0028704F"/>
    <w:rsid w:val="002B1C04"/>
    <w:rsid w:val="002C0223"/>
    <w:rsid w:val="002C35D3"/>
    <w:rsid w:val="002F2A30"/>
    <w:rsid w:val="0030097B"/>
    <w:rsid w:val="0030247F"/>
    <w:rsid w:val="003273CC"/>
    <w:rsid w:val="00371657"/>
    <w:rsid w:val="003801E9"/>
    <w:rsid w:val="00384361"/>
    <w:rsid w:val="003A7D91"/>
    <w:rsid w:val="003B7D62"/>
    <w:rsid w:val="003C12B3"/>
    <w:rsid w:val="003D058A"/>
    <w:rsid w:val="003E5A16"/>
    <w:rsid w:val="00407A74"/>
    <w:rsid w:val="004251F4"/>
    <w:rsid w:val="00426010"/>
    <w:rsid w:val="00445A18"/>
    <w:rsid w:val="004815D5"/>
    <w:rsid w:val="00483181"/>
    <w:rsid w:val="00497467"/>
    <w:rsid w:val="0049791B"/>
    <w:rsid w:val="004B6DB1"/>
    <w:rsid w:val="004E1945"/>
    <w:rsid w:val="004F1649"/>
    <w:rsid w:val="00563464"/>
    <w:rsid w:val="00577742"/>
    <w:rsid w:val="005779A5"/>
    <w:rsid w:val="005A6205"/>
    <w:rsid w:val="005F7F88"/>
    <w:rsid w:val="0063786A"/>
    <w:rsid w:val="00691FA3"/>
    <w:rsid w:val="00695BAE"/>
    <w:rsid w:val="00697D9E"/>
    <w:rsid w:val="006B083B"/>
    <w:rsid w:val="006E0205"/>
    <w:rsid w:val="006E0434"/>
    <w:rsid w:val="00731A58"/>
    <w:rsid w:val="007F1E63"/>
    <w:rsid w:val="00801C7F"/>
    <w:rsid w:val="00805935"/>
    <w:rsid w:val="0083479A"/>
    <w:rsid w:val="00865476"/>
    <w:rsid w:val="00871C09"/>
    <w:rsid w:val="00881BD2"/>
    <w:rsid w:val="00893CC4"/>
    <w:rsid w:val="008A18F0"/>
    <w:rsid w:val="008E6F86"/>
    <w:rsid w:val="008F7005"/>
    <w:rsid w:val="00901FC1"/>
    <w:rsid w:val="00930A20"/>
    <w:rsid w:val="00934088"/>
    <w:rsid w:val="00966DC8"/>
    <w:rsid w:val="00973C1A"/>
    <w:rsid w:val="00980BEE"/>
    <w:rsid w:val="0099323B"/>
    <w:rsid w:val="009B4A8A"/>
    <w:rsid w:val="009B764D"/>
    <w:rsid w:val="009D330D"/>
    <w:rsid w:val="009D4971"/>
    <w:rsid w:val="009F5F6D"/>
    <w:rsid w:val="00A32FA9"/>
    <w:rsid w:val="00A53737"/>
    <w:rsid w:val="00A6638F"/>
    <w:rsid w:val="00A90C0F"/>
    <w:rsid w:val="00B105A0"/>
    <w:rsid w:val="00B31FFC"/>
    <w:rsid w:val="00B4320C"/>
    <w:rsid w:val="00B576E8"/>
    <w:rsid w:val="00B65B40"/>
    <w:rsid w:val="00B66DCC"/>
    <w:rsid w:val="00BB4D76"/>
    <w:rsid w:val="00BF220F"/>
    <w:rsid w:val="00C31C3B"/>
    <w:rsid w:val="00C504BA"/>
    <w:rsid w:val="00C52FFA"/>
    <w:rsid w:val="00C57097"/>
    <w:rsid w:val="00C72292"/>
    <w:rsid w:val="00C75E69"/>
    <w:rsid w:val="00C9435B"/>
    <w:rsid w:val="00CC7F9E"/>
    <w:rsid w:val="00CD1D10"/>
    <w:rsid w:val="00D128A4"/>
    <w:rsid w:val="00D747B0"/>
    <w:rsid w:val="00D91DCA"/>
    <w:rsid w:val="00DA6804"/>
    <w:rsid w:val="00DE3172"/>
    <w:rsid w:val="00DE5508"/>
    <w:rsid w:val="00E026E7"/>
    <w:rsid w:val="00E02AF6"/>
    <w:rsid w:val="00E11C69"/>
    <w:rsid w:val="00E43C60"/>
    <w:rsid w:val="00EB60DE"/>
    <w:rsid w:val="00ED6F9A"/>
    <w:rsid w:val="00F0238A"/>
    <w:rsid w:val="00F129F9"/>
    <w:rsid w:val="00F13AF7"/>
    <w:rsid w:val="00F25DB0"/>
    <w:rsid w:val="00F5117F"/>
    <w:rsid w:val="00F60C37"/>
    <w:rsid w:val="00F730F0"/>
    <w:rsid w:val="00FF25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C873"/>
  <w15:docId w15:val="{94B25B4A-E6FB-407C-8291-9A31862D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jc w:val="center"/>
      <w:outlineLvl w:val="0"/>
    </w:pPr>
    <w:rPr>
      <w:b/>
      <w:bCs/>
    </w:rPr>
  </w:style>
  <w:style w:type="paragraph" w:styleId="Ttulo2">
    <w:name w:val="heading 2"/>
    <w:uiPriority w:val="9"/>
    <w:semiHidden/>
    <w:unhideWhenUsed/>
    <w:qFormat/>
    <w:pPr>
      <w:spacing w:before="240" w:after="12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MenoPendente">
    <w:name w:val="Unresolved Mention"/>
    <w:basedOn w:val="Fontepargpadro"/>
    <w:uiPriority w:val="99"/>
    <w:semiHidden/>
    <w:unhideWhenUsed/>
    <w:rsid w:val="0063786A"/>
    <w:rPr>
      <w:color w:val="605E5C"/>
      <w:shd w:val="clear" w:color="auto" w:fill="E1DFDD"/>
    </w:rPr>
  </w:style>
  <w:style w:type="character" w:styleId="Refdecomentrio">
    <w:name w:val="annotation reference"/>
    <w:basedOn w:val="Fontepargpadro"/>
    <w:uiPriority w:val="99"/>
    <w:semiHidden/>
    <w:unhideWhenUsed/>
    <w:rsid w:val="005779A5"/>
    <w:rPr>
      <w:sz w:val="16"/>
      <w:szCs w:val="16"/>
    </w:rPr>
  </w:style>
  <w:style w:type="paragraph" w:styleId="Textodecomentrio">
    <w:name w:val="annotation text"/>
    <w:basedOn w:val="Normal"/>
    <w:link w:val="TextodecomentrioChar"/>
    <w:uiPriority w:val="99"/>
    <w:unhideWhenUsed/>
    <w:rsid w:val="005779A5"/>
    <w:rPr>
      <w:sz w:val="20"/>
      <w:szCs w:val="20"/>
    </w:rPr>
  </w:style>
  <w:style w:type="character" w:customStyle="1" w:styleId="TextodecomentrioChar">
    <w:name w:val="Texto de comentário Char"/>
    <w:basedOn w:val="Fontepargpadro"/>
    <w:link w:val="Textodecomentrio"/>
    <w:uiPriority w:val="99"/>
    <w:rsid w:val="005779A5"/>
    <w:rPr>
      <w:sz w:val="20"/>
      <w:szCs w:val="20"/>
    </w:rPr>
  </w:style>
  <w:style w:type="paragraph" w:styleId="Assuntodocomentrio">
    <w:name w:val="annotation subject"/>
    <w:basedOn w:val="Textodecomentrio"/>
    <w:next w:val="Textodecomentrio"/>
    <w:link w:val="AssuntodocomentrioChar"/>
    <w:uiPriority w:val="99"/>
    <w:semiHidden/>
    <w:unhideWhenUsed/>
    <w:rsid w:val="005779A5"/>
    <w:rPr>
      <w:b/>
      <w:bCs/>
    </w:rPr>
  </w:style>
  <w:style w:type="character" w:customStyle="1" w:styleId="AssuntodocomentrioChar">
    <w:name w:val="Assunto do comentário Char"/>
    <w:basedOn w:val="TextodecomentrioChar"/>
    <w:link w:val="Assuntodocomentrio"/>
    <w:uiPriority w:val="99"/>
    <w:semiHidden/>
    <w:rsid w:val="005779A5"/>
    <w:rPr>
      <w:b/>
      <w:bCs/>
      <w:sz w:val="20"/>
      <w:szCs w:val="20"/>
    </w:rPr>
  </w:style>
  <w:style w:type="paragraph" w:styleId="Cabealho">
    <w:name w:val="header"/>
    <w:basedOn w:val="Normal"/>
    <w:link w:val="CabealhoChar"/>
    <w:uiPriority w:val="99"/>
    <w:semiHidden/>
    <w:unhideWhenUsed/>
    <w:rsid w:val="000B77C8"/>
    <w:pPr>
      <w:tabs>
        <w:tab w:val="center" w:pos="4252"/>
        <w:tab w:val="right" w:pos="8504"/>
      </w:tabs>
    </w:pPr>
  </w:style>
  <w:style w:type="character" w:customStyle="1" w:styleId="CabealhoChar">
    <w:name w:val="Cabeçalho Char"/>
    <w:basedOn w:val="Fontepargpadro"/>
    <w:link w:val="Cabealho"/>
    <w:uiPriority w:val="99"/>
    <w:semiHidden/>
    <w:rsid w:val="000B77C8"/>
  </w:style>
  <w:style w:type="paragraph" w:styleId="Rodap">
    <w:name w:val="footer"/>
    <w:basedOn w:val="Normal"/>
    <w:link w:val="RodapChar"/>
    <w:uiPriority w:val="99"/>
    <w:semiHidden/>
    <w:unhideWhenUsed/>
    <w:rsid w:val="000B77C8"/>
    <w:pPr>
      <w:tabs>
        <w:tab w:val="center" w:pos="4252"/>
        <w:tab w:val="right" w:pos="8504"/>
      </w:tabs>
    </w:pPr>
  </w:style>
  <w:style w:type="character" w:customStyle="1" w:styleId="RodapChar">
    <w:name w:val="Rodapé Char"/>
    <w:basedOn w:val="Fontepargpadro"/>
    <w:link w:val="Rodap"/>
    <w:uiPriority w:val="99"/>
    <w:semiHidden/>
    <w:rsid w:val="000B7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ires.onlinelibrary.wiley.com/doi/10.1002/wcc.58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xmlns="http://www.imanage.com/work/xmlschema">
  <documentid>SP!7134947.1</documentid>
  <senderid>LUCAS.BIASETTON@VPBG.COM.BR</senderid>
  <senderemail>LUCAS.BIASETTON@VPBG.COM.BR</senderemail>
  <lastmodified>2026-03-12T10:41:00.0000000-03:00</lastmodified>
  <database>SP</database>
</properties>
</file>

<file path=customXml/itemProps1.xml><?xml version="1.0" encoding="utf-8"?>
<ds:datastoreItem xmlns:ds="http://schemas.openxmlformats.org/officeDocument/2006/customXml" ds:itemID="{C0DB25E4-8B33-4F38-B08D-55371591DD0D}">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3838</TotalTime>
  <Pages>15</Pages>
  <Words>3382</Words>
  <Characters>21274</Characters>
  <Application>Microsoft Office Word</Application>
  <DocSecurity>0</DocSecurity>
  <Lines>287</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Braskem</cp:lastModifiedBy>
  <cp:revision>108</cp:revision>
  <dcterms:created xsi:type="dcterms:W3CDTF">2026-03-12T11:55:00Z</dcterms:created>
  <dcterms:modified xsi:type="dcterms:W3CDTF">2026-03-15T19:24:00Z</dcterms:modified>
</cp:coreProperties>
</file>