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Phase 6 – Solutions de prévention pour le changement climatique</w:t>
      </w:r>
    </w:p>
    <w:p>
      <w:r>
        <w:t>Cette phase vise à transformer les constats climatiques issus des données en recommandations d’actions concrètes. À partir des observations réalisées pour la France et l’Inde entre 1970 et 2020, il est essentiel de distinguer les actions d’atténuation, qui visent à réduire les causes du changement climatique (notamment les émissions de GES), et les actions d’adaptation, qui permettent de limiter ses effets sur les populations et les territoires.</w:t>
      </w:r>
    </w:p>
    <w:p>
      <w:pPr>
        <w:pStyle w:val="Heading2"/>
      </w:pPr>
      <w:r>
        <w:t>🌍 Synthèse des observations climatiques</w:t>
      </w:r>
    </w:p>
    <w:p>
      <w:r>
        <w:t>Les données analysées ont mis en évidence plusieurs faits marquants :</w:t>
        <w:br/>
        <w:t>- Une augmentation plus rapide de la température en France (+2°C) qu’en Inde (+1°C).</w:t>
        <w:br/>
        <w:t>- Une hausse significative des émissions de CO₂ en Inde, contre une tendance à la baisse en France depuis 2005.</w:t>
        <w:br/>
        <w:t>- Des précipitations plus stables en France mais très variables en Inde, liées à la mousson.</w:t>
        <w:br/>
        <w:t>- Une corrélation positive entre température et catastrophes naturelles dans les deux pays.</w:t>
        <w:br/>
        <w:t>- Une exposition plus forte de l’Inde aux événements extrêmes (inondations, sécheresses).</w:t>
      </w:r>
    </w:p>
    <w:p>
      <w:pPr>
        <w:pStyle w:val="Heading2"/>
      </w:pPr>
      <w:r>
        <w:t>🛠️ Classification des mesures</w:t>
      </w:r>
    </w:p>
    <w:p>
      <w:pPr>
        <w:pStyle w:val="Heading3"/>
      </w:pPr>
      <w:r>
        <w:t>Mesures d'atténuation</w:t>
      </w:r>
    </w:p>
    <w:p>
      <w:r>
        <w:t>- Développement massif des énergies renouvelables (solaire, éolien, hydroélectrique).</w:t>
        <w:br/>
        <w:t>- Amélioration de l'efficacité énergétique des bâtiments et industries.</w:t>
        <w:br/>
        <w:t>- Développement des transports bas carbone (véhicules électriques, transports en commun).</w:t>
        <w:br/>
        <w:t>- Reforestation et préservation des forêts existantes.</w:t>
        <w:br/>
        <w:t>- Fiscalité verte et incitations à la sobriété énergétique.</w:t>
      </w:r>
    </w:p>
    <w:p>
      <w:pPr>
        <w:pStyle w:val="Heading3"/>
      </w:pPr>
      <w:r>
        <w:t>Mesures d'adaptation</w:t>
      </w:r>
    </w:p>
    <w:p>
      <w:r>
        <w:t>- Aménagement du territoire pour résister aux inondations (digues, zones d’expansion de crue).</w:t>
        <w:br/>
        <w:t>- Adaptation des cultures aux nouvelles conditions climatiques (résistance à la sécheresse).</w:t>
        <w:br/>
        <w:t>- Développement de l’irrigation intelligente et de la gestion intégrée de l’eau.</w:t>
        <w:br/>
        <w:t>- Construction de bâtiments et infrastructures résilients (toits végétalisés, matériaux thermiques).</w:t>
        <w:br/>
        <w:t>- Systèmes d’alerte précoce et de gestion de crise renforcés.</w:t>
      </w:r>
    </w:p>
    <w:p>
      <w:pPr>
        <w:pStyle w:val="Heading2"/>
      </w:pPr>
      <w:r>
        <w:t>📌 Propositions de politiques de prévention par zone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Zone / Pays</w:t>
            </w:r>
          </w:p>
        </w:tc>
        <w:tc>
          <w:tcPr>
            <w:tcW w:type="dxa" w:w="2160"/>
          </w:tcPr>
          <w:p>
            <w:r>
              <w:t>Phénomène observé</w:t>
            </w:r>
          </w:p>
        </w:tc>
        <w:tc>
          <w:tcPr>
            <w:tcW w:type="dxa" w:w="2160"/>
          </w:tcPr>
          <w:p>
            <w:r>
              <w:t>Risque associé</w:t>
            </w:r>
          </w:p>
        </w:tc>
        <w:tc>
          <w:tcPr>
            <w:tcW w:type="dxa" w:w="2160"/>
          </w:tcPr>
          <w:p>
            <w:r>
              <w:t>Mesures recommandées</w:t>
            </w:r>
          </w:p>
        </w:tc>
      </w:tr>
      <w:tr>
        <w:tc>
          <w:tcPr>
            <w:tcW w:type="dxa" w:w="2160"/>
          </w:tcPr>
          <w:p>
            <w:r>
              <w:t>Nord de l’Inde</w:t>
            </w:r>
          </w:p>
        </w:tc>
        <w:tc>
          <w:tcPr>
            <w:tcW w:type="dxa" w:w="2160"/>
          </w:tcPr>
          <w:p>
            <w:r>
              <w:t>Pluies extrêmes liées à la mousson</w:t>
            </w:r>
          </w:p>
        </w:tc>
        <w:tc>
          <w:tcPr>
            <w:tcW w:type="dxa" w:w="2160"/>
          </w:tcPr>
          <w:p>
            <w:r>
              <w:t>Inondations récurrentes</w:t>
            </w:r>
          </w:p>
        </w:tc>
        <w:tc>
          <w:tcPr>
            <w:tcW w:type="dxa" w:w="2160"/>
          </w:tcPr>
          <w:p>
            <w:r>
              <w:t>Création de bassins de rétention, infrastructures de drainage, plans d’évacuation</w:t>
            </w:r>
          </w:p>
        </w:tc>
      </w:tr>
      <w:tr>
        <w:tc>
          <w:tcPr>
            <w:tcW w:type="dxa" w:w="2160"/>
          </w:tcPr>
          <w:p>
            <w:r>
              <w:t>Sud de l’Inde</w:t>
            </w:r>
          </w:p>
        </w:tc>
        <w:tc>
          <w:tcPr>
            <w:tcW w:type="dxa" w:w="2160"/>
          </w:tcPr>
          <w:p>
            <w:r>
              <w:t>Températures élevées</w:t>
            </w:r>
          </w:p>
        </w:tc>
        <w:tc>
          <w:tcPr>
            <w:tcW w:type="dxa" w:w="2160"/>
          </w:tcPr>
          <w:p>
            <w:r>
              <w:t>Stress hydrique, pertes agricoles</w:t>
            </w:r>
          </w:p>
        </w:tc>
        <w:tc>
          <w:tcPr>
            <w:tcW w:type="dxa" w:w="2160"/>
          </w:tcPr>
          <w:p>
            <w:r>
              <w:t>Cultures résistantes à la chaleur, irrigation goutte-à-goutte, reforestation locale</w:t>
            </w:r>
          </w:p>
        </w:tc>
      </w:tr>
      <w:tr>
        <w:tc>
          <w:tcPr>
            <w:tcW w:type="dxa" w:w="2160"/>
          </w:tcPr>
          <w:p>
            <w:r>
              <w:t>France (Sud-Ouest)</w:t>
            </w:r>
          </w:p>
        </w:tc>
        <w:tc>
          <w:tcPr>
            <w:tcW w:type="dxa" w:w="2160"/>
          </w:tcPr>
          <w:p>
            <w:r>
              <w:t>Sécheresses estivales</w:t>
            </w:r>
          </w:p>
        </w:tc>
        <w:tc>
          <w:tcPr>
            <w:tcW w:type="dxa" w:w="2160"/>
          </w:tcPr>
          <w:p>
            <w:r>
              <w:t>Feux de forêt, pénuries d’eau</w:t>
            </w:r>
          </w:p>
        </w:tc>
        <w:tc>
          <w:tcPr>
            <w:tcW w:type="dxa" w:w="2160"/>
          </w:tcPr>
          <w:p>
            <w:r>
              <w:t>Surveillance forestière, restriction d’eau, urbanisme adapté</w:t>
            </w:r>
          </w:p>
        </w:tc>
      </w:tr>
      <w:tr>
        <w:tc>
          <w:tcPr>
            <w:tcW w:type="dxa" w:w="2160"/>
          </w:tcPr>
          <w:p>
            <w:r>
              <w:t>France (Nord)</w:t>
            </w:r>
          </w:p>
        </w:tc>
        <w:tc>
          <w:tcPr>
            <w:tcW w:type="dxa" w:w="2160"/>
          </w:tcPr>
          <w:p>
            <w:r>
              <w:t>Épisodes de pluies violentes</w:t>
            </w:r>
          </w:p>
        </w:tc>
        <w:tc>
          <w:tcPr>
            <w:tcW w:type="dxa" w:w="2160"/>
          </w:tcPr>
          <w:p>
            <w:r>
              <w:t>Inondations locales</w:t>
            </w:r>
          </w:p>
        </w:tc>
        <w:tc>
          <w:tcPr>
            <w:tcW w:type="dxa" w:w="2160"/>
          </w:tcPr>
          <w:p>
            <w:r>
              <w:t>Modernisation des réseaux pluviaux, cartographie des zones à risque</w:t>
            </w:r>
          </w:p>
        </w:tc>
      </w:tr>
      <w:tr>
        <w:tc>
          <w:tcPr>
            <w:tcW w:type="dxa" w:w="2160"/>
          </w:tcPr>
          <w:p>
            <w:r>
              <w:t>Global</w:t>
            </w:r>
          </w:p>
        </w:tc>
        <w:tc>
          <w:tcPr>
            <w:tcW w:type="dxa" w:w="2160"/>
          </w:tcPr>
          <w:p>
            <w:r>
              <w:t>Émissions de CO₂</w:t>
            </w:r>
          </w:p>
        </w:tc>
        <w:tc>
          <w:tcPr>
            <w:tcW w:type="dxa" w:w="2160"/>
          </w:tcPr>
          <w:p>
            <w:r>
              <w:t>Réchauffement global</w:t>
            </w:r>
          </w:p>
        </w:tc>
        <w:tc>
          <w:tcPr>
            <w:tcW w:type="dxa" w:w="2160"/>
          </w:tcPr>
          <w:p>
            <w:r>
              <w:t>Accord international, réduction industrie lourde, taxation carbone</w:t>
            </w:r>
          </w:p>
        </w:tc>
      </w:tr>
    </w:tbl>
    <w:p>
      <w:pPr>
        <w:pStyle w:val="Heading2"/>
      </w:pPr>
      <w:r>
        <w:t>✅ Conclusion</w:t>
      </w:r>
    </w:p>
    <w:p>
      <w:r>
        <w:t>Face à l’ampleur des changements climatiques observés, une politique efficace doit combiner des actions globales pour atténuer le phénomène à sa source (réduction des émissions), et des actions locales pour protéger les populations et les écosystèmes (adaptation). La complémentarité de ces deux approches est essentielle pour construire une résilience durable.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