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line="560" w:lineRule="exact" w:after="860"/>
        <w:jc w:val="center"/>
      </w:pPr>
      <w:r>
        <w:t>Détection automatisée des vulnérabilités</w:t>
        <w:br/>
        <w:t>des smart contracts Solidity :</w:t>
        <w:br/>
        <w:t>une approche basée sur</w:t>
        <w:br/>
        <w:t>l’apprentissage profond</w:t>
      </w:r>
    </w:p>
    <w:p>
      <w:pPr>
        <w:spacing w:after="600"/>
        <w:ind w:firstLine="0"/>
        <w:jc w:val="center"/>
      </w:pPr>
      <w:r>
        <w:t>par</w:t>
      </w:r>
    </w:p>
    <w:p>
      <w:pPr>
        <w:ind w:firstLine="0"/>
        <w:jc w:val="center"/>
      </w:pPr>
      <w:r>
        <w:rPr>
          <w:sz w:val="34"/>
        </w:rPr>
        <w:t>Exauce KOMPANI KIPANGU</w:t>
      </w:r>
    </w:p>
    <w:p>
      <w:pPr>
        <w:spacing w:before="6700"/>
        <w:ind w:firstLine="0"/>
        <w:jc w:val="center"/>
      </w:pPr>
      <w:r>
        <w:t>Octobre 2026</w:t>
      </w:r>
    </w:p>
    <w:p>
      <w:pPr>
        <w:sectPr>
          <w:headerReference w:type="default" r:id="rId9"/>
          <w:footerReference w:type="default" r:id="rId10"/>
          <w:pgSz w:w="11917" w:h="16855"/>
          <w:pgMar w:top="1580" w:right="1978" w:bottom="1900" w:left="1978" w:header="860" w:footer="1820" w:gutter="0"/>
          <w:cols w:space="720"/>
          <w:docGrid w:linePitch="360"/>
        </w:sectPr>
      </w:pPr>
    </w:p>
    <w:p>
      <w:bookmarkStart w:id="1" w:name="page_i"/>
      <w:pPr>
        <w:pStyle w:val="Heading1"/>
        <w:spacing w:before="1960" w:after="960"/>
      </w:pPr>
      <w:r>
        <w:t>Résumé</w:t>
      </w:r>
      <w:bookmarkEnd w:id="1"/>
    </w:p>
    <w:p>
      <w:r>
        <w:t>Ce mémoire étudie la détection automatisée des vulnérabilités des smart contracts Solidity par apprentissage profond. SMART BUG associe un réseau convolutif et un réseau récurrent bidirectionnel pour analyser le code complet. Le corpus nettoyé comprend 18 238 contrats ou représentations de contrats, répartis par groupes entre apprentissage, validation, calibration, test et source réservée. Le CNN–BiLSTM actif obtient un F1 macro de 82,10 % et un rappel positif de 88,95 % sur le test. Sur les mêmes contrats, XGBoost atteint 89,41 % de F1 macro. Le TCN atteint 84,77 % de F1 macro, 89,31 % de rappel et 19,61 % de faux positifs. La comparaison reste exploratoire, car le test a déjà été observé. Ces résultats soutiennent une aide au tri des contrats à auditer, sous réserve des annotations et d’une validation indépendante.</w:t>
      </w:r>
    </w:p>
    <w:p>
      <w:r>
        <w:t>Mots clés : smart contracts, Solidity, vulnérabilités, apprentissage profond, CNN–BiLSTM, calibration.</w:t>
      </w:r>
    </w:p>
    <w:p>
      <w:pPr>
        <w:sectPr>
          <w:headerReference w:type="default" r:id="rId11"/>
          <w:footerReference w:type="default" r:id="rId12"/>
          <w:pgSz w:w="11917" w:h="16855"/>
          <w:pgMar w:top="1580" w:right="1978" w:bottom="1900" w:left="1978" w:header="860" w:footer="1820" w:gutter="0"/>
          <w:cols w:space="720"/>
          <w:docGrid w:linePitch="360"/>
          <w:pgNumType w:start="1" w:fmt="lowerRoman"/>
        </w:sectPr>
      </w:pPr>
    </w:p>
    <w:p>
      <w:bookmarkStart w:id="2" w:name="page_ii"/>
      <w:pPr>
        <w:pStyle w:val="Heading1"/>
        <w:spacing w:before="1960" w:after="960"/>
      </w:pPr>
      <w:r>
        <w:t>Remerciements</w:t>
      </w:r>
      <w:bookmarkEnd w:id="2"/>
    </w:p>
    <w:p>
      <w:r>
        <w:t>Personne n’écrit jamais un travail scientifique « tout seul », et dans mon cas c’est encore plus vrai que d’habitude. Ce travail de mémoire existe, non seulement grâce à mes idées personnelles, mais aussi parce que beaucoup d’autres personnes y ont concentré leur temps, leurs talents et leurs idées.</w:t>
      </w:r>
    </w:p>
    <w:p>
      <w:r>
        <w:t>C’est aussi le résultat des cours auxquels nous avons assisté durant tous ces temps à la Faculté de Science et Technologie. C’est également le résultat de nos recherches dans une multitude de livres écrits par des professionnels.</w:t>
      </w:r>
    </w:p>
    <w:p>
      <w:r>
        <w:t>Comme le dit un adage : « seul on va plus vite, ensemble on va plus loin ». Si tel est le cas, nous avons accumulé beaucoup d’expériences pendant l’élaboration de ce travail de mémoire de licence en droit. Toutefois, avant de mettre un point final à ce travail et de réfléchir à l’art de mener à bien un travail de mémoire, nous voudrions remercier certaines personnes pour leur soutien à la réalisation de ce travail.</w:t>
      </w:r>
    </w:p>
    <w:p>
      <w:r>
        <w:t>En particulier, nous devons beaucoup de gratitude à Monsieur le Professeur Jordan Félicien MASAKUNA, directeur de ce présent travail. Celui qui nous a offert l’opportunité d’élaborer ce travail en nous faisant profiter de ses observations critiques et de son avis professionnel. Qu’il soit sincèrement remercié.</w:t>
      </w:r>
    </w:p>
    <w:p>
      <w:r>
        <w:t>À ma mère Marquise MANKOBA qui m’a soutenu tout au long de mon cursus universitaire et sans qui je ne serais pas où je suis.</w:t>
      </w:r>
    </w:p>
    <w:p>
      <w:r>
        <w:t>À mon tuteur Dode ESIMBO qui a toujours été là pour moi, ainsi qu’à mes oncles et tantes.</w:t>
      </w:r>
    </w:p>
    <w:p>
      <w:pPr>
        <w:sectPr>
          <w:headerReference w:type="default" r:id="rId13"/>
          <w:footerReference w:type="default" r:id="rId14"/>
          <w:pgSz w:w="11917" w:h="16855"/>
          <w:pgMar w:top="1580" w:right="1978" w:bottom="1900" w:left="1978" w:header="860" w:footer="1820" w:gutter="0"/>
          <w:cols w:space="720"/>
          <w:docGrid w:linePitch="360"/>
          <w:pgNumType w:start="1" w:fmt="lowerRoman"/>
          <w:pgNumType w:start="2" w:fmt="lowerRoman"/>
        </w:sectPr>
      </w:pPr>
    </w:p>
    <w:p>
      <w:bookmarkStart w:id="3" w:name="page_iii"/>
      <w:pPr>
        <w:pStyle w:val="Small"/>
      </w:pPr>
      <w:bookmarkEnd w:id="3"/>
    </w:p>
    <w:p>
      <w:r>
        <w:t>À Candide MAGOLU pour tes encouragements et m’avoir poussé chaque fois à me surpasser. Que nos frères et sœurs de la famille Bryan, Jérémie et Grace trouvent ici à travers ces lignes, l’expression d’un sentiment de joie familiale.</w:t>
      </w:r>
    </w:p>
    <w:p>
      <w:r>
        <w:t>Notre gratitude s’adresse aussi à nos amis et connaissances pour leur soutien à la réalisation de ce travail : Bendi ESIMBO, Jean-Pierre SHUKRANI, Placide WANGI, Brummel DUASENGE, Jonathan-Bob TSHINGANI, Christian-Noah, Bourgeois KIMBONDO,Don MAKILA, TP groupe, Jean-Luc BANZA et tant d’autres.</w:t>
      </w:r>
    </w:p>
    <w:p>
      <w:r>
        <w:t>Qu’il nous soit permis de conclure par une pensée particulière pour nos familles ; car personne ne peut évaluer la gratitude qui est due aux membres de la famille d’un autre. La compréhension et le flegme dont elles ont fait preuve pendant plusieurs années nous ont permis de mener à bien un travail qu’elles ont à juste titre trouvé trop exclusif.</w:t>
      </w:r>
    </w:p>
    <w:p>
      <w:r>
        <w:t>Il est impossible d’énumérer tous à travers ces pages. Toute autre personne qui mérite notre reconnaissance, se sente vraiment remerciée, et trouve ici l’expression de notre profonde gratitude.</w:t>
      </w:r>
    </w:p>
    <w:p>
      <w:pPr>
        <w:sectPr>
          <w:headerReference w:type="default" r:id="rId15"/>
          <w:footerReference w:type="default" r:id="rId16"/>
          <w:pgSz w:w="11917" w:h="16855"/>
          <w:pgMar w:top="1580" w:right="1978" w:bottom="1900" w:left="1978" w:header="860" w:footer="1820" w:gutter="0"/>
          <w:cols w:space="720"/>
          <w:docGrid w:linePitch="360"/>
          <w:pgNumType w:start="1" w:fmt="lowerRoman"/>
          <w:pgNumType w:start="2" w:fmt="lowerRoman"/>
          <w:pgNumType w:start="3" w:fmt="lowerRoman"/>
        </w:sectPr>
      </w:pPr>
    </w:p>
    <w:p>
      <w:bookmarkStart w:id="4" w:name="page_iv"/>
      <w:pPr>
        <w:pStyle w:val="Heading1"/>
        <w:spacing w:before="1960" w:after="960"/>
      </w:pPr>
      <w:r>
        <w:t>Dédicace</w:t>
      </w:r>
      <w:bookmarkEnd w:id="4"/>
    </w:p>
    <w:p>
      <w:pPr>
        <w:spacing w:before="8100"/>
      </w:pPr>
      <w:r>
        <w:t>Je dédie ce travail à ma chère grand mère Angélique, dont le sourire illumine chaque instant</w:t>
      </w:r>
    </w:p>
    <w:p>
      <w:pPr>
        <w:sectPr>
          <w:headerReference w:type="default" r:id="rId17"/>
          <w:footerReference w:type="default" r:id="rId18"/>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sectPr>
      </w:pPr>
    </w:p>
    <w:p>
      <w:bookmarkStart w:id="5" w:name="page_v"/>
      <w:pPr>
        <w:pStyle w:val="Heading1"/>
        <w:spacing w:before="1960" w:after="960"/>
      </w:pPr>
      <w:r>
        <w:t>Table des matières</w:t>
      </w:r>
      <w:bookmarkEnd w:id="5"/>
    </w:p>
    <w:p>
      <w:pPr>
        <w:pStyle w:val="Contents"/>
        <w:tabs>
          <w:tab w:pos="7960" w:val="right" w:leader="dot"/>
        </w:tabs>
        <w:spacing w:line="280" w:lineRule="exact" w:after="100"/>
        <w:ind w:left="0"/>
      </w:pPr>
      <w:hyperlink w:anchor="page_i">
        <w:r>
          <w:rPr>
            <w:rFonts w:ascii="Palatino Linotype" w:hAnsi="Palatino Linotype"/>
          </w:rPr>
          <w:t>Résumé</w:t>
        </w:r>
      </w:hyperlink>
      <w:r>
        <w:tab/>
        <w:t>i</w:t>
      </w:r>
    </w:p>
    <w:p>
      <w:pPr>
        <w:pStyle w:val="Contents"/>
        <w:tabs>
          <w:tab w:pos="7960" w:val="right" w:leader="dot"/>
        </w:tabs>
        <w:spacing w:line="280" w:lineRule="exact" w:after="100"/>
        <w:ind w:left="0"/>
      </w:pPr>
      <w:hyperlink w:anchor="page_ii">
        <w:r>
          <w:rPr>
            <w:rFonts w:ascii="Palatino Linotype" w:hAnsi="Palatino Linotype"/>
          </w:rPr>
          <w:t>Remerciements</w:t>
        </w:r>
      </w:hyperlink>
      <w:r>
        <w:tab/>
        <w:t>ii</w:t>
      </w:r>
    </w:p>
    <w:p>
      <w:pPr>
        <w:pStyle w:val="Contents"/>
        <w:tabs>
          <w:tab w:pos="7960" w:val="right" w:leader="dot"/>
        </w:tabs>
        <w:spacing w:line="280" w:lineRule="exact" w:after="100"/>
        <w:ind w:left="0"/>
      </w:pPr>
      <w:hyperlink w:anchor="page_iv">
        <w:r>
          <w:rPr>
            <w:rFonts w:ascii="Palatino Linotype" w:hAnsi="Palatino Linotype"/>
          </w:rPr>
          <w:t>Dédicace</w:t>
        </w:r>
      </w:hyperlink>
      <w:r>
        <w:tab/>
        <w:t>iv</w:t>
      </w:r>
    </w:p>
    <w:p>
      <w:pPr>
        <w:pStyle w:val="Contents"/>
        <w:tabs>
          <w:tab w:pos="7960" w:val="right" w:leader="dot"/>
        </w:tabs>
        <w:spacing w:line="280" w:lineRule="exact" w:after="100"/>
        <w:ind w:left="0"/>
      </w:pPr>
      <w:hyperlink w:anchor="page_v">
        <w:r>
          <w:rPr>
            <w:rFonts w:ascii="Palatino Linotype" w:hAnsi="Palatino Linotype"/>
          </w:rPr>
          <w:t>Table des matières</w:t>
        </w:r>
      </w:hyperlink>
      <w:r>
        <w:tab/>
        <w:t>v</w:t>
      </w:r>
    </w:p>
    <w:p>
      <w:pPr>
        <w:pStyle w:val="Contents"/>
        <w:tabs>
          <w:tab w:pos="7960" w:val="right" w:leader="dot"/>
        </w:tabs>
        <w:spacing w:line="280" w:lineRule="exact" w:after="100"/>
        <w:ind w:left="0"/>
      </w:pPr>
      <w:hyperlink w:anchor="page_vii">
        <w:r>
          <w:rPr>
            <w:rFonts w:ascii="Palatino Linotype" w:hAnsi="Palatino Linotype"/>
          </w:rPr>
          <w:t>Table des figures</w:t>
        </w:r>
      </w:hyperlink>
      <w:r>
        <w:tab/>
        <w:t>vii</w:t>
      </w:r>
    </w:p>
    <w:p>
      <w:pPr>
        <w:pStyle w:val="Contents"/>
        <w:tabs>
          <w:tab w:pos="7960" w:val="right" w:leader="dot"/>
        </w:tabs>
        <w:spacing w:line="280" w:lineRule="exact" w:after="100"/>
        <w:ind w:left="0"/>
      </w:pPr>
      <w:hyperlink w:anchor="page_viii">
        <w:r>
          <w:rPr>
            <w:rFonts w:ascii="Palatino Linotype" w:hAnsi="Palatino Linotype"/>
          </w:rPr>
          <w:t>Liste des tableaux</w:t>
        </w:r>
      </w:hyperlink>
      <w:r>
        <w:tab/>
        <w:t>viii</w:t>
      </w:r>
    </w:p>
    <w:p>
      <w:pPr>
        <w:pStyle w:val="Contents"/>
        <w:tabs>
          <w:tab w:pos="7960" w:val="right" w:leader="dot"/>
        </w:tabs>
        <w:spacing w:line="280" w:lineRule="exact" w:after="100"/>
        <w:ind w:left="0"/>
      </w:pPr>
      <w:hyperlink w:anchor="page_ix">
        <w:r>
          <w:rPr>
            <w:rFonts w:ascii="Palatino Linotype" w:hAnsi="Palatino Linotype"/>
          </w:rPr>
          <w:t>Liste des abréviations</w:t>
        </w:r>
      </w:hyperlink>
      <w:r>
        <w:tab/>
        <w:t>ix</w:t>
      </w:r>
    </w:p>
    <w:p>
      <w:pPr>
        <w:pStyle w:val="Contents"/>
        <w:tabs>
          <w:tab w:pos="7960" w:val="right" w:leader="dot"/>
        </w:tabs>
        <w:spacing w:line="280" w:lineRule="exact" w:after="100"/>
        <w:ind w:left="0"/>
      </w:pPr>
      <w:hyperlink w:anchor="page_1">
        <w:r>
          <w:rPr>
            <w:rFonts w:ascii="Palatino Linotype" w:hAnsi="Palatino Linotype"/>
          </w:rPr>
          <w:t>Introduction</w:t>
        </w:r>
      </w:hyperlink>
      <w:r>
        <w:tab/>
        <w:t>1</w:t>
      </w:r>
    </w:p>
    <w:p>
      <w:pPr>
        <w:pStyle w:val="Contents"/>
        <w:tabs>
          <w:tab w:pos="7960" w:val="right" w:leader="dot"/>
        </w:tabs>
        <w:spacing w:line="280" w:lineRule="exact" w:after="100"/>
        <w:ind w:left="0"/>
      </w:pPr>
      <w:hyperlink w:anchor="page_3">
        <w:r>
          <w:rPr>
            <w:rFonts w:ascii="Palatino Linotype" w:hAnsi="Palatino Linotype"/>
          </w:rPr>
          <w:t>1 Concepts théoriques de base</w:t>
        </w:r>
      </w:hyperlink>
      <w:r>
        <w:tab/>
        <w:t>3</w:t>
      </w:r>
    </w:p>
    <w:p>
      <w:pPr>
        <w:pStyle w:val="Contents"/>
        <w:tabs>
          <w:tab w:pos="7960" w:val="right" w:leader="dot"/>
        </w:tabs>
        <w:spacing w:line="280" w:lineRule="exact" w:after="100"/>
        <w:ind w:left="200"/>
      </w:pPr>
      <w:hyperlink w:anchor="page_4">
        <w:r>
          <w:rPr>
            <w:rFonts w:ascii="Palatino Linotype" w:hAnsi="Palatino Linotype"/>
          </w:rPr>
          <w:t>1.1 Notions de base</w:t>
        </w:r>
      </w:hyperlink>
      <w:r>
        <w:tab/>
        <w:t>4</w:t>
      </w:r>
    </w:p>
    <w:p>
      <w:pPr>
        <w:pStyle w:val="Contents"/>
        <w:tabs>
          <w:tab w:pos="7960" w:val="right" w:leader="dot"/>
        </w:tabs>
        <w:spacing w:line="280" w:lineRule="exact" w:after="100"/>
        <w:ind w:left="400"/>
      </w:pPr>
      <w:hyperlink w:anchor="page_4">
        <w:r>
          <w:rPr>
            <w:rFonts w:ascii="Palatino Linotype" w:hAnsi="Palatino Linotype"/>
          </w:rPr>
          <w:t>1.1.1 Blockchain, smart contracts et Solidity</w:t>
        </w:r>
      </w:hyperlink>
      <w:r>
        <w:tab/>
        <w:t>4</w:t>
      </w:r>
    </w:p>
    <w:p>
      <w:pPr>
        <w:pStyle w:val="Contents"/>
        <w:tabs>
          <w:tab w:pos="7960" w:val="right" w:leader="dot"/>
        </w:tabs>
        <w:spacing w:line="280" w:lineRule="exact" w:after="100"/>
        <w:ind w:left="400"/>
      </w:pPr>
      <w:hyperlink w:anchor="page_5">
        <w:r>
          <w:rPr>
            <w:rFonts w:ascii="Palatino Linotype" w:hAnsi="Palatino Linotype"/>
          </w:rPr>
          <w:t>1.1.2 Vulnérabilités et portée des annotations</w:t>
        </w:r>
      </w:hyperlink>
      <w:r>
        <w:tab/>
        <w:t>5</w:t>
      </w:r>
    </w:p>
    <w:p>
      <w:pPr>
        <w:pStyle w:val="Contents"/>
        <w:tabs>
          <w:tab w:pos="7960" w:val="right" w:leader="dot"/>
        </w:tabs>
        <w:spacing w:line="280" w:lineRule="exact" w:after="100"/>
        <w:ind w:left="400"/>
      </w:pPr>
      <w:hyperlink w:anchor="page_6">
        <w:r>
          <w:rPr>
            <w:rFonts w:ascii="Palatino Linotype" w:hAnsi="Palatino Linotype"/>
          </w:rPr>
          <w:t>1.1.3 Approches de détection</w:t>
        </w:r>
      </w:hyperlink>
      <w:r>
        <w:tab/>
        <w:t>6</w:t>
      </w:r>
    </w:p>
    <w:p>
      <w:pPr>
        <w:pStyle w:val="Contents"/>
        <w:tabs>
          <w:tab w:pos="7960" w:val="right" w:leader="dot"/>
        </w:tabs>
        <w:spacing w:line="280" w:lineRule="exact" w:after="100"/>
        <w:ind w:left="400"/>
      </w:pPr>
      <w:hyperlink w:anchor="page_7">
        <w:r>
          <w:rPr>
            <w:rFonts w:ascii="Palatino Linotype" w:hAnsi="Palatino Linotype"/>
          </w:rPr>
          <w:t>1.1.4 Représentations profondes du code</w:t>
        </w:r>
      </w:hyperlink>
      <w:r>
        <w:tab/>
        <w:t>7</w:t>
      </w:r>
    </w:p>
    <w:p>
      <w:pPr>
        <w:pStyle w:val="Contents"/>
        <w:tabs>
          <w:tab w:pos="7960" w:val="right" w:leader="dot"/>
        </w:tabs>
        <w:spacing w:line="280" w:lineRule="exact" w:after="100"/>
        <w:ind w:left="400"/>
      </w:pPr>
      <w:hyperlink w:anchor="page_8">
        <w:r>
          <w:rPr>
            <w:rFonts w:ascii="Palatino Linotype" w:hAnsi="Palatino Linotype"/>
          </w:rPr>
          <w:t>1.1.5 Apprentissage, validation et calibration</w:t>
        </w:r>
      </w:hyperlink>
      <w:r>
        <w:tab/>
        <w:t>8</w:t>
      </w:r>
    </w:p>
    <w:p>
      <w:pPr>
        <w:pStyle w:val="Contents"/>
        <w:tabs>
          <w:tab w:pos="7960" w:val="right" w:leader="dot"/>
        </w:tabs>
        <w:spacing w:line="280" w:lineRule="exact" w:after="100"/>
        <w:ind w:left="400"/>
      </w:pPr>
      <w:hyperlink w:anchor="page_9">
        <w:r>
          <w:rPr>
            <w:rFonts w:ascii="Palatino Linotype" w:hAnsi="Palatino Linotype"/>
          </w:rPr>
          <w:t>1.1.6 Critères d’évaluation</w:t>
        </w:r>
      </w:hyperlink>
      <w:r>
        <w:tab/>
        <w:t>9</w:t>
      </w:r>
    </w:p>
    <w:p>
      <w:pPr>
        <w:pStyle w:val="Contents"/>
        <w:tabs>
          <w:tab w:pos="7960" w:val="right" w:leader="dot"/>
        </w:tabs>
        <w:spacing w:line="280" w:lineRule="exact" w:after="100"/>
        <w:ind w:left="200"/>
      </w:pPr>
      <w:hyperlink w:anchor="page_10">
        <w:r>
          <w:rPr>
            <w:rFonts w:ascii="Palatino Linotype" w:hAnsi="Palatino Linotype"/>
          </w:rPr>
          <w:t>1.2 Revue de littérature</w:t>
        </w:r>
      </w:hyperlink>
      <w:r>
        <w:tab/>
        <w:t>10</w:t>
      </w:r>
    </w:p>
    <w:p>
      <w:pPr>
        <w:pStyle w:val="Contents"/>
        <w:tabs>
          <w:tab w:pos="7960" w:val="right" w:leader="dot"/>
        </w:tabs>
        <w:spacing w:line="280" w:lineRule="exact" w:after="100"/>
        <w:ind w:left="400"/>
      </w:pPr>
      <w:hyperlink w:anchor="page_11">
        <w:r>
          <w:rPr>
            <w:rFonts w:ascii="Palatino Linotype" w:hAnsi="Palatino Linotype"/>
          </w:rPr>
          <w:t>1.2.1 Positionnement de notre travail</w:t>
        </w:r>
      </w:hyperlink>
      <w:r>
        <w:tab/>
        <w:t>11</w:t>
      </w:r>
    </w:p>
    <w:p>
      <w:pPr>
        <w:pStyle w:val="Contents"/>
        <w:tabs>
          <w:tab w:pos="7960" w:val="right" w:leader="dot"/>
        </w:tabs>
        <w:spacing w:line="280" w:lineRule="exact" w:after="100"/>
        <w:ind w:left="0"/>
      </w:pPr>
      <w:hyperlink w:anchor="page_12">
        <w:r>
          <w:rPr>
            <w:rFonts w:ascii="Palatino Linotype" w:hAnsi="Palatino Linotype"/>
          </w:rPr>
          <w:t>2 Architecture et modélisation</w:t>
        </w:r>
      </w:hyperlink>
      <w:r>
        <w:tab/>
        <w:t>12</w:t>
      </w:r>
    </w:p>
    <w:p>
      <w:pPr>
        <w:pStyle w:val="Contents"/>
        <w:tabs>
          <w:tab w:pos="7960" w:val="right" w:leader="dot"/>
        </w:tabs>
        <w:spacing w:line="280" w:lineRule="exact" w:after="100"/>
        <w:ind w:left="200"/>
      </w:pPr>
      <w:hyperlink w:anchor="page_13">
        <w:r>
          <w:rPr>
            <w:rFonts w:ascii="Palatino Linotype" w:hAnsi="Palatino Linotype"/>
          </w:rPr>
          <w:t>2.1 Architecture du système SMART BUG</w:t>
        </w:r>
      </w:hyperlink>
      <w:r>
        <w:tab/>
        <w:t>13</w:t>
      </w:r>
    </w:p>
    <w:p>
      <w:pPr>
        <w:pStyle w:val="Contents"/>
        <w:tabs>
          <w:tab w:pos="7960" w:val="right" w:leader="dot"/>
        </w:tabs>
        <w:spacing w:line="280" w:lineRule="exact" w:after="100"/>
        <w:ind w:left="400"/>
      </w:pPr>
      <w:hyperlink w:anchor="page_14">
        <w:r>
          <w:rPr>
            <w:rFonts w:ascii="Palatino Linotype" w:hAnsi="Palatino Linotype"/>
          </w:rPr>
          <w:t>2.1.1 Construction et séparation du corpus</w:t>
        </w:r>
      </w:hyperlink>
      <w:r>
        <w:tab/>
        <w:t>14</w:t>
      </w:r>
    </w:p>
    <w:p>
      <w:pPr>
        <w:sectPr>
          <w:headerReference w:type="default" r:id="rId19"/>
          <w:footerReference w:type="default" r:id="rId20"/>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sectPr>
      </w:pPr>
    </w:p>
    <w:p>
      <w:bookmarkStart w:id="6" w:name="page_vi"/>
      <w:pPr>
        <w:pStyle w:val="Small"/>
      </w:pPr>
      <w:bookmarkEnd w:id="6"/>
    </w:p>
    <w:p>
      <w:pPr>
        <w:pStyle w:val="Contents"/>
        <w:tabs>
          <w:tab w:pos="7960" w:val="right" w:leader="dot"/>
        </w:tabs>
        <w:spacing w:line="280" w:lineRule="exact" w:after="100"/>
        <w:ind w:left="400"/>
      </w:pPr>
      <w:hyperlink w:anchor="page_15">
        <w:r>
          <w:rPr>
            <w:rFonts w:ascii="Palatino Linotype" w:hAnsi="Palatino Linotype"/>
          </w:rPr>
          <w:t>2.1.2 Prétraitement et prévention des fuites</w:t>
        </w:r>
      </w:hyperlink>
      <w:r>
        <w:tab/>
        <w:t>15</w:t>
      </w:r>
    </w:p>
    <w:p>
      <w:pPr>
        <w:pStyle w:val="Contents"/>
        <w:tabs>
          <w:tab w:pos="7960" w:val="right" w:leader="dot"/>
        </w:tabs>
        <w:spacing w:line="280" w:lineRule="exact" w:after="100"/>
        <w:ind w:left="400"/>
      </w:pPr>
      <w:hyperlink w:anchor="page_16">
        <w:r>
          <w:rPr>
            <w:rFonts w:ascii="Palatino Linotype" w:hAnsi="Palatino Linotype"/>
          </w:rPr>
          <w:t>2.1.3 Réseau hiérarchique retenu</w:t>
        </w:r>
      </w:hyperlink>
      <w:r>
        <w:tab/>
        <w:t>16</w:t>
      </w:r>
    </w:p>
    <w:p>
      <w:pPr>
        <w:pStyle w:val="Contents"/>
        <w:tabs>
          <w:tab w:pos="7960" w:val="right" w:leader="dot"/>
        </w:tabs>
        <w:spacing w:line="280" w:lineRule="exact" w:after="100"/>
        <w:ind w:left="200"/>
      </w:pPr>
      <w:hyperlink w:anchor="page_17">
        <w:r>
          <w:rPr>
            <w:rFonts w:ascii="Palatino Linotype" w:hAnsi="Palatino Linotype"/>
          </w:rPr>
          <w:t>2.2 Modélisation en UML</w:t>
        </w:r>
      </w:hyperlink>
      <w:r>
        <w:tab/>
        <w:t>17</w:t>
      </w:r>
    </w:p>
    <w:p>
      <w:pPr>
        <w:pStyle w:val="Contents"/>
        <w:tabs>
          <w:tab w:pos="7960" w:val="right" w:leader="dot"/>
        </w:tabs>
        <w:spacing w:line="280" w:lineRule="exact" w:after="100"/>
        <w:ind w:left="400"/>
      </w:pPr>
      <w:hyperlink w:anchor="page_17">
        <w:r>
          <w:rPr>
            <w:rFonts w:ascii="Palatino Linotype" w:hAnsi="Palatino Linotype"/>
          </w:rPr>
          <w:t>2.2.1 Diagramme de classes</w:t>
        </w:r>
      </w:hyperlink>
      <w:r>
        <w:tab/>
        <w:t>17</w:t>
      </w:r>
    </w:p>
    <w:p>
      <w:pPr>
        <w:pStyle w:val="Contents"/>
        <w:tabs>
          <w:tab w:pos="7960" w:val="right" w:leader="dot"/>
        </w:tabs>
        <w:spacing w:line="280" w:lineRule="exact" w:after="100"/>
        <w:ind w:left="400"/>
      </w:pPr>
      <w:hyperlink w:anchor="page_18">
        <w:r>
          <w:rPr>
            <w:rFonts w:ascii="Palatino Linotype" w:hAnsi="Palatino Linotype"/>
          </w:rPr>
          <w:t>2.2.2 Diagramme de cas d’utilisation</w:t>
        </w:r>
      </w:hyperlink>
      <w:r>
        <w:tab/>
        <w:t>18</w:t>
      </w:r>
    </w:p>
    <w:p>
      <w:pPr>
        <w:pStyle w:val="Contents"/>
        <w:tabs>
          <w:tab w:pos="7960" w:val="right" w:leader="dot"/>
        </w:tabs>
        <w:spacing w:line="280" w:lineRule="exact" w:after="100"/>
        <w:ind w:left="400"/>
      </w:pPr>
      <w:hyperlink w:anchor="page_19">
        <w:r>
          <w:rPr>
            <w:rFonts w:ascii="Palatino Linotype" w:hAnsi="Palatino Linotype"/>
          </w:rPr>
          <w:t>2.2.3 Diagramme de séquence</w:t>
        </w:r>
      </w:hyperlink>
      <w:r>
        <w:tab/>
        <w:t>19</w:t>
      </w:r>
    </w:p>
    <w:p>
      <w:pPr>
        <w:pStyle w:val="Contents"/>
        <w:tabs>
          <w:tab w:pos="7960" w:val="right" w:leader="dot"/>
        </w:tabs>
        <w:spacing w:line="280" w:lineRule="exact" w:after="100"/>
        <w:ind w:left="400"/>
      </w:pPr>
      <w:hyperlink w:anchor="page_19">
        <w:r>
          <w:rPr>
            <w:rFonts w:ascii="Palatino Linotype" w:hAnsi="Palatino Linotype"/>
          </w:rPr>
          <w:t>2.2.4 Diagramme d’états-transitions</w:t>
        </w:r>
      </w:hyperlink>
      <w:r>
        <w:tab/>
        <w:t>19</w:t>
      </w:r>
    </w:p>
    <w:p>
      <w:pPr>
        <w:pStyle w:val="Contents"/>
        <w:tabs>
          <w:tab w:pos="7960" w:val="right" w:leader="dot"/>
        </w:tabs>
        <w:spacing w:line="280" w:lineRule="exact" w:after="100"/>
        <w:ind w:left="400"/>
      </w:pPr>
      <w:hyperlink w:anchor="page_20">
        <w:r>
          <w:rPr>
            <w:rFonts w:ascii="Palatino Linotype" w:hAnsi="Palatino Linotype"/>
          </w:rPr>
          <w:t>2.2.5 Organisation des fichiers et reproductibilité</w:t>
        </w:r>
      </w:hyperlink>
      <w:r>
        <w:tab/>
        <w:t>20</w:t>
      </w:r>
    </w:p>
    <w:p>
      <w:pPr>
        <w:pStyle w:val="Contents"/>
        <w:tabs>
          <w:tab w:pos="7960" w:val="right" w:leader="dot"/>
        </w:tabs>
        <w:spacing w:line="280" w:lineRule="exact" w:after="100"/>
        <w:ind w:left="0"/>
      </w:pPr>
      <w:hyperlink w:anchor="page_21">
        <w:r>
          <w:rPr>
            <w:rFonts w:ascii="Palatino Linotype" w:hAnsi="Palatino Linotype"/>
          </w:rPr>
          <w:t>3 Investigation expérimentale</w:t>
        </w:r>
      </w:hyperlink>
      <w:r>
        <w:tab/>
        <w:t>21</w:t>
      </w:r>
    </w:p>
    <w:p>
      <w:pPr>
        <w:pStyle w:val="Contents"/>
        <w:tabs>
          <w:tab w:pos="7960" w:val="right" w:leader="dot"/>
        </w:tabs>
        <w:spacing w:line="280" w:lineRule="exact" w:after="100"/>
        <w:ind w:left="200"/>
      </w:pPr>
      <w:hyperlink w:anchor="page_21">
        <w:r>
          <w:rPr>
            <w:rFonts w:ascii="Palatino Linotype" w:hAnsi="Palatino Linotype"/>
          </w:rPr>
          <w:t>3.1 Description de l’application</w:t>
        </w:r>
      </w:hyperlink>
      <w:r>
        <w:tab/>
        <w:t>21</w:t>
      </w:r>
    </w:p>
    <w:p>
      <w:pPr>
        <w:pStyle w:val="Contents"/>
        <w:tabs>
          <w:tab w:pos="7960" w:val="right" w:leader="dot"/>
        </w:tabs>
        <w:spacing w:line="280" w:lineRule="exact" w:after="100"/>
        <w:ind w:left="400"/>
      </w:pPr>
      <w:hyperlink w:anchor="page_22">
        <w:r>
          <w:rPr>
            <w:rFonts w:ascii="Palatino Linotype" w:hAnsi="Palatino Linotype"/>
          </w:rPr>
          <w:t>3.1.1 Technologies utilisées et hyperparamètres</w:t>
        </w:r>
      </w:hyperlink>
      <w:r>
        <w:tab/>
        <w:t>22</w:t>
      </w:r>
    </w:p>
    <w:p>
      <w:pPr>
        <w:pStyle w:val="Contents"/>
        <w:tabs>
          <w:tab w:pos="7960" w:val="right" w:leader="dot"/>
        </w:tabs>
        <w:spacing w:line="280" w:lineRule="exact" w:after="100"/>
        <w:ind w:left="400"/>
      </w:pPr>
      <w:hyperlink w:anchor="page_23">
        <w:r>
          <w:rPr>
            <w:rFonts w:ascii="Palatino Linotype" w:hAnsi="Palatino Linotype"/>
          </w:rPr>
          <w:t>3.1.2 Mise en œuvre de l’entraînement</w:t>
        </w:r>
      </w:hyperlink>
      <w:r>
        <w:tab/>
        <w:t>23</w:t>
      </w:r>
    </w:p>
    <w:p>
      <w:pPr>
        <w:pStyle w:val="Contents"/>
        <w:tabs>
          <w:tab w:pos="7960" w:val="right" w:leader="dot"/>
        </w:tabs>
        <w:spacing w:line="280" w:lineRule="exact" w:after="100"/>
        <w:ind w:left="400"/>
      </w:pPr>
      <w:hyperlink w:anchor="page_24">
        <w:r>
          <w:rPr>
            <w:rFonts w:ascii="Palatino Linotype" w:hAnsi="Palatino Linotype"/>
          </w:rPr>
          <w:t>3.1.3 Intégration et cohérence de l’inférence</w:t>
        </w:r>
      </w:hyperlink>
      <w:r>
        <w:tab/>
        <w:t>24</w:t>
      </w:r>
    </w:p>
    <w:p>
      <w:pPr>
        <w:pStyle w:val="Contents"/>
        <w:tabs>
          <w:tab w:pos="7960" w:val="right" w:leader="dot"/>
        </w:tabs>
        <w:spacing w:line="280" w:lineRule="exact" w:after="100"/>
        <w:ind w:left="200"/>
      </w:pPr>
      <w:hyperlink w:anchor="page_25">
        <w:r>
          <w:rPr>
            <w:rFonts w:ascii="Palatino Linotype" w:hAnsi="Palatino Linotype"/>
          </w:rPr>
          <w:t>3.2 Résultats</w:t>
        </w:r>
      </w:hyperlink>
      <w:r>
        <w:tab/>
        <w:t>25</w:t>
      </w:r>
    </w:p>
    <w:p>
      <w:pPr>
        <w:pStyle w:val="Contents"/>
        <w:tabs>
          <w:tab w:pos="7960" w:val="right" w:leader="dot"/>
        </w:tabs>
        <w:spacing w:line="280" w:lineRule="exact" w:after="100"/>
        <w:ind w:left="400"/>
      </w:pPr>
      <w:hyperlink w:anchor="page_25">
        <w:r>
          <w:rPr>
            <w:rFonts w:ascii="Palatino Linotype" w:hAnsi="Palatino Linotype"/>
          </w:rPr>
          <w:t>3.2.1 Performances du modèle actif</w:t>
        </w:r>
      </w:hyperlink>
      <w:r>
        <w:tab/>
        <w:t>25</w:t>
      </w:r>
    </w:p>
    <w:p>
      <w:pPr>
        <w:pStyle w:val="Contents"/>
        <w:tabs>
          <w:tab w:pos="7960" w:val="right" w:leader="dot"/>
        </w:tabs>
        <w:spacing w:line="280" w:lineRule="exact" w:after="100"/>
        <w:ind w:left="400"/>
      </w:pPr>
      <w:hyperlink w:anchor="page_26">
        <w:r>
          <w:rPr>
            <w:rFonts w:ascii="Palatino Linotype" w:hAnsi="Palatino Linotype"/>
          </w:rPr>
          <w:t>3.2.2 Probabilités et calibration</w:t>
        </w:r>
      </w:hyperlink>
      <w:r>
        <w:tab/>
        <w:t>26</w:t>
      </w:r>
    </w:p>
    <w:p>
      <w:pPr>
        <w:pStyle w:val="Contents"/>
        <w:tabs>
          <w:tab w:pos="7960" w:val="right" w:leader="dot"/>
        </w:tabs>
        <w:spacing w:line="280" w:lineRule="exact" w:after="100"/>
        <w:ind w:left="400"/>
      </w:pPr>
      <w:hyperlink w:anchor="page_27">
        <w:r>
          <w:rPr>
            <w:rFonts w:ascii="Palatino Linotype" w:hAnsi="Palatino Linotype"/>
          </w:rPr>
          <w:t>3.2.3 Comparaison du CNN–BiLSTM, de XGBoost et du TCN</w:t>
        </w:r>
      </w:hyperlink>
      <w:r>
        <w:tab/>
        <w:t>27</w:t>
      </w:r>
    </w:p>
    <w:p>
      <w:pPr>
        <w:pStyle w:val="Contents"/>
        <w:tabs>
          <w:tab w:pos="7960" w:val="right" w:leader="dot"/>
        </w:tabs>
        <w:spacing w:line="280" w:lineRule="exact" w:after="100"/>
        <w:ind w:left="400"/>
      </w:pPr>
      <w:hyperlink w:anchor="page_28">
        <w:r>
          <w:rPr>
            <w:rFonts w:ascii="Palatino Linotype" w:hAnsi="Palatino Linotype"/>
          </w:rPr>
          <w:t>3.2.4 Protocole commun d’apprentissage et d’évaluation</w:t>
        </w:r>
      </w:hyperlink>
      <w:r>
        <w:tab/>
        <w:t>28</w:t>
      </w:r>
    </w:p>
    <w:p>
      <w:pPr>
        <w:pStyle w:val="Contents"/>
        <w:tabs>
          <w:tab w:pos="7960" w:val="right" w:leader="dot"/>
        </w:tabs>
        <w:spacing w:line="280" w:lineRule="exact" w:after="100"/>
        <w:ind w:left="400"/>
      </w:pPr>
      <w:hyperlink w:anchor="page_29">
        <w:r>
          <w:rPr>
            <w:rFonts w:ascii="Palatino Linotype" w:hAnsi="Palatino Linotype"/>
          </w:rPr>
          <w:t>3.2.5 Architecture TCN, calibration et coût de calcul</w:t>
        </w:r>
      </w:hyperlink>
      <w:r>
        <w:tab/>
        <w:t>29</w:t>
      </w:r>
    </w:p>
    <w:p>
      <w:pPr>
        <w:pStyle w:val="Contents"/>
        <w:tabs>
          <w:tab w:pos="7960" w:val="right" w:leader="dot"/>
        </w:tabs>
        <w:spacing w:line="280" w:lineRule="exact" w:after="100"/>
        <w:ind w:left="200"/>
      </w:pPr>
      <w:hyperlink w:anchor="page_30">
        <w:r>
          <w:rPr>
            <w:rFonts w:ascii="Palatino Linotype" w:hAnsi="Palatino Linotype"/>
          </w:rPr>
          <w:t>3.3 Discussion</w:t>
        </w:r>
      </w:hyperlink>
      <w:r>
        <w:tab/>
        <w:t>30</w:t>
      </w:r>
    </w:p>
    <w:p>
      <w:pPr>
        <w:pStyle w:val="Contents"/>
        <w:tabs>
          <w:tab w:pos="7960" w:val="right" w:leader="dot"/>
        </w:tabs>
        <w:spacing w:line="280" w:lineRule="exact" w:after="100"/>
        <w:ind w:left="200"/>
      </w:pPr>
      <w:hyperlink w:anchor="page_31">
        <w:r>
          <w:rPr>
            <w:rFonts w:ascii="Palatino Linotype" w:hAnsi="Palatino Linotype"/>
          </w:rPr>
          <w:t>3.4 Potentielles améliorations</w:t>
        </w:r>
      </w:hyperlink>
      <w:r>
        <w:tab/>
        <w:t>31</w:t>
      </w:r>
    </w:p>
    <w:p>
      <w:pPr>
        <w:pStyle w:val="Contents"/>
        <w:tabs>
          <w:tab w:pos="7960" w:val="right" w:leader="dot"/>
        </w:tabs>
        <w:spacing w:line="280" w:lineRule="exact" w:after="100"/>
        <w:ind w:left="0"/>
      </w:pPr>
      <w:hyperlink w:anchor="page_32">
        <w:r>
          <w:rPr>
            <w:rFonts w:ascii="Palatino Linotype" w:hAnsi="Palatino Linotype"/>
          </w:rPr>
          <w:t>Conclusion</w:t>
        </w:r>
      </w:hyperlink>
      <w:r>
        <w:tab/>
        <w:t>32</w:t>
      </w:r>
    </w:p>
    <w:p>
      <w:pPr>
        <w:pStyle w:val="Contents"/>
        <w:tabs>
          <w:tab w:pos="7960" w:val="right" w:leader="dot"/>
        </w:tabs>
        <w:spacing w:line="280" w:lineRule="exact" w:after="100"/>
        <w:ind w:left="0"/>
      </w:pPr>
      <w:hyperlink w:anchor="page_33">
        <w:r>
          <w:rPr>
            <w:rFonts w:ascii="Palatino Linotype" w:hAnsi="Palatino Linotype"/>
          </w:rPr>
          <w:t>Bibliographie</w:t>
        </w:r>
      </w:hyperlink>
      <w:r>
        <w:tab/>
        <w:t>33</w:t>
      </w:r>
    </w:p>
    <w:p>
      <w:pPr>
        <w:sectPr>
          <w:headerReference w:type="default" r:id="rId21"/>
          <w:footerReference w:type="default" r:id="rId22"/>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sectPr>
      </w:pPr>
    </w:p>
    <w:p>
      <w:bookmarkStart w:id="7" w:name="page_vii"/>
      <w:pPr>
        <w:pStyle w:val="Heading1"/>
        <w:spacing w:before="1960" w:after="960"/>
      </w:pPr>
      <w:r>
        <w:t>Table des figures</w:t>
      </w:r>
      <w:bookmarkEnd w:id="7"/>
    </w:p>
    <w:p>
      <w:pPr>
        <w:pStyle w:val="Contents"/>
        <w:tabs>
          <w:tab w:pos="7960" w:val="right" w:leader="dot"/>
        </w:tabs>
        <w:spacing w:line="280" w:lineRule="exact" w:after="100"/>
        <w:ind w:left="0"/>
      </w:pPr>
      <w:hyperlink w:anchor="page_4">
        <w:r>
          <w:rPr>
            <w:rFonts w:ascii="Palatino Linotype" w:hAnsi="Palatino Linotype"/>
          </w:rPr>
          <w:t>1.1 Place de l’analyse dans le cycle d’un contrat.</w:t>
        </w:r>
      </w:hyperlink>
      <w:r>
        <w:tab/>
        <w:t>4</w:t>
      </w:r>
    </w:p>
    <w:p>
      <w:pPr>
        <w:pStyle w:val="Contents"/>
        <w:tabs>
          <w:tab w:pos="7960" w:val="right" w:leader="dot"/>
        </w:tabs>
        <w:spacing w:line="280" w:lineRule="exact" w:after="100"/>
        <w:ind w:left="0"/>
      </w:pPr>
      <w:hyperlink w:anchor="page_6">
        <w:r>
          <w:rPr>
            <w:rFonts w:ascii="Palatino Linotype" w:hAnsi="Palatino Linotype"/>
          </w:rPr>
          <w:t>1.2 Principales approches et rôle commun de l’évaluation.</w:t>
        </w:r>
      </w:hyperlink>
      <w:r>
        <w:tab/>
        <w:t>6</w:t>
      </w:r>
    </w:p>
    <w:p>
      <w:pPr>
        <w:pStyle w:val="Contents"/>
        <w:tabs>
          <w:tab w:pos="7960" w:val="right" w:leader="dot"/>
        </w:tabs>
        <w:spacing w:line="280" w:lineRule="exact" w:after="100"/>
        <w:ind w:left="0"/>
      </w:pPr>
      <w:hyperlink w:anchor="page_13">
        <w:r>
          <w:rPr>
            <w:rFonts w:ascii="Palatino Linotype" w:hAnsi="Palatino Linotype"/>
          </w:rPr>
          <w:t>2.1 Chaîne de données, apprentissage et utilisation.</w:t>
        </w:r>
      </w:hyperlink>
      <w:r>
        <w:tab/>
        <w:t>13</w:t>
      </w:r>
    </w:p>
    <w:p>
      <w:pPr>
        <w:pStyle w:val="Contents"/>
        <w:tabs>
          <w:tab w:pos="7960" w:val="right" w:leader="dot"/>
        </w:tabs>
        <w:spacing w:line="280" w:lineRule="exact" w:after="100"/>
        <w:ind w:left="0"/>
      </w:pPr>
      <w:hyperlink w:anchor="page_16">
        <w:r>
          <w:rPr>
            <w:rFonts w:ascii="Palatino Linotype" w:hAnsi="Palatino Linotype"/>
          </w:rPr>
          <w:t>2.2 Architecture du modèle actif CNN–BiLSTM.</w:t>
        </w:r>
      </w:hyperlink>
      <w:r>
        <w:tab/>
        <w:t>16</w:t>
      </w:r>
    </w:p>
    <w:p>
      <w:pPr>
        <w:pStyle w:val="Contents"/>
        <w:tabs>
          <w:tab w:pos="7960" w:val="right" w:leader="dot"/>
        </w:tabs>
        <w:spacing w:line="280" w:lineRule="exact" w:after="100"/>
        <w:ind w:left="0"/>
      </w:pPr>
      <w:hyperlink w:anchor="page_17">
        <w:r>
          <w:rPr>
            <w:rFonts w:ascii="Palatino Linotype" w:hAnsi="Palatino Linotype"/>
          </w:rPr>
          <w:t>2.3 Modèle conceptuel des données et du prédicteur.</w:t>
        </w:r>
      </w:hyperlink>
      <w:r>
        <w:tab/>
        <w:t>17</w:t>
      </w:r>
    </w:p>
    <w:p>
      <w:pPr>
        <w:pStyle w:val="Contents"/>
        <w:tabs>
          <w:tab w:pos="7960" w:val="right" w:leader="dot"/>
        </w:tabs>
        <w:spacing w:line="280" w:lineRule="exact" w:after="100"/>
        <w:ind w:left="0"/>
      </w:pPr>
      <w:hyperlink w:anchor="page_18">
        <w:r>
          <w:rPr>
            <w:rFonts w:ascii="Palatino Linotype" w:hAnsi="Palatino Linotype"/>
          </w:rPr>
          <w:t>2.4 Cas d’utilisation de l’application SMART BUG.</w:t>
        </w:r>
      </w:hyperlink>
      <w:r>
        <w:tab/>
        <w:t>18</w:t>
      </w:r>
    </w:p>
    <w:p>
      <w:pPr>
        <w:pStyle w:val="Contents"/>
        <w:tabs>
          <w:tab w:pos="7960" w:val="right" w:leader="dot"/>
        </w:tabs>
        <w:spacing w:line="280" w:lineRule="exact" w:after="100"/>
        <w:ind w:left="0"/>
      </w:pPr>
      <w:hyperlink w:anchor="page_19">
        <w:r>
          <w:rPr>
            <w:rFonts w:ascii="Palatino Linotype" w:hAnsi="Palatino Linotype"/>
          </w:rPr>
          <w:t>2.5 Interactions principales lors d’une analyse.</w:t>
        </w:r>
      </w:hyperlink>
      <w:r>
        <w:tab/>
        <w:t>19</w:t>
      </w:r>
    </w:p>
    <w:p>
      <w:pPr>
        <w:pStyle w:val="Contents"/>
        <w:tabs>
          <w:tab w:pos="7960" w:val="right" w:leader="dot"/>
        </w:tabs>
        <w:spacing w:line="280" w:lineRule="exact" w:after="100"/>
        <w:ind w:left="0"/>
      </w:pPr>
      <w:hyperlink w:anchor="page_19">
        <w:r>
          <w:rPr>
            <w:rFonts w:ascii="Palatino Linotype" w:hAnsi="Palatino Linotype"/>
          </w:rPr>
          <w:t>2.6 États simplifiés du traitement d’un contrat.</w:t>
        </w:r>
      </w:hyperlink>
      <w:r>
        <w:tab/>
        <w:t>19</w:t>
      </w:r>
    </w:p>
    <w:p>
      <w:pPr>
        <w:pStyle w:val="Contents"/>
        <w:tabs>
          <w:tab w:pos="7960" w:val="right" w:leader="dot"/>
        </w:tabs>
        <w:spacing w:line="280" w:lineRule="exact" w:after="100"/>
        <w:ind w:left="0"/>
      </w:pPr>
      <w:hyperlink w:anchor="page_23">
        <w:r>
          <w:rPr>
            <w:rFonts w:ascii="Palatino Linotype" w:hAnsi="Palatino Linotype"/>
          </w:rPr>
          <w:t>3.1 Pertes d’apprentissage et de validation, graine 73.</w:t>
        </w:r>
      </w:hyperlink>
      <w:r>
        <w:tab/>
        <w:t>23</w:t>
      </w:r>
    </w:p>
    <w:p>
      <w:pPr>
        <w:pStyle w:val="Contents"/>
        <w:tabs>
          <w:tab w:pos="7960" w:val="right" w:leader="dot"/>
        </w:tabs>
        <w:spacing w:line="280" w:lineRule="exact" w:after="100"/>
        <w:ind w:left="0"/>
      </w:pPr>
      <w:hyperlink w:anchor="page_24">
        <w:r>
          <w:rPr>
            <w:rFonts w:ascii="Palatino Linotype" w:hAnsi="Palatino Linotype"/>
          </w:rPr>
          <w:t>3.2 Exactitudes d’apprentissage et de validation, graine 73.</w:t>
        </w:r>
      </w:hyperlink>
      <w:r>
        <w:tab/>
        <w:t>24</w:t>
      </w:r>
    </w:p>
    <w:p>
      <w:pPr>
        <w:pStyle w:val="Contents"/>
        <w:tabs>
          <w:tab w:pos="7960" w:val="right" w:leader="dot"/>
        </w:tabs>
        <w:spacing w:line="280" w:lineRule="exact" w:after="100"/>
        <w:ind w:left="0"/>
      </w:pPr>
      <w:hyperlink w:anchor="page_25">
        <w:r>
          <w:rPr>
            <w:rFonts w:ascii="Palatino Linotype" w:hAnsi="Palatino Linotype"/>
          </w:rPr>
          <w:t>3.3 Matrice de confusion du modèle actif calibré.</w:t>
        </w:r>
      </w:hyperlink>
      <w:r>
        <w:tab/>
        <w:t>25</w:t>
      </w:r>
    </w:p>
    <w:p>
      <w:pPr>
        <w:pStyle w:val="Contents"/>
        <w:tabs>
          <w:tab w:pos="7960" w:val="right" w:leader="dot"/>
        </w:tabs>
        <w:spacing w:line="280" w:lineRule="exact" w:after="100"/>
        <w:ind w:left="0"/>
      </w:pPr>
      <w:hyperlink w:anchor="page_26">
        <w:r>
          <w:rPr>
            <w:rFonts w:ascii="Palatino Linotype" w:hAnsi="Palatino Linotype"/>
          </w:rPr>
          <w:t>3.4 Fiabilité des probabilités sur le test, dix intervalles.</w:t>
        </w:r>
      </w:hyperlink>
      <w:r>
        <w:tab/>
        <w:t>26</w:t>
      </w:r>
    </w:p>
    <w:p>
      <w:pPr>
        <w:pStyle w:val="Contents"/>
        <w:tabs>
          <w:tab w:pos="7960" w:val="right" w:leader="dot"/>
        </w:tabs>
        <w:spacing w:line="280" w:lineRule="exact" w:after="100"/>
        <w:ind w:left="0"/>
      </w:pPr>
      <w:hyperlink w:anchor="page_27">
        <w:r>
          <w:rPr>
            <w:rFonts w:ascii="Palatino Linotype" w:hAnsi="Palatino Linotype"/>
          </w:rPr>
          <w:t>3.5 Indicateurs mesurés des trois checkpoints sur le test.</w:t>
        </w:r>
      </w:hyperlink>
      <w:r>
        <w:tab/>
        <w:t>27</w:t>
      </w:r>
    </w:p>
    <w:p>
      <w:pPr>
        <w:pStyle w:val="Contents"/>
        <w:tabs>
          <w:tab w:pos="7960" w:val="right" w:leader="dot"/>
        </w:tabs>
        <w:spacing w:line="280" w:lineRule="exact" w:after="100"/>
        <w:ind w:left="0"/>
      </w:pPr>
      <w:hyperlink w:anchor="page_28">
        <w:r>
          <w:rPr>
            <w:rFonts w:ascii="Palatino Linotype" w:hAnsi="Palatino Linotype"/>
          </w:rPr>
          <w:t>3.6 Différences de F1 macro et intervalles bootstrap par groupes.</w:t>
        </w:r>
      </w:hyperlink>
      <w:r>
        <w:tab/>
        <w:t>28</w:t>
      </w:r>
    </w:p>
    <w:p>
      <w:pPr>
        <w:pStyle w:val="Contents"/>
        <w:tabs>
          <w:tab w:pos="7960" w:val="right" w:leader="dot"/>
        </w:tabs>
        <w:spacing w:line="280" w:lineRule="exact" w:after="100"/>
        <w:ind w:left="0"/>
      </w:pPr>
      <w:hyperlink w:anchor="page_29">
        <w:r>
          <w:rPr>
            <w:rFonts w:ascii="Palatino Linotype" w:hAnsi="Palatino Linotype"/>
          </w:rPr>
          <w:t>3.7 Pertes du TCN retenu, graine 42.</w:t>
        </w:r>
      </w:hyperlink>
      <w:r>
        <w:tab/>
        <w:t>29</w:t>
      </w:r>
    </w:p>
    <w:p>
      <w:pPr>
        <w:sectPr>
          <w:headerReference w:type="default" r:id="rId23"/>
          <w:footerReference w:type="default" r:id="rId24"/>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sectPr>
      </w:pPr>
    </w:p>
    <w:p>
      <w:bookmarkStart w:id="8" w:name="page_viii"/>
      <w:pPr>
        <w:pStyle w:val="Heading1"/>
        <w:spacing w:before="1960" w:after="960"/>
      </w:pPr>
      <w:r>
        <w:t>Liste des tableaux</w:t>
      </w:r>
      <w:bookmarkEnd w:id="8"/>
    </w:p>
    <w:p>
      <w:pPr>
        <w:pStyle w:val="Contents"/>
        <w:tabs>
          <w:tab w:pos="7960" w:val="right" w:leader="dot"/>
        </w:tabs>
        <w:spacing w:line="280" w:lineRule="exact" w:after="100"/>
        <w:ind w:left="0"/>
      </w:pPr>
      <w:hyperlink w:anchor="page_5">
        <w:r>
          <w:rPr>
            <w:rFonts w:ascii="Palatino Linotype" w:hAnsi="Palatino Linotype"/>
          </w:rPr>
          <w:t>1.1 Familles de vulnérabilités considérées.</w:t>
        </w:r>
      </w:hyperlink>
      <w:r>
        <w:tab/>
        <w:t>5</w:t>
      </w:r>
    </w:p>
    <w:p>
      <w:pPr>
        <w:pStyle w:val="Contents"/>
        <w:tabs>
          <w:tab w:pos="7960" w:val="right" w:leader="dot"/>
        </w:tabs>
        <w:spacing w:line="280" w:lineRule="exact" w:after="100"/>
        <w:ind w:left="0"/>
      </w:pPr>
      <w:hyperlink w:anchor="page_9">
        <w:r>
          <w:rPr>
            <w:rFonts w:ascii="Palatino Linotype" w:hAnsi="Palatino Linotype"/>
          </w:rPr>
          <w:t>1.2 Définition des indicateurs issus de la confusion.</w:t>
        </w:r>
      </w:hyperlink>
      <w:r>
        <w:tab/>
        <w:t>9</w:t>
      </w:r>
    </w:p>
    <w:p>
      <w:pPr>
        <w:pStyle w:val="Contents"/>
        <w:tabs>
          <w:tab w:pos="7960" w:val="right" w:leader="dot"/>
        </w:tabs>
        <w:spacing w:line="280" w:lineRule="exact" w:after="100"/>
        <w:ind w:left="0"/>
      </w:pPr>
      <w:hyperlink w:anchor="page_10">
        <w:r>
          <w:rPr>
            <w:rFonts w:ascii="Palatino Linotype" w:hAnsi="Palatino Linotype"/>
          </w:rPr>
          <w:t>1.3 Démarches des travaux connexes.</w:t>
        </w:r>
      </w:hyperlink>
      <w:r>
        <w:tab/>
        <w:t>10</w:t>
      </w:r>
    </w:p>
    <w:p>
      <w:pPr>
        <w:pStyle w:val="Contents"/>
        <w:tabs>
          <w:tab w:pos="7960" w:val="right" w:leader="dot"/>
        </w:tabs>
        <w:spacing w:line="280" w:lineRule="exact" w:after="100"/>
        <w:ind w:left="0"/>
      </w:pPr>
      <w:hyperlink w:anchor="page_14">
        <w:r>
          <w:rPr>
            <w:rFonts w:ascii="Palatino Linotype" w:hAnsi="Palatino Linotype"/>
          </w:rPr>
          <w:t>2.1 Composition du corpus final par partition.</w:t>
        </w:r>
      </w:hyperlink>
      <w:r>
        <w:tab/>
        <w:t>14</w:t>
      </w:r>
    </w:p>
    <w:p>
      <w:pPr>
        <w:pStyle w:val="Contents"/>
        <w:tabs>
          <w:tab w:pos="7960" w:val="right" w:leader="dot"/>
        </w:tabs>
        <w:spacing w:line="280" w:lineRule="exact" w:after="100"/>
        <w:ind w:left="0"/>
      </w:pPr>
      <w:hyperlink w:anchor="page_20">
        <w:r>
          <w:rPr>
            <w:rFonts w:ascii="Palatino Linotype" w:hAnsi="Palatino Linotype"/>
          </w:rPr>
          <w:t>2.2 Principaux fichiers et responsabilités.</w:t>
        </w:r>
      </w:hyperlink>
      <w:r>
        <w:tab/>
        <w:t>20</w:t>
      </w:r>
    </w:p>
    <w:p>
      <w:pPr>
        <w:pStyle w:val="Contents"/>
        <w:tabs>
          <w:tab w:pos="7960" w:val="right" w:leader="dot"/>
        </w:tabs>
        <w:spacing w:line="280" w:lineRule="exact" w:after="100"/>
        <w:ind w:left="0"/>
      </w:pPr>
      <w:hyperlink w:anchor="page_22">
        <w:r>
          <w:rPr>
            <w:rFonts w:ascii="Palatino Linotype" w:hAnsi="Palatino Linotype"/>
          </w:rPr>
          <w:t>3.1 Réglages du CNN–BiLSTM actif.</w:t>
        </w:r>
      </w:hyperlink>
      <w:r>
        <w:tab/>
        <w:t>22</w:t>
      </w:r>
    </w:p>
    <w:p>
      <w:pPr>
        <w:pStyle w:val="Contents"/>
        <w:tabs>
          <w:tab w:pos="7960" w:val="right" w:leader="dot"/>
        </w:tabs>
        <w:spacing w:line="280" w:lineRule="exact" w:after="100"/>
        <w:ind w:left="0"/>
      </w:pPr>
      <w:hyperlink w:anchor="page_26">
        <w:r>
          <w:rPr>
            <w:rFonts w:ascii="Palatino Linotype" w:hAnsi="Palatino Linotype"/>
          </w:rPr>
          <w:t>3.2 Résultats du test pour le CNN–BiLSTM actif.</w:t>
        </w:r>
      </w:hyperlink>
      <w:r>
        <w:tab/>
        <w:t>26</w:t>
      </w:r>
    </w:p>
    <w:p>
      <w:pPr>
        <w:pStyle w:val="Contents"/>
        <w:tabs>
          <w:tab w:pos="7960" w:val="right" w:leader="dot"/>
        </w:tabs>
        <w:spacing w:line="280" w:lineRule="exact" w:after="100"/>
        <w:ind w:left="0"/>
      </w:pPr>
      <w:hyperlink w:anchor="page_27">
        <w:r>
          <w:rPr>
            <w:rFonts w:ascii="Palatino Linotype" w:hAnsi="Palatino Linotype"/>
          </w:rPr>
          <w:t>3.3 Résultats comparatifs des trois checkpoints.</w:t>
        </w:r>
      </w:hyperlink>
      <w:r>
        <w:tab/>
        <w:t>27</w:t>
      </w:r>
    </w:p>
    <w:p>
      <w:pPr>
        <w:sectPr>
          <w:headerReference w:type="default" r:id="rId25"/>
          <w:footerReference w:type="default" r:id="rId26"/>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sectPr>
      </w:pPr>
    </w:p>
    <w:p>
      <w:bookmarkStart w:id="9" w:name="page_ix"/>
      <w:pPr>
        <w:pStyle w:val="Heading1"/>
        <w:spacing w:before="1400" w:after="600"/>
      </w:pPr>
      <w:r>
        <w:t>Liste des abréviations</w:t>
      </w:r>
      <w:bookmarkEnd w:id="9"/>
    </w:p>
    <w:p>
      <w:pPr>
        <w:pStyle w:val="Abbreviation"/>
        <w:spacing w:line="226" w:lineRule="exact" w:after="8"/>
      </w:pPr>
      <w:r>
        <w:rPr>
          <w:b/>
        </w:rPr>
        <w:t xml:space="preserve">AdamW : </w:t>
      </w:r>
      <w:r>
        <w:t>Adam avec décroissance des poids découplée</w:t>
      </w:r>
    </w:p>
    <w:p>
      <w:pPr>
        <w:pStyle w:val="Abbreviation"/>
        <w:spacing w:line="226" w:lineRule="exact" w:after="8"/>
      </w:pPr>
      <w:r>
        <w:rPr>
          <w:b/>
        </w:rPr>
        <w:t xml:space="preserve">AP : </w:t>
      </w:r>
      <w:r>
        <w:t>Average precision : précision moyenne</w:t>
      </w:r>
    </w:p>
    <w:p>
      <w:pPr>
        <w:pStyle w:val="Abbreviation"/>
        <w:spacing w:line="226" w:lineRule="exact" w:after="8"/>
      </w:pPr>
      <w:r>
        <w:rPr>
          <w:b/>
        </w:rPr>
        <w:t xml:space="preserve">API : </w:t>
      </w:r>
      <w:r>
        <w:t>Application Programming Interface : interface de programmation</w:t>
      </w:r>
    </w:p>
    <w:p>
      <w:pPr>
        <w:pStyle w:val="Abbreviation"/>
        <w:spacing w:line="226" w:lineRule="exact" w:after="8"/>
      </w:pPr>
      <w:r>
        <w:rPr>
          <w:b/>
        </w:rPr>
        <w:t xml:space="preserve">AUC : </w:t>
      </w:r>
      <w:r>
        <w:t>Area Under the Curve : aire sous la courbe</w:t>
      </w:r>
    </w:p>
    <w:p>
      <w:pPr>
        <w:pStyle w:val="Abbreviation"/>
        <w:spacing w:line="226" w:lineRule="exact" w:after="8"/>
      </w:pPr>
      <w:r>
        <w:rPr>
          <w:b/>
        </w:rPr>
        <w:t xml:space="preserve">BiLSTM : </w:t>
      </w:r>
      <w:r>
        <w:t>Bidirectional Long Short-Term Memory : LSTM bidirectionnel</w:t>
      </w:r>
    </w:p>
    <w:p>
      <w:pPr>
        <w:pStyle w:val="Abbreviation"/>
        <w:spacing w:line="226" w:lineRule="exact" w:after="8"/>
      </w:pPr>
      <w:r>
        <w:rPr>
          <w:b/>
        </w:rPr>
        <w:t xml:space="preserve">CBGRU : </w:t>
      </w:r>
      <w:r>
        <w:t>Nom du modèle hybride de Zhang et al. (2022)</w:t>
      </w:r>
    </w:p>
    <w:p>
      <w:pPr>
        <w:pStyle w:val="Abbreviation"/>
        <w:spacing w:line="226" w:lineRule="exact" w:after="8"/>
      </w:pPr>
      <w:r>
        <w:rPr>
          <w:b/>
        </w:rPr>
        <w:t xml:space="preserve">CGT : </w:t>
      </w:r>
      <w:r>
        <w:t>Consolidated Ground Truth : vérité terrain consolidée</w:t>
      </w:r>
    </w:p>
    <w:p>
      <w:pPr>
        <w:pStyle w:val="Abbreviation"/>
        <w:spacing w:line="226" w:lineRule="exact" w:after="8"/>
      </w:pPr>
      <w:r>
        <w:rPr>
          <w:b/>
        </w:rPr>
        <w:t xml:space="preserve">CNN : </w:t>
      </w:r>
      <w:r>
        <w:t>Convolutional Neural Network : réseau neuronal convolutif</w:t>
      </w:r>
    </w:p>
    <w:p>
      <w:pPr>
        <w:pStyle w:val="Abbreviation"/>
        <w:spacing w:line="226" w:lineRule="exact" w:after="8"/>
      </w:pPr>
      <w:r>
        <w:rPr>
          <w:b/>
        </w:rPr>
        <w:t xml:space="preserve">COMPSAC : </w:t>
      </w:r>
      <w:r>
        <w:t>Computer Software and Applications Conference</w:t>
      </w:r>
    </w:p>
    <w:p>
      <w:pPr>
        <w:pStyle w:val="Abbreviation"/>
        <w:spacing w:line="226" w:lineRule="exact" w:after="8"/>
      </w:pPr>
      <w:r>
        <w:rPr>
          <w:b/>
        </w:rPr>
        <w:t xml:space="preserve">CPU : </w:t>
      </w:r>
      <w:r>
        <w:t>Central Processing Unit : processeur central</w:t>
      </w:r>
    </w:p>
    <w:p>
      <w:pPr>
        <w:pStyle w:val="Abbreviation"/>
        <w:spacing w:line="226" w:lineRule="exact" w:after="8"/>
      </w:pPr>
      <w:r>
        <w:rPr>
          <w:b/>
        </w:rPr>
        <w:t xml:space="preserve">CSS : </w:t>
      </w:r>
      <w:r>
        <w:t>Cascading Style Sheets : feuilles de style en cascade</w:t>
      </w:r>
    </w:p>
    <w:p>
      <w:pPr>
        <w:pStyle w:val="Abbreviation"/>
        <w:spacing w:line="226" w:lineRule="exact" w:after="8"/>
      </w:pPr>
      <w:r>
        <w:rPr>
          <w:b/>
        </w:rPr>
        <w:t xml:space="preserve">DOI : </w:t>
      </w:r>
      <w:r>
        <w:t>Digital Object Identifier : identifiant pérenne d’une publication</w:t>
      </w:r>
    </w:p>
    <w:p>
      <w:pPr>
        <w:pStyle w:val="Abbreviation"/>
        <w:spacing w:line="226" w:lineRule="exact" w:after="8"/>
      </w:pPr>
      <w:r>
        <w:rPr>
          <w:b/>
        </w:rPr>
        <w:t xml:space="preserve">ECE : </w:t>
      </w:r>
      <w:r>
        <w:t>Expected Calibration Error : erreur de calibration estimée</w:t>
      </w:r>
    </w:p>
    <w:p>
      <w:pPr>
        <w:pStyle w:val="Abbreviation"/>
        <w:spacing w:line="226" w:lineRule="exact" w:after="8"/>
      </w:pPr>
      <w:r>
        <w:rPr>
          <w:b/>
        </w:rPr>
        <w:t xml:space="preserve">EMNLP : </w:t>
      </w:r>
      <w:r>
        <w:t>Empirical Methods in Natural Language Processing</w:t>
      </w:r>
    </w:p>
    <w:p>
      <w:pPr>
        <w:pStyle w:val="Abbreviation"/>
        <w:spacing w:line="226" w:lineRule="exact" w:after="8"/>
      </w:pPr>
      <w:r>
        <w:rPr>
          <w:b/>
        </w:rPr>
        <w:t xml:space="preserve">EVM : </w:t>
      </w:r>
      <w:r>
        <w:t>Ethereum Virtual Machine : machine virtuelle Ethereum</w:t>
      </w:r>
    </w:p>
    <w:p>
      <w:pPr>
        <w:pStyle w:val="Abbreviation"/>
        <w:spacing w:line="226" w:lineRule="exact" w:after="8"/>
      </w:pPr>
      <w:r>
        <w:rPr>
          <w:b/>
        </w:rPr>
        <w:t xml:space="preserve">F1 : </w:t>
      </w:r>
      <w:r>
        <w:t>Moyenne harmonique de la précision et du rappel</w:t>
      </w:r>
    </w:p>
    <w:p>
      <w:pPr>
        <w:pStyle w:val="Abbreviation"/>
        <w:spacing w:line="226" w:lineRule="exact" w:after="8"/>
      </w:pPr>
      <w:r>
        <w:rPr>
          <w:b/>
        </w:rPr>
        <w:t xml:space="preserve">FN : </w:t>
      </w:r>
      <w:r>
        <w:t>Faux négatif</w:t>
      </w:r>
    </w:p>
    <w:p>
      <w:pPr>
        <w:pStyle w:val="Abbreviation"/>
        <w:spacing w:line="226" w:lineRule="exact" w:after="8"/>
      </w:pPr>
      <w:r>
        <w:rPr>
          <w:b/>
        </w:rPr>
        <w:t xml:space="preserve">FP : </w:t>
      </w:r>
      <w:r>
        <w:t>Faux positif</w:t>
      </w:r>
    </w:p>
    <w:p>
      <w:pPr>
        <w:pStyle w:val="Abbreviation"/>
        <w:spacing w:line="226" w:lineRule="exact" w:after="8"/>
      </w:pPr>
      <w:r>
        <w:rPr>
          <w:b/>
        </w:rPr>
        <w:t xml:space="preserve">FPR : </w:t>
      </w:r>
      <w:r>
        <w:t>False Positive Rate : taux de faux positifs</w:t>
      </w:r>
    </w:p>
    <w:p>
      <w:pPr>
        <w:pStyle w:val="Abbreviation"/>
        <w:spacing w:line="226" w:lineRule="exact" w:after="8"/>
      </w:pPr>
      <w:r>
        <w:rPr>
          <w:b/>
        </w:rPr>
        <w:t xml:space="preserve">HTML : </w:t>
      </w:r>
      <w:r>
        <w:t>HyperText Markup Language : langage de balisage hypertexte</w:t>
      </w:r>
    </w:p>
    <w:p>
      <w:pPr>
        <w:pStyle w:val="Abbreviation"/>
        <w:spacing w:line="226" w:lineRule="exact" w:after="8"/>
      </w:pPr>
      <w:r>
        <w:rPr>
          <w:b/>
        </w:rPr>
        <w:t xml:space="preserve">IA : </w:t>
      </w:r>
      <w:r>
        <w:t>Intelligence artificielle</w:t>
      </w:r>
    </w:p>
    <w:p>
      <w:pPr>
        <w:pStyle w:val="Abbreviation"/>
        <w:spacing w:line="226" w:lineRule="exact" w:after="8"/>
      </w:pPr>
      <w:r>
        <w:rPr>
          <w:b/>
        </w:rPr>
        <w:t xml:space="preserve">IC : </w:t>
      </w:r>
      <w:r>
        <w:t>Intervalle de confiance</w:t>
      </w:r>
    </w:p>
    <w:p>
      <w:pPr>
        <w:pStyle w:val="Abbreviation"/>
        <w:spacing w:line="226" w:lineRule="exact" w:after="8"/>
      </w:pPr>
      <w:r>
        <w:rPr>
          <w:b/>
        </w:rPr>
        <w:t xml:space="preserve">IJCAI : </w:t>
      </w:r>
      <w:r>
        <w:t>International Joint Conference on Artificial Intelligence</w:t>
      </w:r>
    </w:p>
    <w:p>
      <w:pPr>
        <w:pStyle w:val="Abbreviation"/>
        <w:spacing w:line="226" w:lineRule="exact" w:after="8"/>
      </w:pPr>
      <w:r>
        <w:rPr>
          <w:b/>
        </w:rPr>
        <w:t xml:space="preserve">JSON : </w:t>
      </w:r>
      <w:r>
        <w:t>JavaScript Object Notation : format de données structurées</w:t>
      </w:r>
    </w:p>
    <w:p>
      <w:pPr>
        <w:pStyle w:val="Abbreviation"/>
        <w:spacing w:line="226" w:lineRule="exact" w:after="8"/>
      </w:pPr>
      <w:r>
        <w:rPr>
          <w:b/>
        </w:rPr>
        <w:t xml:space="preserve">KDD : </w:t>
      </w:r>
      <w:r>
        <w:t>Knowledge Discovery and Data Mining : conférence sur l’analyse des données</w:t>
      </w:r>
    </w:p>
    <w:p>
      <w:pPr>
        <w:pStyle w:val="Abbreviation"/>
        <w:spacing w:line="226" w:lineRule="exact" w:after="8"/>
      </w:pPr>
      <w:r>
        <w:rPr>
          <w:b/>
        </w:rPr>
        <w:t xml:space="preserve">L2 : </w:t>
      </w:r>
      <w:r>
        <w:t>Régularisation quadratique</w:t>
      </w:r>
    </w:p>
    <w:p>
      <w:pPr>
        <w:pStyle w:val="Abbreviation"/>
        <w:spacing w:line="226" w:lineRule="exact" w:after="8"/>
      </w:pPr>
      <w:r>
        <w:rPr>
          <w:b/>
        </w:rPr>
        <w:t xml:space="preserve">LSTM : </w:t>
      </w:r>
      <w:r>
        <w:t>Long Short-Term Memory : mémoire récurrente à long et court terme</w:t>
      </w:r>
    </w:p>
    <w:p>
      <w:pPr>
        <w:pStyle w:val="Abbreviation"/>
        <w:spacing w:line="226" w:lineRule="exact" w:after="8"/>
      </w:pPr>
      <w:r>
        <w:rPr>
          <w:b/>
        </w:rPr>
        <w:t xml:space="preserve">MIT : </w:t>
      </w:r>
      <w:r>
        <w:t>Massachusetts Institute of Technology</w:t>
      </w:r>
    </w:p>
    <w:p>
      <w:pPr>
        <w:pStyle w:val="Abbreviation"/>
        <w:spacing w:line="226" w:lineRule="exact" w:after="8"/>
      </w:pPr>
      <w:r>
        <w:rPr>
          <w:b/>
        </w:rPr>
        <w:t xml:space="preserve">PAD : </w:t>
      </w:r>
      <w:r>
        <w:t>Padding : remplissage masqué des séquences</w:t>
      </w:r>
    </w:p>
    <w:p>
      <w:pPr>
        <w:pStyle w:val="Abbreviation"/>
        <w:spacing w:line="226" w:lineRule="exact" w:after="8"/>
      </w:pPr>
      <w:r>
        <w:rPr>
          <w:b/>
        </w:rPr>
        <w:t xml:space="preserve">PMLR : </w:t>
      </w:r>
      <w:r>
        <w:t>Proceedings of Machine Learning Research</w:t>
      </w:r>
    </w:p>
    <w:p>
      <w:pPr>
        <w:pStyle w:val="Abbreviation"/>
        <w:spacing w:line="226" w:lineRule="exact" w:after="8"/>
      </w:pPr>
      <w:r>
        <w:rPr>
          <w:b/>
        </w:rPr>
        <w:t xml:space="preserve">PR-AUC : </w:t>
      </w:r>
      <w:r>
        <w:t>Precision–Recall Area Under the Curve ; mesurée ici par AP</w:t>
      </w:r>
    </w:p>
    <w:p>
      <w:pPr>
        <w:pStyle w:val="Abbreviation"/>
        <w:spacing w:line="226" w:lineRule="exact" w:after="8"/>
      </w:pPr>
      <w:r>
        <w:rPr>
          <w:b/>
        </w:rPr>
        <w:t xml:space="preserve">ReLU : </w:t>
      </w:r>
      <w:r>
        <w:t>Rectified Linear Unit : unité linéaire rectifiée</w:t>
      </w:r>
    </w:p>
    <w:p>
      <w:pPr>
        <w:pStyle w:val="Abbreviation"/>
        <w:spacing w:line="226" w:lineRule="exact" w:after="8"/>
      </w:pPr>
      <w:r>
        <w:rPr>
          <w:b/>
        </w:rPr>
        <w:t xml:space="preserve">ROC : </w:t>
      </w:r>
      <w:r>
        <w:t>Receiver Operating Characteristic : courbe rappel / faux positifs</w:t>
      </w:r>
    </w:p>
    <w:p>
      <w:pPr>
        <w:pStyle w:val="Abbreviation"/>
        <w:spacing w:line="226" w:lineRule="exact" w:after="8"/>
      </w:pPr>
      <w:r>
        <w:rPr>
          <w:b/>
        </w:rPr>
        <w:t xml:space="preserve">s. d. : </w:t>
      </w:r>
      <w:r>
        <w:t>Sans date de publication précisée</w:t>
      </w:r>
    </w:p>
    <w:p>
      <w:pPr>
        <w:pStyle w:val="Abbreviation"/>
        <w:spacing w:line="226" w:lineRule="exact" w:after="8"/>
      </w:pPr>
      <w:r>
        <w:rPr>
          <w:b/>
        </w:rPr>
        <w:t xml:space="preserve">SHA-256 : </w:t>
      </w:r>
      <w:r>
        <w:t>Secure Hash Algorithm, empreinte cryptographique de 256 bits</w:t>
      </w:r>
    </w:p>
    <w:p>
      <w:pPr>
        <w:pStyle w:val="Abbreviation"/>
        <w:spacing w:line="226" w:lineRule="exact" w:after="8"/>
      </w:pPr>
      <w:r>
        <w:rPr>
          <w:b/>
        </w:rPr>
        <w:t xml:space="preserve">SQL : </w:t>
      </w:r>
      <w:r>
        <w:t>Structured Query Language : langage de requêtes structurées</w:t>
      </w:r>
    </w:p>
    <w:p>
      <w:pPr>
        <w:pStyle w:val="Abbreviation"/>
        <w:spacing w:line="226" w:lineRule="exact" w:after="8"/>
      </w:pPr>
      <w:r>
        <w:rPr>
          <w:b/>
        </w:rPr>
        <w:t xml:space="preserve">TCN : </w:t>
      </w:r>
      <w:r>
        <w:t>Temporal Convolutional Network : réseau convolutif temporel</w:t>
      </w:r>
    </w:p>
    <w:p>
      <w:pPr>
        <w:pStyle w:val="Abbreviation"/>
        <w:spacing w:line="226" w:lineRule="exact" w:after="8"/>
      </w:pPr>
      <w:r>
        <w:rPr>
          <w:b/>
        </w:rPr>
        <w:t xml:space="preserve">TF-IDF : </w:t>
      </w:r>
      <w:r>
        <w:t>Term Frequency–Inverse Document Frequency : pondération lexicale</w:t>
      </w:r>
    </w:p>
    <w:p>
      <w:pPr>
        <w:pStyle w:val="Abbreviation"/>
        <w:spacing w:line="226" w:lineRule="exact" w:after="8"/>
      </w:pPr>
      <w:r>
        <w:rPr>
          <w:b/>
        </w:rPr>
        <w:t xml:space="preserve">UML : </w:t>
      </w:r>
      <w:r>
        <w:t>Unified Modeling Language : langage de modélisation unifié</w:t>
      </w:r>
    </w:p>
    <w:p>
      <w:pPr>
        <w:pStyle w:val="Abbreviation"/>
        <w:spacing w:line="226" w:lineRule="exact" w:after="8"/>
      </w:pPr>
      <w:r>
        <w:rPr>
          <w:b/>
        </w:rPr>
        <w:t xml:space="preserve">UTF-8 : </w:t>
      </w:r>
      <w:r>
        <w:t>Unicode Transformation Format, encodage en unités de 8 bits</w:t>
      </w:r>
    </w:p>
    <w:p>
      <w:pPr>
        <w:pStyle w:val="Abbreviation"/>
        <w:spacing w:line="226" w:lineRule="exact" w:after="8"/>
      </w:pPr>
      <w:r>
        <w:rPr>
          <w:b/>
        </w:rPr>
        <w:t xml:space="preserve">VN : </w:t>
      </w:r>
      <w:r>
        <w:t>Vrai négatif</w:t>
      </w:r>
    </w:p>
    <w:p>
      <w:pPr>
        <w:pStyle w:val="Abbreviation"/>
        <w:spacing w:line="226" w:lineRule="exact" w:after="8"/>
      </w:pPr>
      <w:r>
        <w:rPr>
          <w:b/>
        </w:rPr>
        <w:t xml:space="preserve">VP : </w:t>
      </w:r>
      <w:r>
        <w:t>Vrai positif</w:t>
      </w:r>
    </w:p>
    <w:p>
      <w:pPr>
        <w:pStyle w:val="Abbreviation"/>
        <w:spacing w:line="226" w:lineRule="exact" w:after="8"/>
      </w:pPr>
      <w:r>
        <w:rPr>
          <w:b/>
        </w:rPr>
        <w:t xml:space="preserve">WETSEB : </w:t>
      </w:r>
      <w:r>
        <w:t>Workshop on Emerging Trends in Software Engineering for Blockchain</w:t>
      </w:r>
    </w:p>
    <w:p>
      <w:pPr>
        <w:pStyle w:val="Abbreviation"/>
        <w:spacing w:line="226" w:lineRule="exact" w:after="8"/>
      </w:pPr>
      <w:r>
        <w:rPr>
          <w:b/>
        </w:rPr>
        <w:t xml:space="preserve">XGBoost : </w:t>
      </w:r>
      <w:r>
        <w:t>eXtreme Gradient Boosting : boosting d’arbres</w:t>
      </w:r>
    </w:p>
    <w:p>
      <w:pPr>
        <w:sectPr>
          <w:headerReference w:type="default" r:id="rId27"/>
          <w:footerReference w:type="default" r:id="rId28"/>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sectPr>
      </w:pPr>
    </w:p>
    <w:p>
      <w:bookmarkStart w:id="10" w:name="page_1"/>
      <w:pPr>
        <w:pStyle w:val="Heading1"/>
        <w:spacing w:before="1960" w:after="960"/>
      </w:pPr>
      <w:r>
        <w:t>Introduction</w:t>
      </w:r>
      <w:bookmarkEnd w:id="10"/>
    </w:p>
    <w:p>
      <w:r>
        <w:t>Les smart contracts rendent possible l’exécution de règles programmées sur une blockchain. Leur utilisation engage toutefois la fiabilité du code : une instruction erronée, un contrôle d’accès insuffisant ou une interaction mal maîtrisée peut compromettre le comportement attendu. La transparence du registre ne garantit pas la sécurité des programmes qui y sont déployés. L’examen du code Solidity constitue donc une étape importante de leur développement.</w:t>
      </w:r>
    </w:p>
    <w:p>
      <w:r>
        <w:t>L’audit manuel permet une analyse contextualisée, mais exige du temps et une expertise spécialisée. Les outils automatiques facilitent le repérage des anomalies ; leurs alertes doivent néanmoins être interprétées. L’apprentissage profond propose une autre démarche : apprendre, à partir de contrats annotés, des représentations associées à la présence de vulnérabilités. Sa pertinence dépend autant des données et du protocole expérimental que de la complexité du réseau.</w:t>
      </w:r>
    </w:p>
    <w:p>
      <w:r>
        <w:t>La problématique de ce mémoire est la suivante : dans quelle mesure un modèle profond analysant le code Solidity complet peut-il aider à détecter des contrats potentiellement vulnérables, tout en maîtrisant les fuites de données, les faux positifs et l’interprétation de ses probabilités ? La question porte sur une aide à l’audit ; elle ne suppose pas qu’un score statistique puisse certifier la sécurité d’un contrat.</w:t>
      </w:r>
    </w:p>
    <w:p>
      <w:pPr>
        <w:sectPr>
          <w:headerReference w:type="default" r:id="rId29"/>
          <w:footerReference w:type="default" r:id="rId30"/>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sectPr>
      </w:pPr>
    </w:p>
    <w:p>
      <w:bookmarkStart w:id="11" w:name="page_2"/>
      <w:pPr>
        <w:pStyle w:val="Small"/>
      </w:pPr>
      <w:bookmarkEnd w:id="11"/>
    </w:p>
    <w:p>
      <w:r>
        <w:t>L’objectif général consiste à concevoir et évaluer SMART BUG, un système de classification binaire associé à une application d’analyse. Les objectifs spécifiques sont de constituer un corpus traçable, de limiter les recouvrements entre partitions, de traiter les contrats sans supprimer leur fin et de calibrer les scores sur des données dédiées. La comparaison principale oppose le CNN–BiLSTM actif à XGBoost et à un TCN sur les mêmes contrats.</w:t>
      </w:r>
    </w:p>
    <w:p>
      <w:r>
        <w:t>Trois hypothèses guident la comparaison. Le CNN–BiLSTM pourrait apprendre des régularités locales et séquentielles utiles à la détection. XGBoost pourrait fournir une référence classique compétitive à partir des fréquences lexicales. Le TCN pourrait exploiter des dépendances de portée croissante grâce aux convolutions dilatées. Ces hypothèses demandent des mesures communes ; la supériorité d’une méthode n’est pas présumée.</w:t>
      </w:r>
    </w:p>
    <w:p>
      <w:r>
        <w:t>La démarche associe une revue de littérature ciblée, la préparation des données et une évaluation quantitative. L’entraînement apprend les poids ; la validation sélectionne les états ; la calibration règle les probabilités et les seuils. Le test et une source réservée servent à l’évaluation. Les trois modèles ont été évalués. La comparaison reste exploratoire, car le test avait déjà été consulté pendant le développement.</w:t>
      </w:r>
    </w:p>
    <w:p>
      <w:r>
        <w:t>Le périmètre est celui du code source Solidity et d’un verdict global par contrat. Le réseau ne localise pas directement une ligne fautive et ne prédit pas une catégorie de vulnérabilité. Les alertes détaillées de l’application proviennent d’un moteur statique distinct. Cette séparation évite de présenter une règle experte comme une explication produite par le réseau.</w:t>
      </w:r>
    </w:p>
    <w:p>
      <w:r>
        <w:t>Le mémoire comprend trois chapitres. Le premier présente les concepts et les travaux connexes. Le deuxième décrit l’architecture, les données et la modélisation. Le troisième expose l’implémentation, les résultats, leur discussion et les améliorations possibles. La conclusion répond à la problématique à partir des observations effectivement obtenues.</w:t>
      </w:r>
    </w:p>
    <w:p>
      <w:pPr>
        <w:sectPr>
          <w:headerReference w:type="default" r:id="rId31"/>
          <w:footerReference w:type="default" r:id="rId32"/>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sectPr>
      </w:pPr>
    </w:p>
    <w:p>
      <w:pPr>
        <w:pStyle w:val="ChapterLabel"/>
        <w:keepNext/>
        <w:spacing w:before="2000" w:after="720"/>
      </w:pPr>
      <w:r>
        <w:t>Chapitre 1</w:t>
      </w:r>
    </w:p>
    <w:p>
      <w:bookmarkStart w:id="12" w:name="page_3"/>
      <w:pPr>
        <w:pStyle w:val="Heading1"/>
        <w:spacing w:before="0" w:after="800"/>
      </w:pPr>
      <w:r>
        <w:t>Concepts théoriques de base</w:t>
      </w:r>
      <w:bookmarkEnd w:id="12"/>
    </w:p>
    <w:p>
      <w:r>
        <w:t>La détection des vulnérabilités des smart contracts se situe à l’intersection de la sécurité logicielle, de la blockchain et de l’apprentissage automatique. Elle exige de distinguer le fonctionnement d’un programme, les annotations disponibles et la décision rendue par un outil. Un contrat classé positivement présente un signal compatible avec les vulnérabilités apprises ; cette classification ne démontre pas, à elle seule, l’existence d’un scénario d’exploitation.</w:t>
      </w:r>
    </w:p>
    <w:p>
      <w:r>
        <w:t>Ce chapitre expose les notions nécessaires à la compréhension du système. Il introduit Solidity, les principales familles de faiblesses retenues et les représentations utilisées par les réseaux. Il présente ensuite les critères d’évaluation ainsi que des travaux proches du sujet. Les références sont choisies pour éclairer les décisions de conception ; leurs scores ne sont pas directement comparés aux nôtres lorsque les corpus et les protocoles diffèrent.</w:t>
      </w:r>
    </w:p>
    <w:p>
      <w:r>
        <w:t>L’enjeu central est de relier chaque affirmation à son niveau de preuve. Une performance sur un corpus annoté décrit une capacité de reproduction de ces annotations. Une utilité opérationnelle exige, en complément, des données représentatives, une maîtrise des alertes inutiles et une vérification humaine des cas importants.</w:t>
      </w:r>
    </w:p>
    <w:p>
      <w:pPr>
        <w:sectPr>
          <w:headerReference w:type="default" r:id="rId33"/>
          <w:footerReference w:type="default" r:id="rId34"/>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sectPr>
      </w:pPr>
    </w:p>
    <w:p>
      <w:bookmarkStart w:id="13" w:name="page_4"/>
      <w:pPr>
        <w:pStyle w:val="Small"/>
      </w:pPr>
      <w:bookmarkEnd w:id="13"/>
    </w:p>
    <w:p>
      <w:pPr>
        <w:pStyle w:val="Heading2"/>
      </w:pPr>
      <w:r>
        <w:t>1.1 Notions de base</w:t>
      </w:r>
    </w:p>
    <w:p>
      <w:pPr>
        <w:pStyle w:val="Heading3"/>
      </w:pPr>
      <w:r>
        <w:t>1.1.1 Blockchain, smart contracts et Solidity</w:t>
      </w:r>
    </w:p>
    <w:p>
      <w:r>
        <w:t>Une blockchain conserve un historique partagé de transactions selon des règles communes de validation. Un smart contract est un programme qui met à jour un état lorsqu’une transaction ou un appel l’exécute. Sur Ethereum, Solidity permet de définir cet état, des fonctions et des conditions d’accès ; le code compilé s’exécute dans l’Ethereum Virtual Machine, ou EVM.</w:t>
      </w:r>
    </w:p>
    <w:p>
      <w:pPr>
        <w:keepNext/>
        <w:spacing w:after="80" w:line="240" w:lineRule="auto"/>
        <w:ind w:firstLine="0"/>
        <w:jc w:val="center"/>
      </w:pPr>
      <w:r>
        <w:drawing>
          <wp:inline xmlns:a="http://schemas.openxmlformats.org/drawingml/2006/main" xmlns:pic="http://schemas.openxmlformats.org/drawingml/2006/picture">
            <wp:extent cx="5054600" cy="2108710"/>
            <wp:docPr id="1" name="Picture 1"/>
            <wp:cNvGraphicFramePr>
              <a:graphicFrameLocks noChangeAspect="1"/>
            </wp:cNvGraphicFramePr>
            <a:graphic>
              <a:graphicData uri="http://schemas.openxmlformats.org/drawingml/2006/picture">
                <pic:pic>
                  <pic:nvPicPr>
                    <pic:cNvPr id="0" name="lifecycle.png"/>
                    <pic:cNvPicPr/>
                  </pic:nvPicPr>
                  <pic:blipFill>
                    <a:blip r:embed="rId37"/>
                    <a:stretch>
                      <a:fillRect/>
                    </a:stretch>
                  </pic:blipFill>
                  <pic:spPr>
                    <a:xfrm>
                      <a:off x="0" y="0"/>
                      <a:ext cx="5054600" cy="2108710"/>
                    </a:xfrm>
                    <a:prstGeom prst="rect"/>
                  </pic:spPr>
                </pic:pic>
              </a:graphicData>
            </a:graphic>
          </wp:inline>
        </w:drawing>
      </w:r>
    </w:p>
    <w:p>
      <w:pPr>
        <w:pStyle w:val="Caption"/>
        <w:jc w:val="center"/>
      </w:pPr>
      <w:r>
        <w:t>Figure 1.1 – Place de l’analyse dans le cycle d’un contrat.</w:t>
      </w:r>
      <w:r>
        <w:rPr>
          <w:sz w:val="18"/>
        </w:rPr>
        <w:br/>
        <w:t>Source : élaboration personnelle.</w:t>
      </w:r>
    </w:p>
    <w:p>
      <w:r>
        <w:t>La figure 1.1 situe SMART BUG avant le déploiement, au stade où le code peut encore être corrigé. Le système accepte aussi l’examen de sources déjà publiées, mais n’exécute pas une transaction sur la blockchain pour produire son verdict. Il analyse une représentation du programme fourni.</w:t>
      </w:r>
    </w:p>
    <w:p>
      <w:r>
        <w:t>L’exécution déterministe d’un contrat ne signifie pas que son comportement répond correctement à l’intention du développeur. Les interactions avec d’autres contrats, l’ordre des transactions et les limites de ressources constituent des éléments de sécurité à examiner. La documentation Solidity recommande notamment de considérer les appels externes et les limites de gaz dans la conception des contrats (SOLIDITY, s. d.).</w:t>
      </w:r>
    </w:p>
    <w:p>
      <w:pPr>
        <w:sectPr>
          <w:headerReference w:type="default" r:id="rId35"/>
          <w:footerReference w:type="default" r:id="rId36"/>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sectPr>
      </w:pPr>
    </w:p>
    <w:p>
      <w:bookmarkStart w:id="14" w:name="page_5"/>
      <w:pPr>
        <w:pStyle w:val="Small"/>
      </w:pPr>
      <w:bookmarkEnd w:id="14"/>
    </w:p>
    <w:p>
      <w:pPr>
        <w:pStyle w:val="Heading3"/>
      </w:pPr>
      <w:r>
        <w:t>1.1.2 Vulnérabilités et portée des annotations</w:t>
      </w:r>
    </w:p>
    <w:p>
      <w:r>
        <w:t>Le corpus regroupe des annotations de provenances différentes. Sept familles servent notamment à définir le périmètre de contrôle de la source CGT. Elles ne constituent pas sept sorties du réseau : SMART BUG apprend une cible binaire indiquant la présence ou l’absence d’une vulnérabilité annotée.</w:t>
      </w:r>
    </w:p>
    <w:p>
      <w:pPr>
        <w:pStyle w:val="Caption"/>
        <w:keepNext/>
      </w:pPr>
      <w:r>
        <w:t>Tableau 1.1 – Familles de vulnérabilités considérées.</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2706"/>
        <w:gridCol w:w="5254"/>
      </w:tblGrid>
      <w:tr>
        <w:trPr>
          <w:cantSplit/>
          <w:tblHeader/>
        </w:trPr>
        <w:tc>
          <w:tcPr>
            <w:tcW w:type="dxa" w:w="2706"/>
            <w:vAlign w:val="center"/>
          </w:tcPr>
          <w:p>
            <w:pPr>
              <w:spacing w:after="0" w:line="240" w:lineRule="exact"/>
              <w:ind w:firstLine="0"/>
              <w:jc w:val="left"/>
            </w:pPr>
            <w:r>
              <w:rPr>
                <w:b/>
                <w:sz w:val="19"/>
              </w:rPr>
              <w:t>Famille</w:t>
            </w:r>
          </w:p>
        </w:tc>
        <w:tc>
          <w:tcPr>
            <w:tcW w:type="dxa" w:w="5254"/>
            <w:vAlign w:val="center"/>
          </w:tcPr>
          <w:p>
            <w:pPr>
              <w:spacing w:after="0" w:line="240" w:lineRule="exact"/>
              <w:ind w:firstLine="0"/>
              <w:jc w:val="left"/>
            </w:pPr>
            <w:r>
              <w:rPr>
                <w:b/>
                <w:sz w:val="19"/>
              </w:rPr>
              <w:t>Principe du risque</w:t>
            </w:r>
          </w:p>
        </w:tc>
      </w:tr>
      <w:tr>
        <w:trPr>
          <w:cantSplit/>
        </w:trPr>
        <w:tc>
          <w:tcPr>
            <w:tcW w:type="dxa" w:w="2706"/>
            <w:vAlign w:val="center"/>
          </w:tcPr>
          <w:p>
            <w:pPr>
              <w:spacing w:after="0" w:line="240" w:lineRule="exact"/>
              <w:ind w:firstLine="0"/>
              <w:jc w:val="left"/>
            </w:pPr>
            <w:r>
              <w:rPr>
                <w:b w:val="0"/>
                <w:sz w:val="19"/>
              </w:rPr>
              <w:t>Arithmetic</w:t>
            </w:r>
          </w:p>
        </w:tc>
        <w:tc>
          <w:tcPr>
            <w:tcW w:type="dxa" w:w="5254"/>
            <w:vAlign w:val="center"/>
          </w:tcPr>
          <w:p>
            <w:pPr>
              <w:spacing w:after="0" w:line="240" w:lineRule="exact"/>
              <w:ind w:firstLine="0"/>
              <w:jc w:val="left"/>
            </w:pPr>
            <w:r>
              <w:rPr>
                <w:b w:val="0"/>
                <w:sz w:val="19"/>
              </w:rPr>
              <w:t>Erreurs liées aux opérations et limites numériques</w:t>
            </w:r>
          </w:p>
        </w:tc>
      </w:tr>
      <w:tr>
        <w:trPr>
          <w:cantSplit/>
        </w:trPr>
        <w:tc>
          <w:tcPr>
            <w:tcW w:type="dxa" w:w="2706"/>
            <w:vAlign w:val="center"/>
          </w:tcPr>
          <w:p>
            <w:pPr>
              <w:spacing w:after="0" w:line="240" w:lineRule="exact"/>
              <w:ind w:firstLine="0"/>
              <w:jc w:val="left"/>
            </w:pPr>
            <w:r>
              <w:rPr>
                <w:b w:val="0"/>
                <w:sz w:val="19"/>
              </w:rPr>
              <w:t>Unchecked low calls</w:t>
            </w:r>
          </w:p>
        </w:tc>
        <w:tc>
          <w:tcPr>
            <w:tcW w:type="dxa" w:w="5254"/>
            <w:vAlign w:val="center"/>
          </w:tcPr>
          <w:p>
            <w:pPr>
              <w:spacing w:after="0" w:line="240" w:lineRule="exact"/>
              <w:ind w:firstLine="0"/>
              <w:jc w:val="left"/>
            </w:pPr>
            <w:r>
              <w:rPr>
                <w:b w:val="0"/>
                <w:sz w:val="19"/>
              </w:rPr>
              <w:t>Résultat d’un appel de bas niveau non vérifié</w:t>
            </w:r>
          </w:p>
        </w:tc>
      </w:tr>
      <w:tr>
        <w:trPr>
          <w:cantSplit/>
        </w:trPr>
        <w:tc>
          <w:tcPr>
            <w:tcW w:type="dxa" w:w="2706"/>
            <w:vAlign w:val="center"/>
          </w:tcPr>
          <w:p>
            <w:pPr>
              <w:spacing w:after="0" w:line="240" w:lineRule="exact"/>
              <w:ind w:firstLine="0"/>
              <w:jc w:val="left"/>
            </w:pPr>
            <w:r>
              <w:rPr>
                <w:b w:val="0"/>
                <w:sz w:val="19"/>
              </w:rPr>
              <w:t>Reentrancy</w:t>
            </w:r>
          </w:p>
        </w:tc>
        <w:tc>
          <w:tcPr>
            <w:tcW w:type="dxa" w:w="5254"/>
            <w:vAlign w:val="center"/>
          </w:tcPr>
          <w:p>
            <w:pPr>
              <w:spacing w:after="0" w:line="240" w:lineRule="exact"/>
              <w:ind w:firstLine="0"/>
              <w:jc w:val="left"/>
            </w:pPr>
            <w:r>
              <w:rPr>
                <w:b w:val="0"/>
                <w:sz w:val="19"/>
              </w:rPr>
              <w:t>Réentrée pendant une interaction externe</w:t>
            </w:r>
          </w:p>
        </w:tc>
      </w:tr>
      <w:tr>
        <w:trPr>
          <w:cantSplit/>
        </w:trPr>
        <w:tc>
          <w:tcPr>
            <w:tcW w:type="dxa" w:w="2706"/>
            <w:vAlign w:val="center"/>
          </w:tcPr>
          <w:p>
            <w:pPr>
              <w:spacing w:after="0" w:line="240" w:lineRule="exact"/>
              <w:ind w:firstLine="0"/>
              <w:jc w:val="left"/>
            </w:pPr>
            <w:r>
              <w:rPr>
                <w:b w:val="0"/>
                <w:sz w:val="19"/>
              </w:rPr>
              <w:t>Denial of service</w:t>
            </w:r>
          </w:p>
        </w:tc>
        <w:tc>
          <w:tcPr>
            <w:tcW w:type="dxa" w:w="5254"/>
            <w:vAlign w:val="center"/>
          </w:tcPr>
          <w:p>
            <w:pPr>
              <w:spacing w:after="0" w:line="240" w:lineRule="exact"/>
              <w:ind w:firstLine="0"/>
              <w:jc w:val="left"/>
            </w:pPr>
            <w:r>
              <w:rPr>
                <w:b w:val="0"/>
                <w:sz w:val="19"/>
              </w:rPr>
              <w:t>Blocage ou indisponibilité d’une fonction</w:t>
            </w:r>
          </w:p>
        </w:tc>
      </w:tr>
      <w:tr>
        <w:trPr>
          <w:cantSplit/>
        </w:trPr>
        <w:tc>
          <w:tcPr>
            <w:tcW w:type="dxa" w:w="2706"/>
            <w:vAlign w:val="center"/>
          </w:tcPr>
          <w:p>
            <w:pPr>
              <w:spacing w:after="0" w:line="240" w:lineRule="exact"/>
              <w:ind w:firstLine="0"/>
              <w:jc w:val="left"/>
            </w:pPr>
            <w:r>
              <w:rPr>
                <w:b w:val="0"/>
                <w:sz w:val="19"/>
              </w:rPr>
              <w:t>Front running</w:t>
            </w:r>
          </w:p>
        </w:tc>
        <w:tc>
          <w:tcPr>
            <w:tcW w:type="dxa" w:w="5254"/>
            <w:vAlign w:val="center"/>
          </w:tcPr>
          <w:p>
            <w:pPr>
              <w:spacing w:after="0" w:line="240" w:lineRule="exact"/>
              <w:ind w:firstLine="0"/>
              <w:jc w:val="left"/>
            </w:pPr>
            <w:r>
              <w:rPr>
                <w:b w:val="0"/>
                <w:sz w:val="19"/>
              </w:rPr>
              <w:t>Exploitation de l’ordre des transactions</w:t>
            </w:r>
          </w:p>
        </w:tc>
      </w:tr>
      <w:tr>
        <w:trPr>
          <w:cantSplit/>
        </w:trPr>
        <w:tc>
          <w:tcPr>
            <w:tcW w:type="dxa" w:w="2706"/>
            <w:vAlign w:val="center"/>
          </w:tcPr>
          <w:p>
            <w:pPr>
              <w:spacing w:after="0" w:line="240" w:lineRule="exact"/>
              <w:ind w:firstLine="0"/>
              <w:jc w:val="left"/>
            </w:pPr>
            <w:r>
              <w:rPr>
                <w:b w:val="0"/>
                <w:sz w:val="19"/>
              </w:rPr>
              <w:t>Time manipulation</w:t>
            </w:r>
          </w:p>
        </w:tc>
        <w:tc>
          <w:tcPr>
            <w:tcW w:type="dxa" w:w="5254"/>
            <w:vAlign w:val="center"/>
          </w:tcPr>
          <w:p>
            <w:pPr>
              <w:spacing w:after="0" w:line="240" w:lineRule="exact"/>
              <w:ind w:firstLine="0"/>
              <w:jc w:val="left"/>
            </w:pPr>
            <w:r>
              <w:rPr>
                <w:b w:val="0"/>
                <w:sz w:val="19"/>
              </w:rPr>
              <w:t>Dépendance fragile à l’horodatage</w:t>
            </w:r>
          </w:p>
        </w:tc>
      </w:tr>
      <w:tr>
        <w:trPr>
          <w:cantSplit/>
        </w:trPr>
        <w:tc>
          <w:tcPr>
            <w:tcW w:type="dxa" w:w="2706"/>
            <w:vAlign w:val="center"/>
          </w:tcPr>
          <w:p>
            <w:pPr>
              <w:spacing w:after="0" w:line="240" w:lineRule="exact"/>
              <w:ind w:firstLine="0"/>
              <w:jc w:val="left"/>
            </w:pPr>
            <w:r>
              <w:rPr>
                <w:b w:val="0"/>
                <w:sz w:val="19"/>
              </w:rPr>
              <w:t>Bad randomness</w:t>
            </w:r>
          </w:p>
        </w:tc>
        <w:tc>
          <w:tcPr>
            <w:tcW w:type="dxa" w:w="5254"/>
            <w:vAlign w:val="center"/>
          </w:tcPr>
          <w:p>
            <w:pPr>
              <w:spacing w:after="0" w:line="240" w:lineRule="exact"/>
              <w:ind w:firstLine="0"/>
              <w:jc w:val="left"/>
            </w:pPr>
            <w:r>
              <w:rPr>
                <w:b w:val="0"/>
                <w:sz w:val="19"/>
              </w:rPr>
              <w:t>Aléa prévisible ou influençable</w:t>
            </w:r>
          </w:p>
        </w:tc>
      </w:tr>
    </w:tbl>
    <w:p>
      <w:pPr>
        <w:pStyle w:val="Small"/>
        <w:spacing w:after="200"/>
      </w:pPr>
      <w:r>
        <w:t>Source : élaboration personnelle à partir des références citées.</w:t>
      </w:r>
    </w:p>
    <w:p>
      <w:r>
        <w:t>Le sens d’un label négatif dépend de la couverture de l’évaluation d’origine. Si une source ne vérifie qu’une faiblesse particulière, l’absence de cette faiblesse ne prouve pas l’absence de toutes les autres. Le projet exclut donc les négatifs CGT dont le périmètre évalué ne couvre pas les sept familles retenues.</w:t>
      </w:r>
    </w:p>
    <w:p>
      <w:r>
        <w:t>Les versions du langage et les mécanismes de protection influencent également l’interprétation du code. Une opération arithmétique ou un appel externe ne suffit pas à conclure à une faille. La documentation officielle décrit des précautions de conception, mais l’application de ces précautions doit être analysée dans le contexte du contrat (SOLIDITY, s. d.).</w:t>
      </w:r>
    </w:p>
    <w:p>
      <w:pPr>
        <w:sectPr>
          <w:headerReference w:type="default" r:id="rId38"/>
          <w:footerReference w:type="default" r:id="rId39"/>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sectPr>
      </w:pPr>
    </w:p>
    <w:p>
      <w:bookmarkStart w:id="15" w:name="page_6"/>
      <w:pPr>
        <w:pStyle w:val="Small"/>
      </w:pPr>
      <w:bookmarkEnd w:id="15"/>
    </w:p>
    <w:p>
      <w:pPr>
        <w:pStyle w:val="Heading3"/>
      </w:pPr>
      <w:r>
        <w:t>1.1.3 Approches de détection</w:t>
      </w:r>
    </w:p>
    <w:p>
      <w:r>
        <w:t>L’analyse statique examine un programme sans l’exécuter. Elle peut s’appuyer sur des règles lexicales, des représentations intermédiaires ou des relations entre instructions. Slither illustre une approche structurée : sa représentation SlithIR facilite notamment les analyses de flux de données (FEIST, GRIECO et GROCE, 2019). Les règles du moteur local de SMART BUG sont plus simples ; elles ne doivent pas être assimilées à l’intégralité de Slither.</w:t>
      </w:r>
    </w:p>
    <w:p>
      <w:pPr>
        <w:keepNext/>
        <w:spacing w:after="80" w:line="240" w:lineRule="auto"/>
        <w:ind w:firstLine="0"/>
        <w:jc w:val="center"/>
      </w:pPr>
      <w:r>
        <w:drawing>
          <wp:inline xmlns:a="http://schemas.openxmlformats.org/drawingml/2006/main" xmlns:pic="http://schemas.openxmlformats.org/drawingml/2006/picture">
            <wp:extent cx="5054600" cy="2056168"/>
            <wp:docPr id="2" name="Picture 2"/>
            <wp:cNvGraphicFramePr>
              <a:graphicFrameLocks noChangeAspect="1"/>
            </wp:cNvGraphicFramePr>
            <a:graphic>
              <a:graphicData uri="http://schemas.openxmlformats.org/drawingml/2006/picture">
                <pic:pic>
                  <pic:nvPicPr>
                    <pic:cNvPr id="0" name="approaches.png"/>
                    <pic:cNvPicPr/>
                  </pic:nvPicPr>
                  <pic:blipFill>
                    <a:blip r:embed="rId42"/>
                    <a:stretch>
                      <a:fillRect/>
                    </a:stretch>
                  </pic:blipFill>
                  <pic:spPr>
                    <a:xfrm>
                      <a:off x="0" y="0"/>
                      <a:ext cx="5054600" cy="2056168"/>
                    </a:xfrm>
                    <a:prstGeom prst="rect"/>
                  </pic:spPr>
                </pic:pic>
              </a:graphicData>
            </a:graphic>
          </wp:inline>
        </w:drawing>
      </w:r>
    </w:p>
    <w:p>
      <w:pPr>
        <w:pStyle w:val="Caption"/>
        <w:jc w:val="center"/>
      </w:pPr>
      <w:r>
        <w:t>Figure 1.2 – Principales approches et rôle commun de l’évaluation.</w:t>
      </w:r>
      <w:r>
        <w:rPr>
          <w:sz w:val="18"/>
        </w:rPr>
        <w:br/>
        <w:t>Source : élaboration personnelle.</w:t>
      </w:r>
    </w:p>
    <w:p>
      <w:r>
        <w:t>L’apprentissage supervisé utilise des couples constitués d’une entrée et d’un label pour ajuster un classificateur. Les représentations profondes sont apprises au cours de l’optimisation, tandis qu’une référence classique peut utiliser des fréquences de tokens. Les réseaux séquentiels, les graphes et les modèles préentraînés offrent différentes manières de représenter le code.</w:t>
      </w:r>
    </w:p>
    <w:p>
      <w:r>
        <w:t>Ces approches présentent des compromis : simplicité d’intégration, richesse du contexte, coût de calcul et dépendance aux annotations. Dans ce travail, le classificateur et le moteur statique sont complémentaires dans le rapport affiché. Leurs scores restent séparés, afin de ne pas construire une probabilité combinée sans validation statistique.</w:t>
      </w:r>
    </w:p>
    <w:p>
      <w:pPr>
        <w:sectPr>
          <w:headerReference w:type="default" r:id="rId40"/>
          <w:footerReference w:type="default" r:id="rId41"/>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sectPr>
      </w:pPr>
    </w:p>
    <w:p>
      <w:bookmarkStart w:id="16" w:name="page_7"/>
      <w:pPr>
        <w:pStyle w:val="Small"/>
      </w:pPr>
      <w:bookmarkEnd w:id="16"/>
    </w:p>
    <w:p>
      <w:pPr>
        <w:pStyle w:val="Heading3"/>
      </w:pPr>
      <w:r>
        <w:t>1.1.4 Représentations profondes du code</w:t>
      </w:r>
    </w:p>
    <w:p>
      <w:r>
        <w:t>Un token est une unité issue de l’analyse lexicale du code : mot réservé, opérateur, identifiant ou littéral. Une couche de plongement, ou embedding, associe à chaque token un vecteur numérique appris. Le réseau peut ainsi rechercher des régularités dans les séquences sans imposer manuellement une liste exhaustive de motifs vulnérables. L’apprentissage de représentations constitue un principe central de l’apprentissage profond (GOODFELLOW, BENGIO et COURVILLE, 2016).</w:t>
      </w:r>
    </w:p>
    <w:p>
      <w:r>
        <w:t>Un réseau convolutif, ou CNN, applique des filtres sur des voisinages de tokens. Il produit des activations sensibles à certains motifs locaux. Une agrégation par moyenne et maximum résume ces activations en un vecteur de taille fixe. L’usage de convolutions sur des séquences a notamment été étudié pour la classification de phrases (KIM, 2014) ; son application au code nécessite toutefois une évaluation propre au domaine.</w:t>
      </w:r>
    </w:p>
    <w:p>
      <w:r>
        <w:t>Un réseau LSTM maintient un état récurrent régulé par des portes. Sa variante bidirectionnelle, le BiLSTM, parcourt la séquence dans les deux sens. Dans SMART BUG, la récurrence porte sur les vecteurs des fenêtres du contrat. Cette organisation hiérarchique réduit la longueur de la séquence récurrente par rapport à une récurrence appliquée directement à tous les tokens.</w:t>
      </w:r>
    </w:p>
    <w:p>
      <w:r>
        <w:t>L’association CNN–BiLSTM vise donc à articuler motifs locaux et relations entre portions du contrat. Elle ne construit ni arbre syntaxique ni graphe explicite de dépendances. Le code complet est fourni sous une forme normalisée, mais la compression des représentations peut perdre des informations utiles. La conservation de l’entrée et la compréhension sémantique exhaustive sont deux propriétés différentes.</w:t>
      </w:r>
    </w:p>
    <w:p>
      <w:r>
        <w:t>Les poids du modèle actif et du TCN sont appris depuis zéro. Un TCN combine des convolutions causales dilatées et des connexions résiduelles (BAI, KOLTER et KOLTUN, 2018). Les dilations élargissent les voisinages accessibles à chaque position. Dans notre adaptation, le pooling global agrège toutes les positions valides du contrat ; conserver toute l’entrée ne signifie pas que chaque caractéristique locale couvre tout le contrat.</w:t>
      </w:r>
    </w:p>
    <w:p>
      <w:pPr>
        <w:sectPr>
          <w:headerReference w:type="default" r:id="rId43"/>
          <w:footerReference w:type="default" r:id="rId44"/>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sectPr>
      </w:pPr>
    </w:p>
    <w:p>
      <w:bookmarkStart w:id="17" w:name="page_8"/>
      <w:pPr>
        <w:pStyle w:val="Small"/>
      </w:pPr>
      <w:bookmarkEnd w:id="17"/>
    </w:p>
    <w:p>
      <w:pPr>
        <w:pStyle w:val="Heading3"/>
      </w:pPr>
      <w:r>
        <w:t>1.1.5 Apprentissage, validation et calibration</w:t>
      </w:r>
    </w:p>
    <w:p>
      <w:r>
        <w:t>L’entraînement minimise une perte qui compare les sorties du réseau aux labels. Pour une classification binaire, le logit z est transformé en probabilité par la fonction sigmoïde. La perte binaire pénalise les prédictions éloignées de l’annotation. Les pondérations calculées sur l’entraînement ajustent la contribution des couples source/label ; elles ne corrigent pas automatiquement une annotation erronée.</w:t>
      </w:r>
    </w:p>
    <w:p>
      <w:r>
        <w:t>La validation évalue les paramètres au fil des époques sans les apprendre directement. L’arrêt anticipé conserve le meilleur état selon la perte de validation lorsque les époques supplémentaires n’apportent plus d’amélioration. Le choix d’un modèle doit rester indépendant du test. Choisir après coup l’architecture présentant le meilleur score sur le test introduirait un optimisme dans l’estimation finale.</w:t>
      </w:r>
    </w:p>
    <w:p>
      <w:r>
        <w:t>La calibration répond à une question distincte : les probabilités annoncées correspondent-elles aux fréquences observées ? Une température positive T ajuste l’échelle du logit, selon p = 1 / (1 + exp(−z/T)). Cette transformation peut améliorer la calibration sans modifier l’ordre des scores. La méthode s’inscrit dans les approches étudiées par GUO et al. (2017).</w:t>
      </w:r>
    </w:p>
    <w:p>
      <w:r>
        <w:t>Le seuil τ transforme la probabilité en décision : le label prédit vaut 1 lorsque p ≥ τ. Un seuil plus faible tend à détecter davantage de contrats positifs, au prix d’alertes supplémentaires sur les négatifs. Le seuil 0,5 n’est donc pas nécessairement adapté à un objectif de rappel élevé.</w:t>
      </w:r>
    </w:p>
    <w:p>
      <w:r>
        <w:t>Dans ce travail, une partition distincte sert à ajuster la température et le seuil. Le rappel cible de 90 % est une contrainte vérifiée sur cette partition ; il ne constitue pas une garantie sur le test ni sur de futurs contrats. La calibration doit être réexaminée si la population analysée change, car la fréquence des vulnérabilités et les caractéristiques du code peuvent évoluer.</w:t>
      </w:r>
    </w:p>
    <w:p>
      <w:pPr>
        <w:sectPr>
          <w:headerReference w:type="default" r:id="rId45"/>
          <w:footerReference w:type="default" r:id="rId46"/>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sectPr>
      </w:pPr>
    </w:p>
    <w:p>
      <w:bookmarkStart w:id="18" w:name="page_9"/>
      <w:pPr>
        <w:pStyle w:val="Small"/>
      </w:pPr>
      <w:bookmarkEnd w:id="18"/>
    </w:p>
    <w:p>
      <w:pPr>
        <w:pStyle w:val="Heading3"/>
      </w:pPr>
      <w:r>
        <w:t>1.1.6 Critères d’évaluation</w:t>
      </w:r>
    </w:p>
    <w:p>
      <w:r>
        <w:t>La matrice de confusion distingue les vrais positifs (VP), faux positifs (FP), vrais négatifs (VN) et faux négatifs (FN). Les positifs correspondent ici aux contrats annotés comme vulnérables. Ces quatre effectifs permettent de comprendre les erreurs concrètes d’un classificateur et de calculer les métriques suivantes.</w:t>
      </w:r>
    </w:p>
    <w:p>
      <w:pPr>
        <w:pStyle w:val="Caption"/>
        <w:keepNext/>
      </w:pPr>
      <w:r>
        <w:t>Tableau 1.2 – Définition des indicateurs issus de la confusion.</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2786"/>
        <w:gridCol w:w="5174"/>
      </w:tblGrid>
      <w:tr>
        <w:trPr>
          <w:cantSplit/>
          <w:tblHeader/>
        </w:trPr>
        <w:tc>
          <w:tcPr>
            <w:tcW w:type="dxa" w:w="2786"/>
            <w:vAlign w:val="center"/>
          </w:tcPr>
          <w:p>
            <w:pPr>
              <w:spacing w:after="0" w:line="240" w:lineRule="exact"/>
              <w:ind w:firstLine="0"/>
              <w:jc w:val="left"/>
            </w:pPr>
            <w:r>
              <w:rPr>
                <w:b/>
                <w:sz w:val="19"/>
              </w:rPr>
              <w:t>Indicateur</w:t>
            </w:r>
          </w:p>
        </w:tc>
        <w:tc>
          <w:tcPr>
            <w:tcW w:type="dxa" w:w="5174"/>
            <w:vAlign w:val="center"/>
          </w:tcPr>
          <w:p>
            <w:pPr>
              <w:spacing w:after="0" w:line="240" w:lineRule="exact"/>
              <w:ind w:firstLine="0"/>
              <w:jc w:val="left"/>
            </w:pPr>
            <w:r>
              <w:rPr>
                <w:b/>
                <w:sz w:val="19"/>
              </w:rPr>
              <w:t>Expression</w:t>
            </w:r>
          </w:p>
        </w:tc>
      </w:tr>
      <w:tr>
        <w:trPr>
          <w:cantSplit/>
        </w:trPr>
        <w:tc>
          <w:tcPr>
            <w:tcW w:type="dxa" w:w="2786"/>
            <w:vAlign w:val="center"/>
          </w:tcPr>
          <w:p>
            <w:pPr>
              <w:spacing w:after="0" w:line="240" w:lineRule="exact"/>
              <w:ind w:firstLine="0"/>
              <w:jc w:val="left"/>
            </w:pPr>
            <w:r>
              <w:rPr>
                <w:b w:val="0"/>
                <w:sz w:val="19"/>
              </w:rPr>
              <w:t>Exactitude</w:t>
            </w:r>
          </w:p>
        </w:tc>
        <w:tc>
          <w:tcPr>
            <w:tcW w:type="dxa" w:w="5174"/>
            <w:vAlign w:val="center"/>
          </w:tcPr>
          <w:p>
            <w:pPr>
              <w:spacing w:after="0" w:line="240" w:lineRule="exact"/>
              <w:ind w:firstLine="0"/>
              <w:jc w:val="left"/>
            </w:pPr>
            <w:r>
              <w:rPr>
                <w:b w:val="0"/>
                <w:sz w:val="19"/>
              </w:rPr>
              <w:t>(VP + VN) / (VP + VN + FP + FN)</w:t>
            </w:r>
          </w:p>
        </w:tc>
      </w:tr>
      <w:tr>
        <w:trPr>
          <w:cantSplit/>
        </w:trPr>
        <w:tc>
          <w:tcPr>
            <w:tcW w:type="dxa" w:w="2786"/>
            <w:vAlign w:val="center"/>
          </w:tcPr>
          <w:p>
            <w:pPr>
              <w:spacing w:after="0" w:line="240" w:lineRule="exact"/>
              <w:ind w:firstLine="0"/>
              <w:jc w:val="left"/>
            </w:pPr>
            <w:r>
              <w:rPr>
                <w:b w:val="0"/>
                <w:sz w:val="19"/>
              </w:rPr>
              <w:t>Précision positive</w:t>
            </w:r>
          </w:p>
        </w:tc>
        <w:tc>
          <w:tcPr>
            <w:tcW w:type="dxa" w:w="5174"/>
            <w:vAlign w:val="center"/>
          </w:tcPr>
          <w:p>
            <w:pPr>
              <w:spacing w:after="0" w:line="240" w:lineRule="exact"/>
              <w:ind w:firstLine="0"/>
              <w:jc w:val="left"/>
            </w:pPr>
            <w:r>
              <w:rPr>
                <w:b w:val="0"/>
                <w:sz w:val="19"/>
              </w:rPr>
              <w:t>VP / (VP + FP)</w:t>
            </w:r>
          </w:p>
        </w:tc>
      </w:tr>
      <w:tr>
        <w:trPr>
          <w:cantSplit/>
        </w:trPr>
        <w:tc>
          <w:tcPr>
            <w:tcW w:type="dxa" w:w="2786"/>
            <w:vAlign w:val="center"/>
          </w:tcPr>
          <w:p>
            <w:pPr>
              <w:spacing w:after="0" w:line="240" w:lineRule="exact"/>
              <w:ind w:firstLine="0"/>
              <w:jc w:val="left"/>
            </w:pPr>
            <w:r>
              <w:rPr>
                <w:b w:val="0"/>
                <w:sz w:val="19"/>
              </w:rPr>
              <w:t>Rappel positif</w:t>
            </w:r>
          </w:p>
        </w:tc>
        <w:tc>
          <w:tcPr>
            <w:tcW w:type="dxa" w:w="5174"/>
            <w:vAlign w:val="center"/>
          </w:tcPr>
          <w:p>
            <w:pPr>
              <w:spacing w:after="0" w:line="240" w:lineRule="exact"/>
              <w:ind w:firstLine="0"/>
              <w:jc w:val="left"/>
            </w:pPr>
            <w:r>
              <w:rPr>
                <w:b w:val="0"/>
                <w:sz w:val="19"/>
              </w:rPr>
              <w:t>VP / (VP + FN)</w:t>
            </w:r>
          </w:p>
        </w:tc>
      </w:tr>
      <w:tr>
        <w:trPr>
          <w:cantSplit/>
        </w:trPr>
        <w:tc>
          <w:tcPr>
            <w:tcW w:type="dxa" w:w="2786"/>
            <w:vAlign w:val="center"/>
          </w:tcPr>
          <w:p>
            <w:pPr>
              <w:spacing w:after="0" w:line="240" w:lineRule="exact"/>
              <w:ind w:firstLine="0"/>
              <w:jc w:val="left"/>
            </w:pPr>
            <w:r>
              <w:rPr>
                <w:b w:val="0"/>
                <w:sz w:val="19"/>
              </w:rPr>
              <w:t>F1 positif</w:t>
            </w:r>
          </w:p>
        </w:tc>
        <w:tc>
          <w:tcPr>
            <w:tcW w:type="dxa" w:w="5174"/>
            <w:vAlign w:val="center"/>
          </w:tcPr>
          <w:p>
            <w:pPr>
              <w:spacing w:after="0" w:line="240" w:lineRule="exact"/>
              <w:ind w:firstLine="0"/>
              <w:jc w:val="left"/>
            </w:pPr>
            <w:r>
              <w:rPr>
                <w:b w:val="0"/>
                <w:sz w:val="19"/>
              </w:rPr>
              <w:t>2 × précision × rappel / (précision + rappel)</w:t>
            </w:r>
          </w:p>
        </w:tc>
      </w:tr>
      <w:tr>
        <w:trPr>
          <w:cantSplit/>
        </w:trPr>
        <w:tc>
          <w:tcPr>
            <w:tcW w:type="dxa" w:w="2786"/>
            <w:vAlign w:val="center"/>
          </w:tcPr>
          <w:p>
            <w:pPr>
              <w:spacing w:after="0" w:line="240" w:lineRule="exact"/>
              <w:ind w:firstLine="0"/>
              <w:jc w:val="left"/>
            </w:pPr>
            <w:r>
              <w:rPr>
                <w:b w:val="0"/>
                <w:sz w:val="19"/>
              </w:rPr>
              <w:t>FPR</w:t>
            </w:r>
          </w:p>
        </w:tc>
        <w:tc>
          <w:tcPr>
            <w:tcW w:type="dxa" w:w="5174"/>
            <w:vAlign w:val="center"/>
          </w:tcPr>
          <w:p>
            <w:pPr>
              <w:spacing w:after="0" w:line="240" w:lineRule="exact"/>
              <w:ind w:firstLine="0"/>
              <w:jc w:val="left"/>
            </w:pPr>
            <w:r>
              <w:rPr>
                <w:b w:val="0"/>
                <w:sz w:val="19"/>
              </w:rPr>
              <w:t>FP / (FP + VN)</w:t>
            </w:r>
          </w:p>
        </w:tc>
      </w:tr>
    </w:tbl>
    <w:p>
      <w:pPr>
        <w:pStyle w:val="Small"/>
        <w:spacing w:after="200"/>
      </w:pPr>
      <w:r>
        <w:t>Source : élaboration personnelle à partir des références citées.</w:t>
      </w:r>
    </w:p>
    <w:p>
      <w:r>
        <w:t>Le F1 macro est la moyenne du F1 calculé pour chacune des deux classes. Il donne le même poids aux classes, même lorsque leurs effectifs diffèrent. La ROC AUC mesure le classement sur l’ensemble des seuils. La PR-AUC est calculée ici par average precision ; elle résume la précision en fonction du rappel. Ces indicateurs ne décrivent pas à eux seuls le seuil utilisé.</w:t>
      </w:r>
    </w:p>
    <w:p>
      <w:r>
        <w:t>Le score de Brier est la moyenne des erreurs quadratiques entre probabilités et labels. L’ECE estime l’écart entre probabilités moyennes et fréquences positives dans des intervalles de scores. Le projet utilise dix intervalles. Ces mesures complètent la discrimination ; une bonne séparation des classes peut coexister avec des probabilités mal calibrées.</w:t>
      </w:r>
    </w:p>
    <w:p>
      <w:r>
        <w:t>Les moyennes sur trois graines décrivent la variabilité des entraînements exécutés. Les intervalles bootstrap par groupes estiment une autre composante d’incertitude, liée aux contrats évalués. Ils ne doivent pas être interprétés comme une couverture de tous les changements possibles de données, de matériel ou d’hyperparamètres.</w:t>
      </w:r>
    </w:p>
    <w:p>
      <w:pPr>
        <w:sectPr>
          <w:headerReference w:type="default" r:id="rId47"/>
          <w:footerReference w:type="default" r:id="rId48"/>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sectPr>
      </w:pPr>
    </w:p>
    <w:p>
      <w:bookmarkStart w:id="19" w:name="page_10"/>
      <w:pPr>
        <w:pStyle w:val="Small"/>
      </w:pPr>
      <w:bookmarkEnd w:id="19"/>
    </w:p>
    <w:p>
      <w:pPr>
        <w:pStyle w:val="Heading2"/>
      </w:pPr>
      <w:r>
        <w:t>1.2 Revue de littérature</w:t>
      </w:r>
    </w:p>
    <w:p>
      <w:r>
        <w:t>Les travaux retenus illustrent plusieurs familles de solutions. TANN et al. (2018) étudient l’apprentissage séquentiel de faiblesses de smart contracts avec des LSTM. ZHUANG et al. (2020) proposent une représentation par graphe pour exploiter les relations du programme. ZHANG et al. (2022) présentent CBGRU, qui combine des représentations de mots et des méthodes profondes dans un modèle hybride.</w:t>
      </w:r>
    </w:p>
    <w:p>
      <w:pPr>
        <w:pStyle w:val="Caption"/>
        <w:keepNext/>
      </w:pPr>
      <w:r>
        <w:t>Tableau 1.3 – Démarches des travaux connexes.</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3025"/>
        <w:gridCol w:w="4935"/>
      </w:tblGrid>
      <w:tr>
        <w:trPr>
          <w:cantSplit/>
          <w:tblHeader/>
        </w:trPr>
        <w:tc>
          <w:tcPr>
            <w:tcW w:type="dxa" w:w="3025"/>
            <w:vAlign w:val="center"/>
          </w:tcPr>
          <w:p>
            <w:pPr>
              <w:spacing w:after="0" w:line="240" w:lineRule="exact"/>
              <w:ind w:firstLine="0"/>
              <w:jc w:val="left"/>
            </w:pPr>
            <w:r>
              <w:rPr>
                <w:b/>
                <w:sz w:val="19"/>
              </w:rPr>
              <w:t>Travail</w:t>
            </w:r>
          </w:p>
        </w:tc>
        <w:tc>
          <w:tcPr>
            <w:tcW w:type="dxa" w:w="4935"/>
            <w:vAlign w:val="center"/>
          </w:tcPr>
          <w:p>
            <w:pPr>
              <w:spacing w:after="0" w:line="240" w:lineRule="exact"/>
              <w:ind w:firstLine="0"/>
              <w:jc w:val="left"/>
            </w:pPr>
            <w:r>
              <w:rPr>
                <w:b/>
                <w:sz w:val="19"/>
              </w:rPr>
              <w:t>Représentation / démarche</w:t>
            </w:r>
          </w:p>
        </w:tc>
      </w:tr>
      <w:tr>
        <w:trPr>
          <w:cantSplit/>
        </w:trPr>
        <w:tc>
          <w:tcPr>
            <w:tcW w:type="dxa" w:w="3025"/>
            <w:vAlign w:val="center"/>
          </w:tcPr>
          <w:p>
            <w:pPr>
              <w:spacing w:after="0" w:line="240" w:lineRule="exact"/>
              <w:ind w:firstLine="0"/>
              <w:jc w:val="left"/>
            </w:pPr>
            <w:r>
              <w:rPr>
                <w:b w:val="0"/>
                <w:sz w:val="19"/>
              </w:rPr>
              <w:t>Tann et al. (2018)</w:t>
            </w:r>
          </w:p>
        </w:tc>
        <w:tc>
          <w:tcPr>
            <w:tcW w:type="dxa" w:w="4935"/>
            <w:vAlign w:val="center"/>
          </w:tcPr>
          <w:p>
            <w:pPr>
              <w:spacing w:after="0" w:line="240" w:lineRule="exact"/>
              <w:ind w:firstLine="0"/>
              <w:jc w:val="left"/>
            </w:pPr>
            <w:r>
              <w:rPr>
                <w:b w:val="0"/>
                <w:sz w:val="19"/>
              </w:rPr>
              <w:t>Apprentissage séquentiel LSTM</w:t>
            </w:r>
          </w:p>
        </w:tc>
      </w:tr>
      <w:tr>
        <w:trPr>
          <w:cantSplit/>
        </w:trPr>
        <w:tc>
          <w:tcPr>
            <w:tcW w:type="dxa" w:w="3025"/>
            <w:vAlign w:val="center"/>
          </w:tcPr>
          <w:p>
            <w:pPr>
              <w:spacing w:after="0" w:line="240" w:lineRule="exact"/>
              <w:ind w:firstLine="0"/>
              <w:jc w:val="left"/>
            </w:pPr>
            <w:r>
              <w:rPr>
                <w:b w:val="0"/>
                <w:sz w:val="19"/>
              </w:rPr>
              <w:t>Zhuang et al. (2020)</w:t>
            </w:r>
          </w:p>
        </w:tc>
        <w:tc>
          <w:tcPr>
            <w:tcW w:type="dxa" w:w="4935"/>
            <w:vAlign w:val="center"/>
          </w:tcPr>
          <w:p>
            <w:pPr>
              <w:spacing w:after="0" w:line="240" w:lineRule="exact"/>
              <w:ind w:firstLine="0"/>
              <w:jc w:val="left"/>
            </w:pPr>
            <w:r>
              <w:rPr>
                <w:b w:val="0"/>
                <w:sz w:val="19"/>
              </w:rPr>
              <w:t>Réseau neuronal sur graphe</w:t>
            </w:r>
          </w:p>
        </w:tc>
      </w:tr>
      <w:tr>
        <w:trPr>
          <w:cantSplit/>
        </w:trPr>
        <w:tc>
          <w:tcPr>
            <w:tcW w:type="dxa" w:w="3025"/>
            <w:vAlign w:val="center"/>
          </w:tcPr>
          <w:p>
            <w:pPr>
              <w:spacing w:after="0" w:line="240" w:lineRule="exact"/>
              <w:ind w:firstLine="0"/>
              <w:jc w:val="left"/>
            </w:pPr>
            <w:r>
              <w:rPr>
                <w:b w:val="0"/>
                <w:sz w:val="19"/>
              </w:rPr>
              <w:t>Zhang et al. (2022)</w:t>
            </w:r>
          </w:p>
        </w:tc>
        <w:tc>
          <w:tcPr>
            <w:tcW w:type="dxa" w:w="4935"/>
            <w:vAlign w:val="center"/>
          </w:tcPr>
          <w:p>
            <w:pPr>
              <w:spacing w:after="0" w:line="240" w:lineRule="exact"/>
              <w:ind w:firstLine="0"/>
              <w:jc w:val="left"/>
            </w:pPr>
            <w:r>
              <w:rPr>
                <w:b w:val="0"/>
                <w:sz w:val="19"/>
              </w:rPr>
              <w:t>CBGRU, modèle hybride</w:t>
            </w:r>
          </w:p>
        </w:tc>
      </w:tr>
      <w:tr>
        <w:trPr>
          <w:cantSplit/>
        </w:trPr>
        <w:tc>
          <w:tcPr>
            <w:tcW w:type="dxa" w:w="3025"/>
            <w:vAlign w:val="center"/>
          </w:tcPr>
          <w:p>
            <w:pPr>
              <w:spacing w:after="0" w:line="240" w:lineRule="exact"/>
              <w:ind w:firstLine="0"/>
              <w:jc w:val="left"/>
            </w:pPr>
            <w:r>
              <w:rPr>
                <w:b w:val="0"/>
                <w:sz w:val="19"/>
              </w:rPr>
              <w:t>Bai et al. (2018)</w:t>
            </w:r>
          </w:p>
        </w:tc>
        <w:tc>
          <w:tcPr>
            <w:tcW w:type="dxa" w:w="4935"/>
            <w:vAlign w:val="center"/>
          </w:tcPr>
          <w:p>
            <w:pPr>
              <w:spacing w:after="0" w:line="240" w:lineRule="exact"/>
              <w:ind w:firstLine="0"/>
              <w:jc w:val="left"/>
            </w:pPr>
            <w:r>
              <w:rPr>
                <w:b w:val="0"/>
                <w:sz w:val="19"/>
              </w:rPr>
              <w:t>TCN causal, dilaté et résiduel</w:t>
            </w:r>
          </w:p>
        </w:tc>
      </w:tr>
      <w:tr>
        <w:trPr>
          <w:cantSplit/>
        </w:trPr>
        <w:tc>
          <w:tcPr>
            <w:tcW w:type="dxa" w:w="3025"/>
            <w:vAlign w:val="center"/>
          </w:tcPr>
          <w:p>
            <w:pPr>
              <w:spacing w:after="0" w:line="240" w:lineRule="exact"/>
              <w:ind w:firstLine="0"/>
              <w:jc w:val="left"/>
            </w:pPr>
            <w:r>
              <w:rPr>
                <w:b w:val="0"/>
                <w:sz w:val="19"/>
              </w:rPr>
              <w:t>Chen et Guestrin (2016)</w:t>
            </w:r>
          </w:p>
        </w:tc>
        <w:tc>
          <w:tcPr>
            <w:tcW w:type="dxa" w:w="4935"/>
            <w:vAlign w:val="center"/>
          </w:tcPr>
          <w:p>
            <w:pPr>
              <w:spacing w:after="0" w:line="240" w:lineRule="exact"/>
              <w:ind w:firstLine="0"/>
              <w:jc w:val="left"/>
            </w:pPr>
            <w:r>
              <w:rPr>
                <w:b w:val="0"/>
                <w:sz w:val="19"/>
              </w:rPr>
              <w:t>XGBoost, arbres par boosting</w:t>
            </w:r>
          </w:p>
        </w:tc>
      </w:tr>
      <w:tr>
        <w:trPr>
          <w:cantSplit/>
        </w:trPr>
        <w:tc>
          <w:tcPr>
            <w:tcW w:type="dxa" w:w="3025"/>
            <w:vAlign w:val="center"/>
          </w:tcPr>
          <w:p>
            <w:pPr>
              <w:spacing w:after="0" w:line="240" w:lineRule="exact"/>
              <w:ind w:firstLine="0"/>
              <w:jc w:val="left"/>
            </w:pPr>
            <w:r>
              <w:rPr>
                <w:b w:val="0"/>
                <w:sz w:val="19"/>
              </w:rPr>
              <w:t>Gopali et al. (2022)</w:t>
            </w:r>
          </w:p>
        </w:tc>
        <w:tc>
          <w:tcPr>
            <w:tcW w:type="dxa" w:w="4935"/>
            <w:vAlign w:val="center"/>
          </w:tcPr>
          <w:p>
            <w:pPr>
              <w:spacing w:after="0" w:line="240" w:lineRule="exact"/>
              <w:ind w:firstLine="0"/>
              <w:jc w:val="left"/>
            </w:pPr>
            <w:r>
              <w:rPr>
                <w:b w:val="0"/>
                <w:sz w:val="19"/>
              </w:rPr>
              <w:t>TCN sur séquences d’opcodes EVM</w:t>
            </w:r>
          </w:p>
        </w:tc>
      </w:tr>
    </w:tbl>
    <w:p>
      <w:pPr>
        <w:pStyle w:val="Small"/>
        <w:spacing w:after="200"/>
      </w:pPr>
      <w:r>
        <w:t>Source : élaboration personnelle à partir des références citées.</w:t>
      </w:r>
    </w:p>
    <w:p>
      <w:r>
        <w:t>BAI, KOLTER et KOLTUN (2018) étudient le TCN pour la modélisation de séquences. GOPALI et al. (2022) l’appliquent à des séquences d’opcodes EVM pour détecter les contrats vulnérables. Notre adaptation utilise des tokens source Solidity normalisés et un protocole propre ; les scores de ces publications ne sont pas repris. XGBoost apprend des arbres par boosting (CHEN et GUESTRIN, 2016) et fournit une référence classique.</w:t>
      </w:r>
    </w:p>
    <w:p>
      <w:r>
        <w:t>SmartBugs fournit un cadre pour exécuter et comparer des outils d’analyse de contrats (FERREIRA et al., 2020). Il faut distinguer ce projet externe de SMART BUG, nom de l’application développée dans ce mémoire. Le corpus du présent travail conserve certaines provenances liées à SmartBugs ; notre réseau n’est pas une version de son framework.</w:t>
      </w:r>
    </w:p>
    <w:p>
      <w:pPr>
        <w:sectPr>
          <w:headerReference w:type="default" r:id="rId49"/>
          <w:footerReference w:type="default" r:id="rId50"/>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sectPr>
      </w:pPr>
    </w:p>
    <w:p>
      <w:bookmarkStart w:id="20" w:name="page_11"/>
      <w:pPr>
        <w:pStyle w:val="Small"/>
      </w:pPr>
      <w:bookmarkEnd w:id="20"/>
    </w:p>
    <w:p>
      <w:pPr>
        <w:pStyle w:val="Heading3"/>
      </w:pPr>
      <w:r>
        <w:t>1.2.1 Positionnement de notre travail</w:t>
      </w:r>
    </w:p>
    <w:p>
      <w:r>
        <w:t>Cette étude ne revendique pas l’invention des CNN, des BiLSTM ou de leur association. Elle examine leur utilisation dans une chaîne complète de préparation, d’apprentissage, de calibration et de restitution. Sa contribution principale est expérimentale : rendre explicites les données retenues, les contrôles de recouvrement, la portée du verdict et les compromis observés entre architectures.</w:t>
      </w:r>
    </w:p>
    <w:p>
      <w:r>
        <w:t>Les publications emploient des jeux de données, des unités d’analyse et des politiques d’annotation différents. Un taux élevé obtenu sur des fonctions ou sur du bytecode n’est pas directement comparable à un F1 macro calculé sur des contrats sources. Le tableau 1.3 expose donc les principes des travaux connexes, sans établir un classement à partir de scores hétérogènes.</w:t>
      </w:r>
    </w:p>
    <w:p>
      <w:r>
        <w:t>La qualité de la séparation des données mérite une attention particulière. Deux contrats peuvent partager une structure ou une provenance tout en différant par quelques noms. Une partition aléatoire naïve peut ainsi placer des variantes très proches dans l’entraînement et dans le test. Le regroupement par familles et les empreintes contrôlées réduisent ce risque, sans garantir la détection de tous les clones approximatifs.</w:t>
      </w:r>
    </w:p>
    <w:p>
      <w:r>
        <w:t>Trois choix définissent le positionnement de SMART BUG : conserver le contexte complet, séparer calibration et validation, et comparer le CNN–BiLSTM actif avec XGBoost et le TCN. La revue de littérature présente les démarches existantes. Les conclusions expérimentales reposent exclusivement sur les prédictions effectivement mesurées sur les mêmes contrats ; les architectures, représentations et budgets ne sont pas identiques.</w:t>
      </w:r>
    </w:p>
    <w:p>
      <w:r>
        <w:t>Une supériorité générale de l’architecture hybride ne peut pas être supposée : les différences entre méthodes peuvent être faibles et les annotations imparfaites. Le chapitre suivant décrit les mécanismes retenus pour interpréter les résultats et les reproduire. L’étude mesure la classification globale des contrats et précise les erreurs de chaque méthode.</w:t>
      </w:r>
    </w:p>
    <w:p>
      <w:pPr>
        <w:sectPr>
          <w:headerReference w:type="default" r:id="rId51"/>
          <w:footerReference w:type="default" r:id="rId52"/>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sectPr>
      </w:pPr>
    </w:p>
    <w:p>
      <w:pPr>
        <w:pStyle w:val="ChapterLabel"/>
        <w:keepNext/>
        <w:spacing w:before="2000" w:after="720"/>
      </w:pPr>
      <w:r>
        <w:t>Chapitre 2</w:t>
      </w:r>
    </w:p>
    <w:p>
      <w:bookmarkStart w:id="21" w:name="page_12"/>
      <w:pPr>
        <w:pStyle w:val="Heading1"/>
        <w:spacing w:before="0" w:after="800"/>
      </w:pPr>
      <w:r>
        <w:t>Architecture et modélisation</w:t>
      </w:r>
      <w:bookmarkEnd w:id="21"/>
    </w:p>
    <w:p>
      <w:r>
        <w:t>La conception de SMART BUG organise le passage d’un corpus annoté à une application utilisable pour l’examen de contrats. L’architecture sépare la préparation des données, la construction du réseau, l’évaluation et l’inférence. Cette séparation facilite la traçabilité : un résultat doit pouvoir être rattaché aux données, au vocabulaire, aux poids et au seuil qui l’ont produit.</w:t>
      </w:r>
    </w:p>
    <w:p>
      <w:r>
        <w:t>Le système comprend une chaîne hors ligne et une chaîne d’utilisation. La première construit les partitions et entraîne les modèles. La seconde reçoit un code Solidity, applique le même prétraitement puis restitue une probabilité calibrée et un verdict. Un moteur statique apporte des alertes complémentaires ; une base locale conserve l’historique des analyses.</w:t>
      </w:r>
    </w:p>
    <w:p>
      <w:r>
        <w:t>Ce chapitre détaille les flux, les règles de constitution du corpus et la représentation hiérarchique du contrat. Les diagrammes UML présentent les responsabilités et les interactions à un niveau adapté à l’implémentation. Ils servent à expliquer le logiciel existant, sans ajouter de services ou de fonctions qui n’ont pas été réalisés.</w:t>
      </w:r>
    </w:p>
    <w:p>
      <w:pPr>
        <w:sectPr>
          <w:headerReference w:type="default" r:id="rId53"/>
          <w:footerReference w:type="default" r:id="rId54"/>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sectPr>
      </w:pPr>
    </w:p>
    <w:p>
      <w:bookmarkStart w:id="22" w:name="page_13"/>
      <w:pPr>
        <w:pStyle w:val="Small"/>
      </w:pPr>
      <w:bookmarkEnd w:id="22"/>
    </w:p>
    <w:p>
      <w:pPr>
        <w:pStyle w:val="Heading2"/>
      </w:pPr>
      <w:r>
        <w:t>2.1 Architecture du système SMART BUG</w:t>
      </w:r>
    </w:p>
    <w:p>
      <w:r>
        <w:t>La figure 2.1 présente les principaux éléments du système. Les données sources sont normalisées et regroupées avant la séparation. Le vocabulaire est appris exclusivement sur l’entraînement. Après apprentissage et validation, la calibration fixe la température et le seuil. Le modèle retenu est décrit par un manifeste utilisé lors de l’inférence.</w:t>
      </w:r>
    </w:p>
    <w:p>
      <w:pPr>
        <w:keepNext/>
        <w:spacing w:after="80" w:line="240" w:lineRule="auto"/>
        <w:ind w:firstLine="0"/>
        <w:jc w:val="center"/>
      </w:pPr>
      <w:r>
        <w:drawing>
          <wp:inline xmlns:a="http://schemas.openxmlformats.org/drawingml/2006/main" xmlns:pic="http://schemas.openxmlformats.org/drawingml/2006/picture">
            <wp:extent cx="5054600" cy="2325887"/>
            <wp:docPr id="3" name="Picture 3"/>
            <wp:cNvGraphicFramePr>
              <a:graphicFrameLocks noChangeAspect="1"/>
            </wp:cNvGraphicFramePr>
            <a:graphic>
              <a:graphicData uri="http://schemas.openxmlformats.org/drawingml/2006/picture">
                <pic:pic>
                  <pic:nvPicPr>
                    <pic:cNvPr id="0" name="pipeline.png"/>
                    <pic:cNvPicPr/>
                  </pic:nvPicPr>
                  <pic:blipFill>
                    <a:blip r:embed="rId57"/>
                    <a:stretch>
                      <a:fillRect/>
                    </a:stretch>
                  </pic:blipFill>
                  <pic:spPr>
                    <a:xfrm>
                      <a:off x="0" y="0"/>
                      <a:ext cx="5054600" cy="2325887"/>
                    </a:xfrm>
                    <a:prstGeom prst="rect"/>
                  </pic:spPr>
                </pic:pic>
              </a:graphicData>
            </a:graphic>
          </wp:inline>
        </w:drawing>
      </w:r>
    </w:p>
    <w:p>
      <w:pPr>
        <w:pStyle w:val="Caption"/>
        <w:jc w:val="center"/>
      </w:pPr>
      <w:r>
        <w:t>Figure 2.1 – Chaîne de données, apprentissage et utilisation.</w:t>
      </w:r>
      <w:r>
        <w:rPr>
          <w:sz w:val="18"/>
        </w:rPr>
        <w:br/>
        <w:t>Source : élaboration personnelle d’après le système implémenté.</w:t>
      </w:r>
    </w:p>
    <w:p>
      <w:r>
        <w:t>L’application web repose sur FastAPI et une interface en HTML, CSS et JavaScript. Le fichier Solidity est transmis au service d’analyse. Celui-ci appelle le prédicteur commun à l’application et à la ligne de commande, puis les modules d’analyse statique et de performance. Les résultats sont affichés avec leurs origines respectives et enregistrés dans SQLite.</w:t>
      </w:r>
    </w:p>
    <w:p>
      <w:r>
        <w:t>Le chargement des ressources vérifie les empreintes du fichier de poids et du vocabulaire. Le manifeste contrôle également la version du prétraitement et les paramètres de calibration. Cette vérification empêche de présenter comme évalué un assemblage incohérent de ressources. Le système ne réentraîne pas le réseau à chaque analyse et n’écrit pas les résultats sur une blockchain.</w:t>
      </w:r>
    </w:p>
    <w:p>
      <w:pPr>
        <w:sectPr>
          <w:headerReference w:type="default" r:id="rId55"/>
          <w:footerReference w:type="default" r:id="rId56"/>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sectPr>
      </w:pPr>
    </w:p>
    <w:p>
      <w:bookmarkStart w:id="23" w:name="page_14"/>
      <w:pPr>
        <w:pStyle w:val="Small"/>
      </w:pPr>
      <w:bookmarkEnd w:id="23"/>
    </w:p>
    <w:p>
      <w:pPr>
        <w:pStyle w:val="Heading3"/>
      </w:pPr>
      <w:r>
        <w:t>2.1.1 Construction et séparation du corpus</w:t>
      </w:r>
    </w:p>
    <w:p>
      <w:r>
        <w:t>Les sources initiales totalisent 26 134 exemples. Le traitement place 2 440 exemples en quarantaine : 796 portant des labels contradictoires, 503 négatifs CGT insuffisamment couverts et 1 141 fonctions privées du contrat parent. La déduplication retire ensuite 5 456 doublons. Le corpus final contient 18 238 contrats ou représentations de contrats.</w:t>
      </w:r>
    </w:p>
    <w:p>
      <w:pPr>
        <w:pStyle w:val="Caption"/>
        <w:keepNext/>
      </w:pPr>
      <w:r>
        <w:t>Tableau 2.1 – Composition du corpus final par partition.</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2547"/>
        <w:gridCol w:w="1353"/>
        <w:gridCol w:w="1353"/>
        <w:gridCol w:w="1353"/>
        <w:gridCol w:w="1354"/>
      </w:tblGrid>
      <w:tr>
        <w:trPr>
          <w:cantSplit/>
          <w:tblHeader/>
        </w:trPr>
        <w:tc>
          <w:tcPr>
            <w:tcW w:type="dxa" w:w="2547"/>
            <w:vAlign w:val="center"/>
          </w:tcPr>
          <w:p>
            <w:pPr>
              <w:spacing w:after="0" w:line="240" w:lineRule="exact"/>
              <w:ind w:firstLine="0"/>
              <w:jc w:val="left"/>
            </w:pPr>
            <w:r>
              <w:rPr>
                <w:b/>
                <w:sz w:val="19"/>
              </w:rPr>
              <w:t>Partition</w:t>
            </w:r>
          </w:p>
        </w:tc>
        <w:tc>
          <w:tcPr>
            <w:tcW w:type="dxa" w:w="1353"/>
            <w:vAlign w:val="center"/>
          </w:tcPr>
          <w:p>
            <w:pPr>
              <w:spacing w:after="0" w:line="240" w:lineRule="exact"/>
              <w:ind w:firstLine="0"/>
              <w:jc w:val="left"/>
            </w:pPr>
            <w:r>
              <w:rPr>
                <w:b/>
                <w:sz w:val="19"/>
              </w:rPr>
              <w:t>Total</w:t>
            </w:r>
          </w:p>
        </w:tc>
        <w:tc>
          <w:tcPr>
            <w:tcW w:type="dxa" w:w="1353"/>
            <w:vAlign w:val="center"/>
          </w:tcPr>
          <w:p>
            <w:pPr>
              <w:spacing w:after="0" w:line="240" w:lineRule="exact"/>
              <w:ind w:firstLine="0"/>
              <w:jc w:val="left"/>
            </w:pPr>
            <w:r>
              <w:rPr>
                <w:b/>
                <w:sz w:val="19"/>
              </w:rPr>
              <w:t>Label 0</w:t>
            </w:r>
          </w:p>
        </w:tc>
        <w:tc>
          <w:tcPr>
            <w:tcW w:type="dxa" w:w="1353"/>
            <w:vAlign w:val="center"/>
          </w:tcPr>
          <w:p>
            <w:pPr>
              <w:spacing w:after="0" w:line="240" w:lineRule="exact"/>
              <w:ind w:firstLine="0"/>
              <w:jc w:val="left"/>
            </w:pPr>
            <w:r>
              <w:rPr>
                <w:b/>
                <w:sz w:val="19"/>
              </w:rPr>
              <w:t>Label 1</w:t>
            </w:r>
          </w:p>
        </w:tc>
        <w:tc>
          <w:tcPr>
            <w:tcW w:type="dxa" w:w="1354"/>
            <w:vAlign w:val="center"/>
          </w:tcPr>
          <w:p>
            <w:pPr>
              <w:spacing w:after="0" w:line="240" w:lineRule="exact"/>
              <w:ind w:firstLine="0"/>
              <w:jc w:val="left"/>
            </w:pPr>
            <w:r>
              <w:rPr>
                <w:b/>
                <w:sz w:val="19"/>
              </w:rPr>
              <w:t>Groupes</w:t>
            </w:r>
          </w:p>
        </w:tc>
      </w:tr>
      <w:tr>
        <w:trPr>
          <w:cantSplit/>
        </w:trPr>
        <w:tc>
          <w:tcPr>
            <w:tcW w:type="dxa" w:w="2547"/>
            <w:vAlign w:val="center"/>
          </w:tcPr>
          <w:p>
            <w:pPr>
              <w:spacing w:after="0" w:line="240" w:lineRule="exact"/>
              <w:ind w:firstLine="0"/>
              <w:jc w:val="left"/>
            </w:pPr>
            <w:r>
              <w:rPr>
                <w:b w:val="0"/>
                <w:sz w:val="19"/>
              </w:rPr>
              <w:t>Entraînement</w:t>
            </w:r>
          </w:p>
        </w:tc>
        <w:tc>
          <w:tcPr>
            <w:tcW w:type="dxa" w:w="1353"/>
            <w:vAlign w:val="center"/>
          </w:tcPr>
          <w:p>
            <w:pPr>
              <w:spacing w:after="0" w:line="240" w:lineRule="exact"/>
              <w:ind w:firstLine="0"/>
              <w:jc w:val="left"/>
            </w:pPr>
            <w:r>
              <w:rPr>
                <w:b w:val="0"/>
                <w:sz w:val="19"/>
              </w:rPr>
              <w:t>11 959</w:t>
            </w:r>
          </w:p>
        </w:tc>
        <w:tc>
          <w:tcPr>
            <w:tcW w:type="dxa" w:w="1353"/>
            <w:vAlign w:val="center"/>
          </w:tcPr>
          <w:p>
            <w:pPr>
              <w:spacing w:after="0" w:line="240" w:lineRule="exact"/>
              <w:ind w:firstLine="0"/>
              <w:jc w:val="left"/>
            </w:pPr>
            <w:r>
              <w:rPr>
                <w:b w:val="0"/>
                <w:sz w:val="19"/>
              </w:rPr>
              <w:t>6 072</w:t>
            </w:r>
          </w:p>
        </w:tc>
        <w:tc>
          <w:tcPr>
            <w:tcW w:type="dxa" w:w="1353"/>
            <w:vAlign w:val="center"/>
          </w:tcPr>
          <w:p>
            <w:pPr>
              <w:spacing w:after="0" w:line="240" w:lineRule="exact"/>
              <w:ind w:firstLine="0"/>
              <w:jc w:val="left"/>
            </w:pPr>
            <w:r>
              <w:rPr>
                <w:b w:val="0"/>
                <w:sz w:val="19"/>
              </w:rPr>
              <w:t>5 887</w:t>
            </w:r>
          </w:p>
        </w:tc>
        <w:tc>
          <w:tcPr>
            <w:tcW w:type="dxa" w:w="1354"/>
            <w:vAlign w:val="center"/>
          </w:tcPr>
          <w:p>
            <w:pPr>
              <w:spacing w:after="0" w:line="240" w:lineRule="exact"/>
              <w:ind w:firstLine="0"/>
              <w:jc w:val="left"/>
            </w:pPr>
            <w:r>
              <w:rPr>
                <w:b w:val="0"/>
                <w:sz w:val="19"/>
              </w:rPr>
              <w:t>9 196</w:t>
            </w:r>
          </w:p>
        </w:tc>
      </w:tr>
      <w:tr>
        <w:trPr>
          <w:cantSplit/>
        </w:trPr>
        <w:tc>
          <w:tcPr>
            <w:tcW w:type="dxa" w:w="2547"/>
            <w:vAlign w:val="center"/>
          </w:tcPr>
          <w:p>
            <w:pPr>
              <w:spacing w:after="0" w:line="240" w:lineRule="exact"/>
              <w:ind w:firstLine="0"/>
              <w:jc w:val="left"/>
            </w:pPr>
            <w:r>
              <w:rPr>
                <w:b w:val="0"/>
                <w:sz w:val="19"/>
              </w:rPr>
              <w:t>Validation</w:t>
            </w:r>
          </w:p>
        </w:tc>
        <w:tc>
          <w:tcPr>
            <w:tcW w:type="dxa" w:w="1353"/>
            <w:vAlign w:val="center"/>
          </w:tcPr>
          <w:p>
            <w:pPr>
              <w:spacing w:after="0" w:line="240" w:lineRule="exact"/>
              <w:ind w:firstLine="0"/>
              <w:jc w:val="left"/>
            </w:pPr>
            <w:r>
              <w:rPr>
                <w:b w:val="0"/>
                <w:sz w:val="19"/>
              </w:rPr>
              <w:t>1 709</w:t>
            </w:r>
          </w:p>
        </w:tc>
        <w:tc>
          <w:tcPr>
            <w:tcW w:type="dxa" w:w="1353"/>
            <w:vAlign w:val="center"/>
          </w:tcPr>
          <w:p>
            <w:pPr>
              <w:spacing w:after="0" w:line="240" w:lineRule="exact"/>
              <w:ind w:firstLine="0"/>
              <w:jc w:val="left"/>
            </w:pPr>
            <w:r>
              <w:rPr>
                <w:b w:val="0"/>
                <w:sz w:val="19"/>
              </w:rPr>
              <w:t>867</w:t>
            </w:r>
          </w:p>
        </w:tc>
        <w:tc>
          <w:tcPr>
            <w:tcW w:type="dxa" w:w="1353"/>
            <w:vAlign w:val="center"/>
          </w:tcPr>
          <w:p>
            <w:pPr>
              <w:spacing w:after="0" w:line="240" w:lineRule="exact"/>
              <w:ind w:firstLine="0"/>
              <w:jc w:val="left"/>
            </w:pPr>
            <w:r>
              <w:rPr>
                <w:b w:val="0"/>
                <w:sz w:val="19"/>
              </w:rPr>
              <w:t>842</w:t>
            </w:r>
          </w:p>
        </w:tc>
        <w:tc>
          <w:tcPr>
            <w:tcW w:type="dxa" w:w="1354"/>
            <w:vAlign w:val="center"/>
          </w:tcPr>
          <w:p>
            <w:pPr>
              <w:spacing w:after="0" w:line="240" w:lineRule="exact"/>
              <w:ind w:firstLine="0"/>
              <w:jc w:val="left"/>
            </w:pPr>
            <w:r>
              <w:rPr>
                <w:b w:val="0"/>
                <w:sz w:val="19"/>
              </w:rPr>
              <w:t>1 310</w:t>
            </w:r>
          </w:p>
        </w:tc>
      </w:tr>
      <w:tr>
        <w:trPr>
          <w:cantSplit/>
        </w:trPr>
        <w:tc>
          <w:tcPr>
            <w:tcW w:type="dxa" w:w="2547"/>
            <w:vAlign w:val="center"/>
          </w:tcPr>
          <w:p>
            <w:pPr>
              <w:spacing w:after="0" w:line="240" w:lineRule="exact"/>
              <w:ind w:firstLine="0"/>
              <w:jc w:val="left"/>
            </w:pPr>
            <w:r>
              <w:rPr>
                <w:b w:val="0"/>
                <w:sz w:val="19"/>
              </w:rPr>
              <w:t>Calibration</w:t>
            </w:r>
          </w:p>
        </w:tc>
        <w:tc>
          <w:tcPr>
            <w:tcW w:type="dxa" w:w="1353"/>
            <w:vAlign w:val="center"/>
          </w:tcPr>
          <w:p>
            <w:pPr>
              <w:spacing w:after="0" w:line="240" w:lineRule="exact"/>
              <w:ind w:firstLine="0"/>
              <w:jc w:val="left"/>
            </w:pPr>
            <w:r>
              <w:rPr>
                <w:b w:val="0"/>
                <w:sz w:val="19"/>
              </w:rPr>
              <w:t>1 709</w:t>
            </w:r>
          </w:p>
        </w:tc>
        <w:tc>
          <w:tcPr>
            <w:tcW w:type="dxa" w:w="1353"/>
            <w:vAlign w:val="center"/>
          </w:tcPr>
          <w:p>
            <w:pPr>
              <w:spacing w:after="0" w:line="240" w:lineRule="exact"/>
              <w:ind w:firstLine="0"/>
              <w:jc w:val="left"/>
            </w:pPr>
            <w:r>
              <w:rPr>
                <w:b w:val="0"/>
                <w:sz w:val="19"/>
              </w:rPr>
              <w:t>868</w:t>
            </w:r>
          </w:p>
        </w:tc>
        <w:tc>
          <w:tcPr>
            <w:tcW w:type="dxa" w:w="1353"/>
            <w:vAlign w:val="center"/>
          </w:tcPr>
          <w:p>
            <w:pPr>
              <w:spacing w:after="0" w:line="240" w:lineRule="exact"/>
              <w:ind w:firstLine="0"/>
              <w:jc w:val="left"/>
            </w:pPr>
            <w:r>
              <w:rPr>
                <w:b w:val="0"/>
                <w:sz w:val="19"/>
              </w:rPr>
              <w:t>841</w:t>
            </w:r>
          </w:p>
        </w:tc>
        <w:tc>
          <w:tcPr>
            <w:tcW w:type="dxa" w:w="1354"/>
            <w:vAlign w:val="center"/>
          </w:tcPr>
          <w:p>
            <w:pPr>
              <w:spacing w:after="0" w:line="240" w:lineRule="exact"/>
              <w:ind w:firstLine="0"/>
              <w:jc w:val="left"/>
            </w:pPr>
            <w:r>
              <w:rPr>
                <w:b w:val="0"/>
                <w:sz w:val="19"/>
              </w:rPr>
              <w:t>1 235</w:t>
            </w:r>
          </w:p>
        </w:tc>
      </w:tr>
      <w:tr>
        <w:trPr>
          <w:cantSplit/>
        </w:trPr>
        <w:tc>
          <w:tcPr>
            <w:tcW w:type="dxa" w:w="2547"/>
            <w:vAlign w:val="center"/>
          </w:tcPr>
          <w:p>
            <w:pPr>
              <w:spacing w:after="0" w:line="240" w:lineRule="exact"/>
              <w:ind w:firstLine="0"/>
              <w:jc w:val="left"/>
            </w:pPr>
            <w:r>
              <w:rPr>
                <w:b w:val="0"/>
                <w:sz w:val="19"/>
              </w:rPr>
              <w:t>Test</w:t>
            </w:r>
          </w:p>
        </w:tc>
        <w:tc>
          <w:tcPr>
            <w:tcW w:type="dxa" w:w="1353"/>
            <w:vAlign w:val="center"/>
          </w:tcPr>
          <w:p>
            <w:pPr>
              <w:spacing w:after="0" w:line="240" w:lineRule="exact"/>
              <w:ind w:firstLine="0"/>
              <w:jc w:val="left"/>
            </w:pPr>
            <w:r>
              <w:rPr>
                <w:b w:val="0"/>
                <w:sz w:val="19"/>
              </w:rPr>
              <w:t>1 709</w:t>
            </w:r>
          </w:p>
        </w:tc>
        <w:tc>
          <w:tcPr>
            <w:tcW w:type="dxa" w:w="1353"/>
            <w:vAlign w:val="center"/>
          </w:tcPr>
          <w:p>
            <w:pPr>
              <w:spacing w:after="0" w:line="240" w:lineRule="exact"/>
              <w:ind w:firstLine="0"/>
              <w:jc w:val="left"/>
            </w:pPr>
            <w:r>
              <w:rPr>
                <w:b w:val="0"/>
                <w:sz w:val="19"/>
              </w:rPr>
              <w:t>867</w:t>
            </w:r>
          </w:p>
        </w:tc>
        <w:tc>
          <w:tcPr>
            <w:tcW w:type="dxa" w:w="1353"/>
            <w:vAlign w:val="center"/>
          </w:tcPr>
          <w:p>
            <w:pPr>
              <w:spacing w:after="0" w:line="240" w:lineRule="exact"/>
              <w:ind w:firstLine="0"/>
              <w:jc w:val="left"/>
            </w:pPr>
            <w:r>
              <w:rPr>
                <w:b w:val="0"/>
                <w:sz w:val="19"/>
              </w:rPr>
              <w:t>842</w:t>
            </w:r>
          </w:p>
        </w:tc>
        <w:tc>
          <w:tcPr>
            <w:tcW w:type="dxa" w:w="1354"/>
            <w:vAlign w:val="center"/>
          </w:tcPr>
          <w:p>
            <w:pPr>
              <w:spacing w:after="0" w:line="240" w:lineRule="exact"/>
              <w:ind w:firstLine="0"/>
              <w:jc w:val="left"/>
            </w:pPr>
            <w:r>
              <w:rPr>
                <w:b w:val="0"/>
                <w:sz w:val="19"/>
              </w:rPr>
              <w:t>1 295</w:t>
            </w:r>
          </w:p>
        </w:tc>
      </w:tr>
      <w:tr>
        <w:trPr>
          <w:cantSplit/>
        </w:trPr>
        <w:tc>
          <w:tcPr>
            <w:tcW w:type="dxa" w:w="2547"/>
            <w:vAlign w:val="center"/>
          </w:tcPr>
          <w:p>
            <w:pPr>
              <w:spacing w:after="0" w:line="240" w:lineRule="exact"/>
              <w:ind w:firstLine="0"/>
              <w:jc w:val="left"/>
            </w:pPr>
            <w:r>
              <w:rPr>
                <w:b w:val="0"/>
                <w:sz w:val="19"/>
              </w:rPr>
              <w:t>Source réservée</w:t>
            </w:r>
          </w:p>
        </w:tc>
        <w:tc>
          <w:tcPr>
            <w:tcW w:type="dxa" w:w="1353"/>
            <w:vAlign w:val="center"/>
          </w:tcPr>
          <w:p>
            <w:pPr>
              <w:spacing w:after="0" w:line="240" w:lineRule="exact"/>
              <w:ind w:firstLine="0"/>
              <w:jc w:val="left"/>
            </w:pPr>
            <w:r>
              <w:rPr>
                <w:b w:val="0"/>
                <w:sz w:val="19"/>
              </w:rPr>
              <w:t>1 152</w:t>
            </w:r>
          </w:p>
        </w:tc>
        <w:tc>
          <w:tcPr>
            <w:tcW w:type="dxa" w:w="1353"/>
            <w:vAlign w:val="center"/>
          </w:tcPr>
          <w:p>
            <w:pPr>
              <w:spacing w:after="0" w:line="240" w:lineRule="exact"/>
              <w:ind w:firstLine="0"/>
              <w:jc w:val="left"/>
            </w:pPr>
            <w:r>
              <w:rPr>
                <w:b w:val="0"/>
                <w:sz w:val="19"/>
              </w:rPr>
              <w:t>6</w:t>
            </w:r>
          </w:p>
        </w:tc>
        <w:tc>
          <w:tcPr>
            <w:tcW w:type="dxa" w:w="1353"/>
            <w:vAlign w:val="center"/>
          </w:tcPr>
          <w:p>
            <w:pPr>
              <w:spacing w:after="0" w:line="240" w:lineRule="exact"/>
              <w:ind w:firstLine="0"/>
              <w:jc w:val="left"/>
            </w:pPr>
            <w:r>
              <w:rPr>
                <w:b w:val="0"/>
                <w:sz w:val="19"/>
              </w:rPr>
              <w:t>1 146</w:t>
            </w:r>
          </w:p>
        </w:tc>
        <w:tc>
          <w:tcPr>
            <w:tcW w:type="dxa" w:w="1354"/>
            <w:vAlign w:val="center"/>
          </w:tcPr>
          <w:p>
            <w:pPr>
              <w:spacing w:after="0" w:line="240" w:lineRule="exact"/>
              <w:ind w:firstLine="0"/>
              <w:jc w:val="left"/>
            </w:pPr>
            <w:r>
              <w:rPr>
                <w:b w:val="0"/>
                <w:sz w:val="19"/>
              </w:rPr>
              <w:t>1 054</w:t>
            </w:r>
          </w:p>
        </w:tc>
      </w:tr>
      <w:tr>
        <w:trPr>
          <w:cantSplit/>
        </w:trPr>
        <w:tc>
          <w:tcPr>
            <w:tcW w:type="dxa" w:w="2547"/>
            <w:vAlign w:val="center"/>
          </w:tcPr>
          <w:p>
            <w:pPr>
              <w:spacing w:after="0" w:line="240" w:lineRule="exact"/>
              <w:ind w:firstLine="0"/>
              <w:jc w:val="left"/>
            </w:pPr>
            <w:r>
              <w:rPr>
                <w:b w:val="0"/>
                <w:sz w:val="19"/>
              </w:rPr>
              <w:t>Total</w:t>
            </w:r>
          </w:p>
        </w:tc>
        <w:tc>
          <w:tcPr>
            <w:tcW w:type="dxa" w:w="1353"/>
            <w:vAlign w:val="center"/>
          </w:tcPr>
          <w:p>
            <w:pPr>
              <w:spacing w:after="0" w:line="240" w:lineRule="exact"/>
              <w:ind w:firstLine="0"/>
              <w:jc w:val="left"/>
            </w:pPr>
            <w:r>
              <w:rPr>
                <w:b w:val="0"/>
                <w:sz w:val="19"/>
              </w:rPr>
              <w:t>18 238</w:t>
            </w:r>
          </w:p>
        </w:tc>
        <w:tc>
          <w:tcPr>
            <w:tcW w:type="dxa" w:w="1353"/>
            <w:vAlign w:val="center"/>
          </w:tcPr>
          <w:p>
            <w:pPr>
              <w:spacing w:after="0" w:line="240" w:lineRule="exact"/>
              <w:ind w:firstLine="0"/>
              <w:jc w:val="left"/>
            </w:pPr>
            <w:r>
              <w:rPr>
                <w:b w:val="0"/>
                <w:sz w:val="19"/>
              </w:rPr>
              <w:t>8 680</w:t>
            </w:r>
          </w:p>
        </w:tc>
        <w:tc>
          <w:tcPr>
            <w:tcW w:type="dxa" w:w="1353"/>
            <w:vAlign w:val="center"/>
          </w:tcPr>
          <w:p>
            <w:pPr>
              <w:spacing w:after="0" w:line="240" w:lineRule="exact"/>
              <w:ind w:firstLine="0"/>
              <w:jc w:val="left"/>
            </w:pPr>
            <w:r>
              <w:rPr>
                <w:b w:val="0"/>
                <w:sz w:val="19"/>
              </w:rPr>
              <w:t>9 558</w:t>
            </w:r>
          </w:p>
        </w:tc>
        <w:tc>
          <w:tcPr>
            <w:tcW w:type="dxa" w:w="1354"/>
            <w:vAlign w:val="center"/>
          </w:tcPr>
          <w:p>
            <w:pPr>
              <w:spacing w:after="0" w:line="240" w:lineRule="exact"/>
              <w:ind w:firstLine="0"/>
              <w:jc w:val="left"/>
            </w:pPr>
            <w:r>
              <w:rPr>
                <w:b w:val="0"/>
                <w:sz w:val="19"/>
              </w:rPr>
              <w:t>14 090</w:t>
            </w:r>
          </w:p>
        </w:tc>
      </w:tr>
    </w:tbl>
    <w:p>
      <w:pPr>
        <w:pStyle w:val="Small"/>
        <w:spacing w:after="200"/>
      </w:pPr>
      <w:r>
        <w:t>Source : configuration, données et résultats archivés de SMART BUG.</w:t>
      </w:r>
    </w:p>
    <w:p>
      <w:r>
        <w:t>Les groupes réunissent les variantes liées par les critères de famille, de structure ou de provenance. Tous les groupes contenant CGT sont réservés à l’évaluation hors source. Le reste est distribué par une stratification groupée en dix plis, avec la graine 42 : le pli 0 pour le test, le pli 1 pour la validation, le pli 2 pour la calibration et les autres pour l’entraînement.</w:t>
      </w:r>
    </w:p>
    <w:p>
      <w:r>
        <w:t>Les groupes traversant plusieurs provenances restent indivisibles. Les sources historiques comprennent notamment DAppSCAN, ScrawlD, des contrats audités avec Slither et des collections liées à SmartBugs ou Zeus. Leurs labels sont hérités de leur collecte ; nous ne les présentons pas tous comme vérifiés manuellement. CGT signifie Consolidated Ground Truth (SALZER et al., s. d.).</w:t>
      </w:r>
    </w:p>
    <w:p>
      <w:pPr>
        <w:sectPr>
          <w:headerReference w:type="default" r:id="rId58"/>
          <w:footerReference w:type="default" r:id="rId59"/>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sectPr>
      </w:pPr>
    </w:p>
    <w:p>
      <w:bookmarkStart w:id="24" w:name="page_15"/>
      <w:pPr>
        <w:pStyle w:val="Small"/>
      </w:pPr>
      <w:bookmarkEnd w:id="24"/>
    </w:p>
    <w:p>
      <w:pPr>
        <w:pStyle w:val="Heading3"/>
      </w:pPr>
      <w:r>
        <w:t>2.1.2 Prétraitement et prévention des fuites</w:t>
      </w:r>
    </w:p>
    <w:p>
      <w:r>
        <w:t>Le prétraitement commence par une analyse lexicale qui retire les commentaires sans confondre ceux-ci avec le contenu des chaînes. Cette étape évite qu’une annotation présente en commentaire révèle directement le label. Les identifiants utilisateur sont renommés de manière cohérente à l’intérieur du contrat ; les chaînes et les longues adresses sont remplacées par des catégories.</w:t>
      </w:r>
    </w:p>
    <w:p>
      <w:r>
        <w:t>La normalisation conserve les autres nombres pour l’entrée du réseau. Une représentation structurelle plus agressive sert au regroupement, mais n’est pas utilisée comme entrée à sa place. Cette distinction permet de rapprocher certaines variantes tout en conservant des informations lexicales utiles à la classification.</w:t>
      </w:r>
    </w:p>
    <w:p>
      <w:r>
        <w:t>Le vocabulaire possède 8 000 entrées et provient uniquement de l’entraînement. Les valeurs inconnues sont représentées par leurs octets UTF-8 encadrés par un séparateur réservé, plutôt que toutes fusionnées dans un seul identifiant. Ce mécanisme préserve le contenu du token inconnu après normalisation. Les octets et marqueurs réservés font partie du vocabulaire.</w:t>
      </w:r>
    </w:p>
    <w:p>
      <w:r>
        <w:t>Les séquences encodées sont découpées en fenêtres de 256 positions. Toutes les fenêtres sont conservées, y compris la dernière. Le remplissage nécessaire aux lots est masqué lors des agrégations. Un contrat porte une seule cible ; attribuer automatiquement son label positif à chacune de ses fenêtres introduirait une supervision incorrecte lorsque la faiblesse ne concerne qu’une partie du code.</w:t>
      </w:r>
    </w:p>
    <w:p>
      <w:r>
        <w:t>L’audit indépendant recalcule les représentations et vérifie les labels, les groupes et six clés de recouvrement entre partitions. Il a contrôlé les 18 238 enregistrements sans différence d’encodage ni recouvrement selon ces critères. Cette observation ne prouve pas l’absence de fragments de bibliothèques communs ou de clones sémantiquement proches. Les empreintes garantissent une propriété précise sur les représentations comparées, et non une indépendance sémantique absolue.</w:t>
      </w:r>
    </w:p>
    <w:p>
      <w:pPr>
        <w:sectPr>
          <w:headerReference w:type="default" r:id="rId60"/>
          <w:footerReference w:type="default" r:id="rId61"/>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sectPr>
      </w:pPr>
    </w:p>
    <w:p>
      <w:bookmarkStart w:id="25" w:name="page_16"/>
      <w:pPr>
        <w:pStyle w:val="Small"/>
      </w:pPr>
      <w:bookmarkEnd w:id="25"/>
    </w:p>
    <w:p>
      <w:pPr>
        <w:pStyle w:val="Heading3"/>
      </w:pPr>
      <w:r>
        <w:t>2.1.3 Réseau hiérarchique retenu</w:t>
      </w:r>
    </w:p>
    <w:p>
      <w:r>
        <w:t>Le réseau actif comporte 277 017 paramètres entraînables. Chaque fenêtre passe par un embedding de dimension 32 puis par 24 filtres convolutifs de taille 5, avec activation ReLU. Les moyennes et maxima masqués produisent un vecteur de 48 dimensions par fenêtre.</w:t>
      </w:r>
    </w:p>
    <w:p>
      <w:pPr>
        <w:keepNext/>
        <w:spacing w:after="80" w:line="240" w:lineRule="auto"/>
        <w:ind w:firstLine="0"/>
        <w:jc w:val="center"/>
      </w:pPr>
      <w:r>
        <w:drawing>
          <wp:inline xmlns:a="http://schemas.openxmlformats.org/drawingml/2006/main" xmlns:pic="http://schemas.openxmlformats.org/drawingml/2006/picture">
            <wp:extent cx="5054600" cy="2378429"/>
            <wp:docPr id="4" name="Picture 4"/>
            <wp:cNvGraphicFramePr>
              <a:graphicFrameLocks noChangeAspect="1"/>
            </wp:cNvGraphicFramePr>
            <a:graphic>
              <a:graphicData uri="http://schemas.openxmlformats.org/drawingml/2006/picture">
                <pic:pic>
                  <pic:nvPicPr>
                    <pic:cNvPr id="0" name="network.png"/>
                    <pic:cNvPicPr/>
                  </pic:nvPicPr>
                  <pic:blipFill>
                    <a:blip r:embed="rId64"/>
                    <a:stretch>
                      <a:fillRect/>
                    </a:stretch>
                  </pic:blipFill>
                  <pic:spPr>
                    <a:xfrm>
                      <a:off x="0" y="0"/>
                      <a:ext cx="5054600" cy="2378429"/>
                    </a:xfrm>
                    <a:prstGeom prst="rect"/>
                  </pic:spPr>
                </pic:pic>
              </a:graphicData>
            </a:graphic>
          </wp:inline>
        </w:drawing>
      </w:r>
    </w:p>
    <w:p>
      <w:pPr>
        <w:pStyle w:val="Caption"/>
        <w:jc w:val="center"/>
      </w:pPr>
      <w:r>
        <w:t>Figure 2.2 – Architecture du modèle actif CNN–BiLSTM.</w:t>
      </w:r>
      <w:r>
        <w:rPr>
          <w:sz w:val="18"/>
        </w:rPr>
        <w:br/>
        <w:t>Source : élaboration personnelle d’après le système implémenté.</w:t>
      </w:r>
    </w:p>
    <w:p>
      <w:r>
        <w:t>Le BiLSTM possède 24 unités par direction et traite la séquence de ces vecteurs. Une seconde agrégation par moyenne et maximum produit 96 caractéristiques. Un dropout de 0,30 précède une couche dense de 32 unités ReLU et une sortie scalaire. Cette sortie est le logit utilisé par la perte binaire, puis par la calibration.</w:t>
      </w:r>
    </w:p>
    <w:p>
      <w:r>
        <w:t>Les poids sont appris depuis zéro : aucun embedding ni encodeur préentraîné n’intervient dans le CNN–BiLSTM actif. L’ordre des fenêtres est disponible pour la récurrence, mais les agrégations compressent leur contenu. Le modèle estime une propriété globale du contrat et ne fournit pas directement une localisation. Son protocole de comparaison avec XGBoost et le TCN est présenté au troisième chapitre.</w:t>
      </w:r>
    </w:p>
    <w:p>
      <w:pPr>
        <w:sectPr>
          <w:headerReference w:type="default" r:id="rId62"/>
          <w:footerReference w:type="default" r:id="rId63"/>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sectPr>
      </w:pPr>
    </w:p>
    <w:p>
      <w:bookmarkStart w:id="26" w:name="page_17"/>
      <w:pPr>
        <w:pStyle w:val="Small"/>
      </w:pPr>
      <w:bookmarkEnd w:id="26"/>
    </w:p>
    <w:p>
      <w:pPr>
        <w:pStyle w:val="Heading2"/>
      </w:pPr>
      <w:r>
        <w:t>2.2 Modélisation en UML</w:t>
      </w:r>
    </w:p>
    <w:p>
      <w:pPr>
        <w:pStyle w:val="Heading3"/>
      </w:pPr>
      <w:r>
        <w:t>2.2.1 Diagramme de classes</w:t>
      </w:r>
    </w:p>
    <w:p>
      <w:r>
        <w:t>Le diagramme de la figure 2.3 représente les objets manipulés et leurs responsabilités. Contrat et Analyse sont des entités conceptuelles ; le code utilise aussi des dictionnaires et des fonctions. SmartContractPredictor correspond à une classe réellement implémentée. Le stockage est représenté comme un module, car il repose sur des fonctions SQLite.</w:t>
      </w:r>
    </w:p>
    <w:p>
      <w:pPr>
        <w:keepNext/>
        <w:spacing w:after="80" w:line="240" w:lineRule="auto"/>
        <w:ind w:firstLine="0"/>
        <w:jc w:val="center"/>
      </w:pPr>
      <w:r>
        <w:drawing>
          <wp:inline xmlns:a="http://schemas.openxmlformats.org/drawingml/2006/main" xmlns:pic="http://schemas.openxmlformats.org/drawingml/2006/picture">
            <wp:extent cx="5054600" cy="2756736"/>
            <wp:docPr id="5" name="Picture 5"/>
            <wp:cNvGraphicFramePr>
              <a:graphicFrameLocks noChangeAspect="1"/>
            </wp:cNvGraphicFramePr>
            <a:graphic>
              <a:graphicData uri="http://schemas.openxmlformats.org/drawingml/2006/picture">
                <pic:pic>
                  <pic:nvPicPr>
                    <pic:cNvPr id="0" name="classes.png"/>
                    <pic:cNvPicPr/>
                  </pic:nvPicPr>
                  <pic:blipFill>
                    <a:blip r:embed="rId67"/>
                    <a:stretch>
                      <a:fillRect/>
                    </a:stretch>
                  </pic:blipFill>
                  <pic:spPr>
                    <a:xfrm>
                      <a:off x="0" y="0"/>
                      <a:ext cx="5054600" cy="2756736"/>
                    </a:xfrm>
                    <a:prstGeom prst="rect"/>
                  </pic:spPr>
                </pic:pic>
              </a:graphicData>
            </a:graphic>
          </wp:inline>
        </w:drawing>
      </w:r>
    </w:p>
    <w:p>
      <w:pPr>
        <w:pStyle w:val="Caption"/>
        <w:jc w:val="center"/>
      </w:pPr>
      <w:r>
        <w:t>Figure 2.3 – Modèle conceptuel des données et du prédicteur.</w:t>
      </w:r>
      <w:r>
        <w:rPr>
          <w:sz w:val="18"/>
        </w:rPr>
        <w:br/>
        <w:t>Source : élaboration personnelle d’après le système implémenté.</w:t>
      </w:r>
    </w:p>
    <w:p>
      <w:r>
        <w:t>Le prédicteur charge les ressources une seule fois, vérifie leur cohérence et produit la décision. L’analyse conserve notamment le nom du fichier, les probabilités, le verdict, des compteurs de tokens, le code et la date. Le module de base de données assure l’enregistrement, la consultation et la suppression.</w:t>
      </w:r>
    </w:p>
    <w:p>
      <w:r>
        <w:t>Cette modélisation évite de confondre une dépendance logicielle avec une nouvelle entité métier. Le manifeste et le vocabulaire sont des ressources du prédicteur. Les annotations du corpus appartiennent à la phase expérimentale ; elles ne sont pas demandées à l’utilisateur lorsqu’il soumet un contrat à l’application.</w:t>
      </w:r>
    </w:p>
    <w:p>
      <w:pPr>
        <w:sectPr>
          <w:headerReference w:type="default" r:id="rId65"/>
          <w:footerReference w:type="default" r:id="rId66"/>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sectPr>
      </w:pPr>
    </w:p>
    <w:p>
      <w:bookmarkStart w:id="27" w:name="page_18"/>
      <w:pPr>
        <w:pStyle w:val="Small"/>
      </w:pPr>
      <w:bookmarkEnd w:id="27"/>
    </w:p>
    <w:p>
      <w:pPr>
        <w:pStyle w:val="Heading3"/>
      </w:pPr>
      <w:r>
        <w:t>2.2.2 Diagramme de cas d’utilisation</w:t>
      </w:r>
    </w:p>
    <w:p>
      <w:r>
        <w:t>L’utilisateur soumet un fichier Solidity, consulte les résultats puis peut retrouver les analyses précédentes. L’interface donne également accès aux informations du modèle et du corpus. Ces fonctions correspondent aux vues existantes et aux routes de l’application ; le diagramme ne suppose pas de gestion de comptes ou de rôles qui ne serait pas implémentée.</w:t>
      </w:r>
    </w:p>
    <w:p>
      <w:pPr>
        <w:keepNext/>
        <w:spacing w:after="80" w:line="240" w:lineRule="auto"/>
        <w:ind w:firstLine="0"/>
        <w:jc w:val="center"/>
      </w:pPr>
      <w:r>
        <w:drawing>
          <wp:inline xmlns:a="http://schemas.openxmlformats.org/drawingml/2006/main" xmlns:pic="http://schemas.openxmlformats.org/drawingml/2006/picture">
            <wp:extent cx="5054600" cy="2325887"/>
            <wp:docPr id="6" name="Picture 6"/>
            <wp:cNvGraphicFramePr>
              <a:graphicFrameLocks noChangeAspect="1"/>
            </wp:cNvGraphicFramePr>
            <a:graphic>
              <a:graphicData uri="http://schemas.openxmlformats.org/drawingml/2006/picture">
                <pic:pic>
                  <pic:nvPicPr>
                    <pic:cNvPr id="0" name="usecases.png"/>
                    <pic:cNvPicPr/>
                  </pic:nvPicPr>
                  <pic:blipFill>
                    <a:blip r:embed="rId70"/>
                    <a:stretch>
                      <a:fillRect/>
                    </a:stretch>
                  </pic:blipFill>
                  <pic:spPr>
                    <a:xfrm>
                      <a:off x="0" y="0"/>
                      <a:ext cx="5054600" cy="2325887"/>
                    </a:xfrm>
                    <a:prstGeom prst="rect"/>
                  </pic:spPr>
                </pic:pic>
              </a:graphicData>
            </a:graphic>
          </wp:inline>
        </w:drawing>
      </w:r>
    </w:p>
    <w:p>
      <w:pPr>
        <w:pStyle w:val="Caption"/>
        <w:jc w:val="center"/>
      </w:pPr>
      <w:r>
        <w:t>Figure 2.4 – Cas d’utilisation de l’application SMART BUG.</w:t>
      </w:r>
      <w:r>
        <w:rPr>
          <w:sz w:val="18"/>
        </w:rPr>
        <w:br/>
        <w:t>Source : élaboration personnelle d’après le système implémenté.</w:t>
      </w:r>
    </w:p>
    <w:p>
      <w:r>
        <w:t>Le rapport distingue le verdict neuronal des alertes statiques. La probabilité est associée au modèle actif et au seuil enregistré, tandis que les alertes identifient des motifs à examiner. Le choix d’une présentation séparée facilite la lecture des désaccords possibles entre les deux méthodes.</w:t>
      </w:r>
    </w:p>
    <w:p>
      <w:r>
        <w:t>L’historique permet de consulter le détail d’une analyse ou de supprimer un enregistrement. Il ne constitue pas un corpus d’apprentissage automatiquement réinjecté dans le réseau. Une telle réutilisation exigerait un processus d’annotation et de validation spécifique, faute de quoi les prédictions du système pourraient devenir leurs propres labels.</w:t>
      </w:r>
    </w:p>
    <w:p>
      <w:pPr>
        <w:sectPr>
          <w:headerReference w:type="default" r:id="rId68"/>
          <w:footerReference w:type="default" r:id="rId69"/>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sectPr>
      </w:pPr>
    </w:p>
    <w:p>
      <w:bookmarkStart w:id="28" w:name="page_19"/>
      <w:pPr>
        <w:pStyle w:val="Small"/>
      </w:pPr>
      <w:bookmarkEnd w:id="28"/>
    </w:p>
    <w:p>
      <w:pPr>
        <w:pStyle w:val="Heading3"/>
      </w:pPr>
      <w:r>
        <w:t>2.2.3 Diagramme de séquence</w:t>
      </w:r>
    </w:p>
    <w:p>
      <w:r>
        <w:t>La séquence simplifiée décrit une analyse réussie. Le serveur valide le fichier, obtient le score du prédicteur et les alertes statiques, puis prépare l’enregistrement et la réponse. Une erreur interrompt ce parcours et donne lieu à un message explicite.</w:t>
      </w:r>
    </w:p>
    <w:p>
      <w:pPr>
        <w:keepNext/>
        <w:spacing w:after="80" w:line="240" w:lineRule="auto"/>
        <w:ind w:firstLine="0"/>
        <w:jc w:val="center"/>
      </w:pPr>
      <w:r>
        <w:drawing>
          <wp:inline xmlns:a="http://schemas.openxmlformats.org/drawingml/2006/main" xmlns:pic="http://schemas.openxmlformats.org/drawingml/2006/picture">
            <wp:extent cx="5054600" cy="2487017"/>
            <wp:docPr id="7" name="Picture 7"/>
            <wp:cNvGraphicFramePr>
              <a:graphicFrameLocks noChangeAspect="1"/>
            </wp:cNvGraphicFramePr>
            <a:graphic>
              <a:graphicData uri="http://schemas.openxmlformats.org/drawingml/2006/picture">
                <pic:pic>
                  <pic:nvPicPr>
                    <pic:cNvPr id="0" name="sequence.png"/>
                    <pic:cNvPicPr/>
                  </pic:nvPicPr>
                  <pic:blipFill>
                    <a:blip r:embed="rId73"/>
                    <a:stretch>
                      <a:fillRect/>
                    </a:stretch>
                  </pic:blipFill>
                  <pic:spPr>
                    <a:xfrm>
                      <a:off x="0" y="0"/>
                      <a:ext cx="5054600" cy="2487017"/>
                    </a:xfrm>
                    <a:prstGeom prst="rect"/>
                  </pic:spPr>
                </pic:pic>
              </a:graphicData>
            </a:graphic>
          </wp:inline>
        </w:drawing>
      </w:r>
    </w:p>
    <w:p>
      <w:pPr>
        <w:pStyle w:val="Caption"/>
        <w:jc w:val="center"/>
      </w:pPr>
      <w:r>
        <w:t>Figure 2.5 – Interactions principales lors d’une analyse.</w:t>
      </w:r>
      <w:r>
        <w:rPr>
          <w:sz w:val="18"/>
        </w:rPr>
        <w:br/>
        <w:t>Source : élaboration personnelle d’après le système implémenté.</w:t>
      </w:r>
    </w:p>
    <w:p>
      <w:pPr>
        <w:pStyle w:val="Heading3"/>
      </w:pPr>
      <w:r>
        <w:t>2.2.4 Diagramme d’états-transitions</w:t>
      </w:r>
    </w:p>
    <w:p>
      <w:r>
        <w:t>Les états de la figure 2.6 résument le parcours visible. Le retour à l’attente permet de soumettre un autre contrat. Une erreur peut provenir d’une entrée refusée ou d’une ressource du modèle indisponible ; elle ne doit pas être remplacée par un verdict de sécurité.</w:t>
      </w:r>
    </w:p>
    <w:p>
      <w:pPr>
        <w:keepNext/>
        <w:spacing w:after="80" w:line="240" w:lineRule="auto"/>
        <w:ind w:firstLine="0"/>
        <w:jc w:val="center"/>
      </w:pPr>
      <w:r>
        <w:drawing>
          <wp:inline xmlns:a="http://schemas.openxmlformats.org/drawingml/2006/main" xmlns:pic="http://schemas.openxmlformats.org/drawingml/2006/picture">
            <wp:extent cx="5054600" cy="1677861"/>
            <wp:docPr id="8" name="Picture 8"/>
            <wp:cNvGraphicFramePr>
              <a:graphicFrameLocks noChangeAspect="1"/>
            </wp:cNvGraphicFramePr>
            <a:graphic>
              <a:graphicData uri="http://schemas.openxmlformats.org/drawingml/2006/picture">
                <pic:pic>
                  <pic:nvPicPr>
                    <pic:cNvPr id="0" name="states.png"/>
                    <pic:cNvPicPr/>
                  </pic:nvPicPr>
                  <pic:blipFill>
                    <a:blip r:embed="rId74"/>
                    <a:stretch>
                      <a:fillRect/>
                    </a:stretch>
                  </pic:blipFill>
                  <pic:spPr>
                    <a:xfrm>
                      <a:off x="0" y="0"/>
                      <a:ext cx="5054600" cy="1677861"/>
                    </a:xfrm>
                    <a:prstGeom prst="rect"/>
                  </pic:spPr>
                </pic:pic>
              </a:graphicData>
            </a:graphic>
          </wp:inline>
        </w:drawing>
      </w:r>
    </w:p>
    <w:p>
      <w:pPr>
        <w:pStyle w:val="Caption"/>
        <w:jc w:val="center"/>
      </w:pPr>
      <w:r>
        <w:t>Figure 2.6 – États simplifiés du traitement d’un contrat.</w:t>
      </w:r>
      <w:r>
        <w:rPr>
          <w:sz w:val="18"/>
        </w:rPr>
        <w:br/>
        <w:t>Source : élaboration personnelle d’après le système implémenté.</w:t>
      </w:r>
    </w:p>
    <w:p>
      <w:pPr>
        <w:sectPr>
          <w:headerReference w:type="default" r:id="rId71"/>
          <w:footerReference w:type="default" r:id="rId72"/>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sectPr>
      </w:pPr>
    </w:p>
    <w:p>
      <w:bookmarkStart w:id="29" w:name="page_20"/>
      <w:pPr>
        <w:pStyle w:val="Small"/>
      </w:pPr>
      <w:bookmarkEnd w:id="29"/>
    </w:p>
    <w:p>
      <w:pPr>
        <w:pStyle w:val="Heading3"/>
      </w:pPr>
      <w:r>
        <w:t>2.2.5 Organisation des fichiers et reproductibilité</w:t>
      </w:r>
    </w:p>
    <w:p>
      <w:r>
        <w:t>Le tableau 2.2 relie les opérations aux principaux fichiers. Il précise notamment le script qui orchestre l’entraînement, la validation, la calibration et le test du modèle actif. Cette organisation permet de remonter d’une métrique publiée à son calcul et aux ressources utilisées.</w:t>
      </w:r>
    </w:p>
    <w:p>
      <w:pPr>
        <w:pStyle w:val="Caption"/>
        <w:keepNext/>
      </w:pPr>
      <w:r>
        <w:t>Tableau 2.2 – Principaux fichiers et responsabilités.</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3980"/>
        <w:gridCol w:w="3980"/>
      </w:tblGrid>
      <w:tr>
        <w:trPr>
          <w:cantSplit/>
          <w:tblHeader/>
        </w:trPr>
        <w:tc>
          <w:tcPr>
            <w:tcW w:type="dxa" w:w="3980"/>
            <w:vAlign w:val="center"/>
          </w:tcPr>
          <w:p>
            <w:pPr>
              <w:spacing w:after="0" w:line="240" w:lineRule="exact"/>
              <w:ind w:firstLine="0"/>
              <w:jc w:val="left"/>
            </w:pPr>
            <w:r>
              <w:rPr>
                <w:b/>
                <w:sz w:val="19"/>
              </w:rPr>
              <w:t>Fichier ou dossier</w:t>
            </w:r>
          </w:p>
        </w:tc>
        <w:tc>
          <w:tcPr>
            <w:tcW w:type="dxa" w:w="3980"/>
            <w:vAlign w:val="center"/>
          </w:tcPr>
          <w:p>
            <w:pPr>
              <w:spacing w:after="0" w:line="240" w:lineRule="exact"/>
              <w:ind w:firstLine="0"/>
              <w:jc w:val="left"/>
            </w:pPr>
            <w:r>
              <w:rPr>
                <w:b/>
                <w:sz w:val="19"/>
              </w:rPr>
              <w:t>Rôle</w:t>
            </w:r>
          </w:p>
        </w:tc>
      </w:tr>
      <w:tr>
        <w:trPr>
          <w:cantSplit/>
        </w:trPr>
        <w:tc>
          <w:tcPr>
            <w:tcW w:type="dxa" w:w="3980"/>
            <w:vAlign w:val="center"/>
          </w:tcPr>
          <w:p>
            <w:pPr>
              <w:spacing w:after="0" w:line="240" w:lineRule="exact"/>
              <w:ind w:firstLine="0"/>
              <w:jc w:val="left"/>
            </w:pPr>
            <w:r>
              <w:rPr>
                <w:b w:val="0"/>
                <w:sz w:val="19"/>
              </w:rPr>
              <w:t>src/build_dataset.py</w:t>
            </w:r>
          </w:p>
        </w:tc>
        <w:tc>
          <w:tcPr>
            <w:tcW w:type="dxa" w:w="3980"/>
            <w:vAlign w:val="center"/>
          </w:tcPr>
          <w:p>
            <w:pPr>
              <w:spacing w:after="0" w:line="240" w:lineRule="exact"/>
              <w:ind w:firstLine="0"/>
              <w:jc w:val="left"/>
            </w:pPr>
            <w:r>
              <w:rPr>
                <w:b w:val="0"/>
                <w:sz w:val="19"/>
              </w:rPr>
              <w:t>Nettoyage, groupes et partitions</w:t>
            </w:r>
          </w:p>
        </w:tc>
      </w:tr>
      <w:tr>
        <w:trPr>
          <w:cantSplit/>
        </w:trPr>
        <w:tc>
          <w:tcPr>
            <w:tcW w:type="dxa" w:w="3980"/>
            <w:vAlign w:val="center"/>
          </w:tcPr>
          <w:p>
            <w:pPr>
              <w:spacing w:after="0" w:line="240" w:lineRule="exact"/>
              <w:ind w:firstLine="0"/>
              <w:jc w:val="left"/>
            </w:pPr>
            <w:r>
              <w:rPr>
                <w:b w:val="0"/>
                <w:sz w:val="19"/>
              </w:rPr>
              <w:t>src/audit_dataset.py</w:t>
            </w:r>
          </w:p>
        </w:tc>
        <w:tc>
          <w:tcPr>
            <w:tcW w:type="dxa" w:w="3980"/>
            <w:vAlign w:val="center"/>
          </w:tcPr>
          <w:p>
            <w:pPr>
              <w:spacing w:after="0" w:line="240" w:lineRule="exact"/>
              <w:ind w:firstLine="0"/>
              <w:jc w:val="left"/>
            </w:pPr>
            <w:r>
              <w:rPr>
                <w:b w:val="0"/>
                <w:sz w:val="19"/>
              </w:rPr>
              <w:t>Audit indépendant des représentations</w:t>
            </w:r>
          </w:p>
        </w:tc>
      </w:tr>
      <w:tr>
        <w:trPr>
          <w:cantSplit/>
        </w:trPr>
        <w:tc>
          <w:tcPr>
            <w:tcW w:type="dxa" w:w="3980"/>
            <w:vAlign w:val="center"/>
          </w:tcPr>
          <w:p>
            <w:pPr>
              <w:spacing w:after="0" w:line="240" w:lineRule="exact"/>
              <w:ind w:firstLine="0"/>
              <w:jc w:val="left"/>
            </w:pPr>
            <w:r>
              <w:rPr>
                <w:b w:val="0"/>
                <w:sz w:val="19"/>
              </w:rPr>
              <w:t>src/preprocessing.py</w:t>
            </w:r>
          </w:p>
        </w:tc>
        <w:tc>
          <w:tcPr>
            <w:tcW w:type="dxa" w:w="3980"/>
            <w:vAlign w:val="center"/>
          </w:tcPr>
          <w:p>
            <w:pPr>
              <w:spacing w:after="0" w:line="240" w:lineRule="exact"/>
              <w:ind w:firstLine="0"/>
              <w:jc w:val="left"/>
            </w:pPr>
            <w:r>
              <w:rPr>
                <w:b w:val="0"/>
                <w:sz w:val="19"/>
              </w:rPr>
              <w:t>Tokenisation et encodage communs</w:t>
            </w:r>
          </w:p>
        </w:tc>
      </w:tr>
      <w:tr>
        <w:trPr>
          <w:cantSplit/>
        </w:trPr>
        <w:tc>
          <w:tcPr>
            <w:tcW w:type="dxa" w:w="3980"/>
            <w:vAlign w:val="center"/>
          </w:tcPr>
          <w:p>
            <w:pPr>
              <w:spacing w:after="0" w:line="240" w:lineRule="exact"/>
              <w:ind w:firstLine="0"/>
              <w:jc w:val="left"/>
            </w:pPr>
            <w:r>
              <w:rPr>
                <w:b w:val="0"/>
                <w:sz w:val="19"/>
              </w:rPr>
              <w:t>src/model.py</w:t>
            </w:r>
          </w:p>
        </w:tc>
        <w:tc>
          <w:tcPr>
            <w:tcW w:type="dxa" w:w="3980"/>
            <w:vAlign w:val="center"/>
          </w:tcPr>
          <w:p>
            <w:pPr>
              <w:spacing w:after="0" w:line="240" w:lineRule="exact"/>
              <w:ind w:firstLine="0"/>
              <w:jc w:val="left"/>
            </w:pPr>
            <w:r>
              <w:rPr>
                <w:b w:val="0"/>
                <w:sz w:val="19"/>
              </w:rPr>
              <w:t>Construction du CNN–BiLSTM actif</w:t>
            </w:r>
          </w:p>
        </w:tc>
      </w:tr>
      <w:tr>
        <w:trPr>
          <w:cantSplit/>
        </w:trPr>
        <w:tc>
          <w:tcPr>
            <w:tcW w:type="dxa" w:w="3980"/>
            <w:vAlign w:val="center"/>
          </w:tcPr>
          <w:p>
            <w:pPr>
              <w:spacing w:after="0" w:line="240" w:lineRule="exact"/>
              <w:ind w:firstLine="0"/>
              <w:jc w:val="left"/>
            </w:pPr>
            <w:r>
              <w:rPr>
                <w:b w:val="0"/>
                <w:sz w:val="19"/>
              </w:rPr>
              <w:t>src/train.py</w:t>
            </w:r>
          </w:p>
        </w:tc>
        <w:tc>
          <w:tcPr>
            <w:tcW w:type="dxa" w:w="3980"/>
            <w:vAlign w:val="center"/>
          </w:tcPr>
          <w:p>
            <w:pPr>
              <w:spacing w:after="0" w:line="240" w:lineRule="exact"/>
              <w:ind w:firstLine="0"/>
              <w:jc w:val="left"/>
            </w:pPr>
            <w:r>
              <w:rPr>
                <w:b w:val="0"/>
                <w:sz w:val="19"/>
              </w:rPr>
              <w:t>Entraînement, validation, calibration et test</w:t>
            </w:r>
          </w:p>
        </w:tc>
      </w:tr>
      <w:tr>
        <w:trPr>
          <w:cantSplit/>
        </w:trPr>
        <w:tc>
          <w:tcPr>
            <w:tcW w:type="dxa" w:w="3980"/>
            <w:vAlign w:val="center"/>
          </w:tcPr>
          <w:p>
            <w:pPr>
              <w:spacing w:after="0" w:line="240" w:lineRule="exact"/>
              <w:ind w:firstLine="0"/>
              <w:jc w:val="left"/>
            </w:pPr>
            <w:r>
              <w:rPr>
                <w:b w:val="0"/>
                <w:sz w:val="19"/>
              </w:rPr>
              <w:t>src/experiment.py</w:t>
            </w:r>
          </w:p>
        </w:tc>
        <w:tc>
          <w:tcPr>
            <w:tcW w:type="dxa" w:w="3980"/>
            <w:vAlign w:val="center"/>
          </w:tcPr>
          <w:p>
            <w:pPr>
              <w:spacing w:after="0" w:line="240" w:lineRule="exact"/>
              <w:ind w:firstLine="0"/>
              <w:jc w:val="left"/>
            </w:pPr>
            <w:r>
              <w:rPr>
                <w:b w:val="0"/>
                <w:sz w:val="19"/>
              </w:rPr>
              <w:t>Lots et calcul des métriques</w:t>
            </w:r>
          </w:p>
        </w:tc>
      </w:tr>
      <w:tr>
        <w:trPr>
          <w:cantSplit/>
        </w:trPr>
        <w:tc>
          <w:tcPr>
            <w:tcW w:type="dxa" w:w="3980"/>
            <w:vAlign w:val="center"/>
          </w:tcPr>
          <w:p>
            <w:pPr>
              <w:spacing w:after="0" w:line="240" w:lineRule="exact"/>
              <w:ind w:firstLine="0"/>
              <w:jc w:val="left"/>
            </w:pPr>
            <w:r>
              <w:rPr>
                <w:b w:val="0"/>
                <w:sz w:val="19"/>
              </w:rPr>
              <w:t>config/model.json</w:t>
            </w:r>
          </w:p>
        </w:tc>
        <w:tc>
          <w:tcPr>
            <w:tcW w:type="dxa" w:w="3980"/>
            <w:vAlign w:val="center"/>
          </w:tcPr>
          <w:p>
            <w:pPr>
              <w:spacing w:after="0" w:line="240" w:lineRule="exact"/>
              <w:ind w:firstLine="0"/>
              <w:jc w:val="left"/>
            </w:pPr>
            <w:r>
              <w:rPr>
                <w:b w:val="0"/>
                <w:sz w:val="19"/>
              </w:rPr>
              <w:t>Hyperparamètres du modèle actif</w:t>
            </w:r>
          </w:p>
        </w:tc>
      </w:tr>
      <w:tr>
        <w:trPr>
          <w:cantSplit/>
        </w:trPr>
        <w:tc>
          <w:tcPr>
            <w:tcW w:type="dxa" w:w="3980"/>
            <w:vAlign w:val="center"/>
          </w:tcPr>
          <w:p>
            <w:pPr>
              <w:spacing w:after="0" w:line="240" w:lineRule="exact"/>
              <w:ind w:firstLine="0"/>
              <w:jc w:val="left"/>
            </w:pPr>
            <w:r>
              <w:rPr>
                <w:b w:val="0"/>
                <w:sz w:val="19"/>
              </w:rPr>
              <w:t>src/predictor.py</w:t>
            </w:r>
          </w:p>
        </w:tc>
        <w:tc>
          <w:tcPr>
            <w:tcW w:type="dxa" w:w="3980"/>
            <w:vAlign w:val="center"/>
          </w:tcPr>
          <w:p>
            <w:pPr>
              <w:spacing w:after="0" w:line="240" w:lineRule="exact"/>
              <w:ind w:firstLine="0"/>
              <w:jc w:val="left"/>
            </w:pPr>
            <w:r>
              <w:rPr>
                <w:b w:val="0"/>
                <w:sz w:val="19"/>
              </w:rPr>
              <w:t>Inférence commune au web et à la commande</w:t>
            </w:r>
          </w:p>
        </w:tc>
      </w:tr>
      <w:tr>
        <w:trPr>
          <w:cantSplit/>
        </w:trPr>
        <w:tc>
          <w:tcPr>
            <w:tcW w:type="dxa" w:w="3980"/>
            <w:vAlign w:val="center"/>
          </w:tcPr>
          <w:p>
            <w:pPr>
              <w:spacing w:after="0" w:line="240" w:lineRule="exact"/>
              <w:ind w:firstLine="0"/>
              <w:jc w:val="left"/>
            </w:pPr>
            <w:r>
              <w:rPr>
                <w:b w:val="0"/>
                <w:sz w:val="19"/>
              </w:rPr>
              <w:t>src/benchmark_tcn.py</w:t>
            </w:r>
          </w:p>
        </w:tc>
        <w:tc>
          <w:tcPr>
            <w:tcW w:type="dxa" w:w="3980"/>
            <w:vAlign w:val="center"/>
          </w:tcPr>
          <w:p>
            <w:pPr>
              <w:spacing w:after="0" w:line="240" w:lineRule="exact"/>
              <w:ind w:firstLine="0"/>
              <w:jc w:val="left"/>
            </w:pPr>
            <w:r>
              <w:rPr>
                <w:b w:val="0"/>
                <w:sz w:val="19"/>
              </w:rPr>
              <w:t>TCN, pilote, entraînement et reprise</w:t>
            </w:r>
          </w:p>
        </w:tc>
      </w:tr>
      <w:tr>
        <w:trPr>
          <w:cantSplit/>
        </w:trPr>
        <w:tc>
          <w:tcPr>
            <w:tcW w:type="dxa" w:w="3980"/>
            <w:vAlign w:val="center"/>
          </w:tcPr>
          <w:p>
            <w:pPr>
              <w:spacing w:after="0" w:line="240" w:lineRule="exact"/>
              <w:ind w:firstLine="0"/>
              <w:jc w:val="left"/>
            </w:pPr>
            <w:r>
              <w:rPr>
                <w:b w:val="0"/>
                <w:sz w:val="19"/>
              </w:rPr>
              <w:t>src/run_model_benchmark.py</w:t>
            </w:r>
          </w:p>
        </w:tc>
        <w:tc>
          <w:tcPr>
            <w:tcW w:type="dxa" w:w="3980"/>
            <w:vAlign w:val="center"/>
          </w:tcPr>
          <w:p>
            <w:pPr>
              <w:spacing w:after="0" w:line="240" w:lineRule="exact"/>
              <w:ind w:firstLine="0"/>
              <w:jc w:val="left"/>
            </w:pPr>
            <w:r>
              <w:rPr>
                <w:b w:val="0"/>
                <w:sz w:val="19"/>
              </w:rPr>
              <w:t>Comparaison CNN–BiLSTM / XGBoost / TCN</w:t>
            </w:r>
          </w:p>
        </w:tc>
      </w:tr>
      <w:tr>
        <w:trPr>
          <w:cantSplit/>
        </w:trPr>
        <w:tc>
          <w:tcPr>
            <w:tcW w:type="dxa" w:w="3980"/>
            <w:vAlign w:val="center"/>
          </w:tcPr>
          <w:p>
            <w:pPr>
              <w:spacing w:after="0" w:line="240" w:lineRule="exact"/>
              <w:ind w:firstLine="0"/>
              <w:jc w:val="left"/>
            </w:pPr>
            <w:r>
              <w:rPr>
                <w:b w:val="0"/>
                <w:sz w:val="19"/>
              </w:rPr>
              <w:t>config/benchmark_models.json</w:t>
            </w:r>
          </w:p>
        </w:tc>
        <w:tc>
          <w:tcPr>
            <w:tcW w:type="dxa" w:w="3980"/>
            <w:vAlign w:val="center"/>
          </w:tcPr>
          <w:p>
            <w:pPr>
              <w:spacing w:after="0" w:line="240" w:lineRule="exact"/>
              <w:ind w:firstLine="0"/>
              <w:jc w:val="left"/>
            </w:pPr>
            <w:r>
              <w:rPr>
                <w:b w:val="0"/>
                <w:sz w:val="19"/>
              </w:rPr>
              <w:t>Réglages des concurrents et protocole</w:t>
            </w:r>
          </w:p>
        </w:tc>
      </w:tr>
    </w:tbl>
    <w:p>
      <w:pPr>
        <w:pStyle w:val="Small"/>
        <w:spacing w:after="200"/>
      </w:pPr>
      <w:r>
        <w:t>Source : configuration, données et résultats archivés de SMART BUG.</w:t>
      </w:r>
    </w:p>
    <w:p>
      <w:r>
        <w:t>Les résultats actifs sont archivés dans results/training ; la comparaison cnn-xgboost-tcn-20261005, dans results/benchmark. Les résultats CNN et XGBoost sont réutilisés avec leur provenance et leurs empreintes. Les historiques, prédictions et manifestes permettent de recalculer les indicateurs. Les poids actifs sont désignés par models/active_model.json ; leur empreinte SHA-256 et celle du vocabulaire sont vérifiées.</w:t>
      </w:r>
    </w:p>
    <w:p>
      <w:r>
        <w:t>La reproductibilité repose sur les graines 42, 73 et 101, les partitions, les configurations et les versions archivées. Des bibliothèques ou matériels différents peuvent modifier les calculs. Le commit 2df2580 décrit le CNN historique ; la comparaison TCN conserve ses propres manifestes et ne réécrit pas ces preuves.</w:t>
      </w:r>
    </w:p>
    <w:p>
      <w:pPr>
        <w:sectPr>
          <w:headerReference w:type="default" r:id="rId75"/>
          <w:footerReference w:type="default" r:id="rId76"/>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sectPr>
      </w:pPr>
    </w:p>
    <w:p>
      <w:pPr>
        <w:pStyle w:val="ChapterLabel"/>
        <w:keepNext/>
        <w:spacing w:before="2000" w:after="720"/>
      </w:pPr>
      <w:r>
        <w:t>Chapitre 3</w:t>
      </w:r>
    </w:p>
    <w:p>
      <w:bookmarkStart w:id="30" w:name="page_21"/>
      <w:pPr>
        <w:pStyle w:val="Heading1"/>
        <w:spacing w:before="0" w:after="800"/>
      </w:pPr>
      <w:r>
        <w:t>Investigation expérimentale</w:t>
      </w:r>
      <w:bookmarkEnd w:id="30"/>
    </w:p>
    <w:p>
      <w:pPr>
        <w:pStyle w:val="Heading2"/>
      </w:pPr>
      <w:r>
        <w:t>3.1 Description de l’application</w:t>
      </w:r>
    </w:p>
    <w:p>
      <w:r>
        <w:t>SMART BUG est une application locale d’aide à l’analyse de sécurité des smart contracts Solidity. L’utilisateur fournit un fichier .sol ; l’application affiche une probabilité calibrée, un verdict global et des alertes issues de règles statiques. Les informations sur le modèle, le jeu de données et l’historique complètent le rapport.</w:t>
      </w:r>
    </w:p>
    <w:p>
      <w:r>
        <w:t>L’expérimentation conserve le CNN–BiLSTM actif sous TensorFlow, dont le checkpoint a été sélectionné sur validation. Elle réutilise XGBoost, appris depuis zéro sur TF-IDF avec les mêmes partitions. Le troisième modèle retenu est un TCN entraîné depuis zéro sur les tokens normalisés. Son checkpoint a été sélectionné avant calibration et test.</w:t>
      </w:r>
    </w:p>
    <w:p>
      <w:r>
        <w:t>Les observations du modèle actif proviennent des expériences de septembre 2026 ; XGBoost a été entraîné et évalué en octobre 2026. Ces résultats sont réutilisés, avec provenance, dans la comparaison TCN. Les graphiques comparatifs proviennent des sorties archivées : indicateurs du test, différences bootstrap et pertes du TCN sélectionné. Les schémas décrivent le système et les architectures.</w:t>
      </w:r>
    </w:p>
    <w:p>
      <w:pPr>
        <w:sectPr>
          <w:headerReference w:type="default" r:id="rId77"/>
          <w:footerReference w:type="default" r:id="rId78"/>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sectPr>
      </w:pPr>
    </w:p>
    <w:p>
      <w:bookmarkStart w:id="31" w:name="page_22"/>
      <w:pPr>
        <w:pStyle w:val="Small"/>
      </w:pPr>
      <w:bookmarkEnd w:id="31"/>
    </w:p>
    <w:p>
      <w:pPr>
        <w:pStyle w:val="Heading3"/>
      </w:pPr>
      <w:r>
        <w:t>3.1.1 Technologies utilisées et hyperparamètres</w:t>
      </w:r>
    </w:p>
    <w:p>
      <w:r>
        <w:t>Python porte la préparation des données. TensorFlow/Keras implémente le CNN–BiLSTM actif ; XGBoost entraîne les arbres et PyTorch implémente le TCN. Scikit-learn fournit TF-IDF et les métriques. FastAPI expose les services ; HTML, CSS et JavaScript constituent l’interface, et SQLite conserve les analyses. Le protocole documente le matériel effectivement utilisé pour chaque calcul.</w:t>
      </w:r>
    </w:p>
    <w:p>
      <w:pPr>
        <w:pStyle w:val="Caption"/>
        <w:keepNext/>
      </w:pPr>
      <w:r>
        <w:t>Tableau 3.1 – Réglages du CNN–BiLSTM actif.</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3582"/>
        <w:gridCol w:w="4378"/>
      </w:tblGrid>
      <w:tr>
        <w:trPr>
          <w:cantSplit/>
          <w:tblHeader/>
        </w:trPr>
        <w:tc>
          <w:tcPr>
            <w:tcW w:type="dxa" w:w="3582"/>
            <w:vAlign w:val="center"/>
          </w:tcPr>
          <w:p>
            <w:pPr>
              <w:spacing w:after="0" w:line="240" w:lineRule="exact"/>
              <w:ind w:firstLine="0"/>
              <w:jc w:val="left"/>
            </w:pPr>
            <w:r>
              <w:rPr>
                <w:b/>
                <w:sz w:val="19"/>
              </w:rPr>
              <w:t>Paramètre</w:t>
            </w:r>
          </w:p>
        </w:tc>
        <w:tc>
          <w:tcPr>
            <w:tcW w:type="dxa" w:w="4378"/>
            <w:vAlign w:val="center"/>
          </w:tcPr>
          <w:p>
            <w:pPr>
              <w:spacing w:after="0" w:line="240" w:lineRule="exact"/>
              <w:ind w:firstLine="0"/>
              <w:jc w:val="left"/>
            </w:pPr>
            <w:r>
              <w:rPr>
                <w:b/>
                <w:sz w:val="19"/>
              </w:rPr>
              <w:t>Valeur</w:t>
            </w:r>
          </w:p>
        </w:tc>
      </w:tr>
      <w:tr>
        <w:trPr>
          <w:cantSplit/>
        </w:trPr>
        <w:tc>
          <w:tcPr>
            <w:tcW w:type="dxa" w:w="3582"/>
            <w:vAlign w:val="center"/>
          </w:tcPr>
          <w:p>
            <w:pPr>
              <w:spacing w:after="0" w:line="240" w:lineRule="exact"/>
              <w:ind w:firstLine="0"/>
              <w:jc w:val="left"/>
            </w:pPr>
            <w:r>
              <w:rPr>
                <w:b w:val="0"/>
                <w:sz w:val="19"/>
              </w:rPr>
              <w:t>Graines initiales / retenue</w:t>
            </w:r>
          </w:p>
        </w:tc>
        <w:tc>
          <w:tcPr>
            <w:tcW w:type="dxa" w:w="4378"/>
            <w:vAlign w:val="center"/>
          </w:tcPr>
          <w:p>
            <w:pPr>
              <w:spacing w:after="0" w:line="240" w:lineRule="exact"/>
              <w:ind w:firstLine="0"/>
              <w:jc w:val="left"/>
            </w:pPr>
            <w:r>
              <w:rPr>
                <w:b w:val="0"/>
                <w:sz w:val="19"/>
              </w:rPr>
              <w:t>42, 73, 101 / 73</w:t>
            </w:r>
          </w:p>
        </w:tc>
      </w:tr>
      <w:tr>
        <w:trPr>
          <w:cantSplit/>
        </w:trPr>
        <w:tc>
          <w:tcPr>
            <w:tcW w:type="dxa" w:w="3582"/>
            <w:vAlign w:val="center"/>
          </w:tcPr>
          <w:p>
            <w:pPr>
              <w:spacing w:after="0" w:line="240" w:lineRule="exact"/>
              <w:ind w:firstLine="0"/>
              <w:jc w:val="left"/>
            </w:pPr>
            <w:r>
              <w:rPr>
                <w:b w:val="0"/>
                <w:sz w:val="19"/>
              </w:rPr>
              <w:t>Embedding / filtres</w:t>
            </w:r>
          </w:p>
        </w:tc>
        <w:tc>
          <w:tcPr>
            <w:tcW w:type="dxa" w:w="4378"/>
            <w:vAlign w:val="center"/>
          </w:tcPr>
          <w:p>
            <w:pPr>
              <w:spacing w:after="0" w:line="240" w:lineRule="exact"/>
              <w:ind w:firstLine="0"/>
              <w:jc w:val="left"/>
            </w:pPr>
            <w:r>
              <w:rPr>
                <w:b w:val="0"/>
                <w:sz w:val="19"/>
              </w:rPr>
              <w:t>32 / 24</w:t>
            </w:r>
          </w:p>
        </w:tc>
      </w:tr>
      <w:tr>
        <w:trPr>
          <w:cantSplit/>
        </w:trPr>
        <w:tc>
          <w:tcPr>
            <w:tcW w:type="dxa" w:w="3582"/>
            <w:vAlign w:val="center"/>
          </w:tcPr>
          <w:p>
            <w:pPr>
              <w:spacing w:after="0" w:line="240" w:lineRule="exact"/>
              <w:ind w:firstLine="0"/>
              <w:jc w:val="left"/>
            </w:pPr>
            <w:r>
              <w:rPr>
                <w:b w:val="0"/>
                <w:sz w:val="19"/>
              </w:rPr>
              <w:t>Noyau / unités BiLSTM</w:t>
            </w:r>
          </w:p>
        </w:tc>
        <w:tc>
          <w:tcPr>
            <w:tcW w:type="dxa" w:w="4378"/>
            <w:vAlign w:val="center"/>
          </w:tcPr>
          <w:p>
            <w:pPr>
              <w:spacing w:after="0" w:line="240" w:lineRule="exact"/>
              <w:ind w:firstLine="0"/>
              <w:jc w:val="left"/>
            </w:pPr>
            <w:r>
              <w:rPr>
                <w:b w:val="0"/>
                <w:sz w:val="19"/>
              </w:rPr>
              <w:t>5 / 24 par sens</w:t>
            </w:r>
          </w:p>
        </w:tc>
      </w:tr>
      <w:tr>
        <w:trPr>
          <w:cantSplit/>
        </w:trPr>
        <w:tc>
          <w:tcPr>
            <w:tcW w:type="dxa" w:w="3582"/>
            <w:vAlign w:val="center"/>
          </w:tcPr>
          <w:p>
            <w:pPr>
              <w:spacing w:after="0" w:line="240" w:lineRule="exact"/>
              <w:ind w:firstLine="0"/>
              <w:jc w:val="left"/>
            </w:pPr>
            <w:r>
              <w:rPr>
                <w:b w:val="0"/>
                <w:sz w:val="19"/>
              </w:rPr>
              <w:t>Dropout / dense</w:t>
            </w:r>
          </w:p>
        </w:tc>
        <w:tc>
          <w:tcPr>
            <w:tcW w:type="dxa" w:w="4378"/>
            <w:vAlign w:val="center"/>
          </w:tcPr>
          <w:p>
            <w:pPr>
              <w:spacing w:after="0" w:line="240" w:lineRule="exact"/>
              <w:ind w:firstLine="0"/>
              <w:jc w:val="left"/>
            </w:pPr>
            <w:r>
              <w:rPr>
                <w:b w:val="0"/>
                <w:sz w:val="19"/>
              </w:rPr>
              <w:t>0,30 / 32</w:t>
            </w:r>
          </w:p>
        </w:tc>
      </w:tr>
      <w:tr>
        <w:trPr>
          <w:cantSplit/>
        </w:trPr>
        <w:tc>
          <w:tcPr>
            <w:tcW w:type="dxa" w:w="3582"/>
            <w:vAlign w:val="center"/>
          </w:tcPr>
          <w:p>
            <w:pPr>
              <w:spacing w:after="0" w:line="240" w:lineRule="exact"/>
              <w:ind w:firstLine="0"/>
              <w:jc w:val="left"/>
            </w:pPr>
            <w:r>
              <w:rPr>
                <w:b w:val="0"/>
                <w:sz w:val="19"/>
              </w:rPr>
              <w:t>Optimiseur / taux</w:t>
            </w:r>
          </w:p>
        </w:tc>
        <w:tc>
          <w:tcPr>
            <w:tcW w:type="dxa" w:w="4378"/>
            <w:vAlign w:val="center"/>
          </w:tcPr>
          <w:p>
            <w:pPr>
              <w:spacing w:after="0" w:line="240" w:lineRule="exact"/>
              <w:ind w:firstLine="0"/>
              <w:jc w:val="left"/>
            </w:pPr>
            <w:r>
              <w:rPr>
                <w:b w:val="0"/>
                <w:sz w:val="19"/>
              </w:rPr>
              <w:t>Adam / 0,001</w:t>
            </w:r>
          </w:p>
        </w:tc>
      </w:tr>
      <w:tr>
        <w:trPr>
          <w:cantSplit/>
        </w:trPr>
        <w:tc>
          <w:tcPr>
            <w:tcW w:type="dxa" w:w="3582"/>
            <w:vAlign w:val="center"/>
          </w:tcPr>
          <w:p>
            <w:pPr>
              <w:spacing w:after="0" w:line="240" w:lineRule="exact"/>
              <w:ind w:firstLine="0"/>
              <w:jc w:val="left"/>
            </w:pPr>
            <w:r>
              <w:rPr>
                <w:b w:val="0"/>
                <w:sz w:val="19"/>
              </w:rPr>
              <w:t>Époques max. / patience</w:t>
            </w:r>
          </w:p>
        </w:tc>
        <w:tc>
          <w:tcPr>
            <w:tcW w:type="dxa" w:w="4378"/>
            <w:vAlign w:val="center"/>
          </w:tcPr>
          <w:p>
            <w:pPr>
              <w:spacing w:after="0" w:line="240" w:lineRule="exact"/>
              <w:ind w:firstLine="0"/>
              <w:jc w:val="left"/>
            </w:pPr>
            <w:r>
              <w:rPr>
                <w:b w:val="0"/>
                <w:sz w:val="19"/>
              </w:rPr>
              <w:t>12 / 3</w:t>
            </w:r>
          </w:p>
        </w:tc>
      </w:tr>
      <w:tr>
        <w:trPr>
          <w:cantSplit/>
        </w:trPr>
        <w:tc>
          <w:tcPr>
            <w:tcW w:type="dxa" w:w="3582"/>
            <w:vAlign w:val="center"/>
          </w:tcPr>
          <w:p>
            <w:pPr>
              <w:spacing w:after="0" w:line="240" w:lineRule="exact"/>
              <w:ind w:firstLine="0"/>
              <w:jc w:val="left"/>
            </w:pPr>
            <w:r>
              <w:rPr>
                <w:b w:val="0"/>
                <w:sz w:val="19"/>
              </w:rPr>
              <w:t>Lot de référence</w:t>
            </w:r>
          </w:p>
        </w:tc>
        <w:tc>
          <w:tcPr>
            <w:tcW w:type="dxa" w:w="4378"/>
            <w:vAlign w:val="center"/>
          </w:tcPr>
          <w:p>
            <w:pPr>
              <w:spacing w:after="0" w:line="240" w:lineRule="exact"/>
              <w:ind w:firstLine="0"/>
              <w:jc w:val="left"/>
            </w:pPr>
            <w:r>
              <w:rPr>
                <w:b w:val="0"/>
                <w:sz w:val="19"/>
              </w:rPr>
              <w:t>32, réduit selon longueur</w:t>
            </w:r>
          </w:p>
        </w:tc>
      </w:tr>
      <w:tr>
        <w:trPr>
          <w:cantSplit/>
        </w:trPr>
        <w:tc>
          <w:tcPr>
            <w:tcW w:type="dxa" w:w="3582"/>
            <w:vAlign w:val="center"/>
          </w:tcPr>
          <w:p>
            <w:pPr>
              <w:spacing w:after="0" w:line="240" w:lineRule="exact"/>
              <w:ind w:firstLine="0"/>
              <w:jc w:val="left"/>
            </w:pPr>
            <w:r>
              <w:rPr>
                <w:b w:val="0"/>
                <w:sz w:val="19"/>
              </w:rPr>
              <w:t>Threads CPU</w:t>
            </w:r>
          </w:p>
        </w:tc>
        <w:tc>
          <w:tcPr>
            <w:tcW w:type="dxa" w:w="4378"/>
            <w:vAlign w:val="center"/>
          </w:tcPr>
          <w:p>
            <w:pPr>
              <w:spacing w:after="0" w:line="240" w:lineRule="exact"/>
              <w:ind w:firstLine="0"/>
              <w:jc w:val="left"/>
            </w:pPr>
            <w:r>
              <w:rPr>
                <w:b w:val="0"/>
                <w:sz w:val="19"/>
              </w:rPr>
              <w:t>4</w:t>
            </w:r>
          </w:p>
        </w:tc>
      </w:tr>
    </w:tbl>
    <w:p>
      <w:pPr>
        <w:pStyle w:val="Small"/>
        <w:spacing w:after="200"/>
      </w:pPr>
      <w:r>
        <w:t>Source : configuration, données et résultats archivés de SMART BUG.</w:t>
      </w:r>
    </w:p>
    <w:p>
      <w:r>
        <w:t>XGBoost utilise au plus 600 arbres, profondeur 6, taux 0,05, sous-échantillonnages des lignes et colonnes à 0,80, poids minimal d’enfant 2 et régularisation L2 de 1. La méthode hist et une patience de 40 itérations sur validation ont été appliquées. La graine 101 est retenue selon la log-loss de validation ; la prédiction utilise ses 598 premières itérations, sélectionnées sans consulter le test.</w:t>
      </w:r>
    </w:p>
    <w:p>
      <w:r>
        <w:t>TF-IDF emploie unigrammes et bigrammes, au plus 20 000 caractéristiques, une fréquence minimale de deux documents et une fréquence de terme sous-linéaire. Son vocabulaire est appris sur l’entraînement uniquement. XGBoost a été entraîné avec les graines 42, 73 et 101 ; le TCN suit ces mêmes graines. Le CNN comparé reste le checkpoint actif de graine 73, sélectionné auparavant sur validation.</w:t>
      </w:r>
    </w:p>
    <w:p>
      <w:pPr>
        <w:sectPr>
          <w:headerReference w:type="default" r:id="rId79"/>
          <w:footerReference w:type="default" r:id="rId80"/>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sectPr>
      </w:pPr>
    </w:p>
    <w:p>
      <w:bookmarkStart w:id="32" w:name="page_23"/>
      <w:pPr>
        <w:pStyle w:val="Small"/>
      </w:pPr>
      <w:bookmarkEnd w:id="32"/>
    </w:p>
    <w:p>
      <w:pPr>
        <w:pStyle w:val="Heading3"/>
      </w:pPr>
      <w:r>
        <w:t>3.1.2 Mise en œuvre de l’entraînement</w:t>
      </w:r>
    </w:p>
    <w:p>
      <w:r>
        <w:t>Le script src/train.py construit le modèle et parcourt les contrats par lots adaptés à leur longueur. La perte binaire est calculée à partir des logits. Adam ajuste les poids avec un taux initial de 0,001. L’arrêt anticipé surveille la perte de validation, avec une patience de trois époques ; les meilleurs poids sont rechargés avant l’évaluation.</w:t>
      </w:r>
    </w:p>
    <w:p>
      <w:pPr>
        <w:keepNext/>
        <w:spacing w:after="80" w:line="240" w:lineRule="auto"/>
        <w:ind w:firstLine="0"/>
        <w:jc w:val="center"/>
      </w:pPr>
      <w:r>
        <w:drawing>
          <wp:inline xmlns:a="http://schemas.openxmlformats.org/drawingml/2006/main" xmlns:pic="http://schemas.openxmlformats.org/drawingml/2006/picture">
            <wp:extent cx="5054600" cy="2501739"/>
            <wp:docPr id="9" name="Picture 9"/>
            <wp:cNvGraphicFramePr>
              <a:graphicFrameLocks noChangeAspect="1"/>
            </wp:cNvGraphicFramePr>
            <a:graphic>
              <a:graphicData uri="http://schemas.openxmlformats.org/drawingml/2006/picture">
                <pic:pic>
                  <pic:nvPicPr>
                    <pic:cNvPr id="0" name="loss.png"/>
                    <pic:cNvPicPr/>
                  </pic:nvPicPr>
                  <pic:blipFill>
                    <a:blip r:embed="rId83"/>
                    <a:stretch>
                      <a:fillRect/>
                    </a:stretch>
                  </pic:blipFill>
                  <pic:spPr>
                    <a:xfrm>
                      <a:off x="0" y="0"/>
                      <a:ext cx="5054600" cy="2501739"/>
                    </a:xfrm>
                    <a:prstGeom prst="rect"/>
                  </pic:spPr>
                </pic:pic>
              </a:graphicData>
            </a:graphic>
          </wp:inline>
        </w:drawing>
      </w:r>
    </w:p>
    <w:p>
      <w:pPr>
        <w:pStyle w:val="Caption"/>
        <w:jc w:val="center"/>
      </w:pPr>
      <w:r>
        <w:t>Figure 3.1 – Pertes d’apprentissage et de validation, graine 73.</w:t>
      </w:r>
      <w:r>
        <w:rPr>
          <w:sz w:val="18"/>
        </w:rPr>
        <w:br/>
        <w:t>Source : résultats expérimentaux archivés de SMART BUG.</w:t>
      </w:r>
    </w:p>
    <w:p>
      <w:r>
        <w:t>Les graines 42, 73 et 101 ont exécuté respectivement six, six et huit époques. La graine 73 est sélectionnée selon la log-loss de validation ; son meilleur état correspond à la troisième époque. La figure 3.1 montre que la perte d’entraînement continue à baisser après ce point, alors que celle de validation augmente. Poursuivre l’optimisation ne garantit donc pas une meilleure généralisation.</w:t>
      </w:r>
    </w:p>
    <w:p>
      <w:r>
        <w:t>La moyenne du F1 macro de validation des trois graines atteint 79,36 %, avec un écart-type de 1,39 point. Le choix final ne repose pas sur le test. Les historiques conservés rendent visible le critère de sélection et évitent de confondre la dernière époque exécutée avec l’époque dont les poids sont utilisés.</w:t>
      </w:r>
    </w:p>
    <w:p>
      <w:pPr>
        <w:sectPr>
          <w:headerReference w:type="default" r:id="rId81"/>
          <w:footerReference w:type="default" r:id="rId82"/>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sectPr>
      </w:pPr>
    </w:p>
    <w:p>
      <w:bookmarkStart w:id="33" w:name="page_24"/>
      <w:pPr>
        <w:pStyle w:val="Small"/>
      </w:pPr>
      <w:bookmarkEnd w:id="33"/>
    </w:p>
    <w:p>
      <w:pPr>
        <w:pStyle w:val="Heading3"/>
      </w:pPr>
      <w:r>
        <w:t>3.1.3 Intégration et cohérence de l’inférence</w:t>
      </w:r>
    </w:p>
    <w:p>
      <w:r>
        <w:t>La courbe d’exactitude complète la lecture de la perte. L’exactitude de validation est plus élevée à la sixième époque qu’à la troisième, mais le critère prédéfini reste la log-loss. Modifier ce critère après observation des courbes reviendrait à changer la règle de sélection.</w:t>
      </w:r>
    </w:p>
    <w:p>
      <w:pPr>
        <w:keepNext/>
        <w:spacing w:after="80" w:line="240" w:lineRule="auto"/>
        <w:ind w:firstLine="0"/>
        <w:jc w:val="center"/>
      </w:pPr>
      <w:r>
        <w:drawing>
          <wp:inline xmlns:a="http://schemas.openxmlformats.org/drawingml/2006/main" xmlns:pic="http://schemas.openxmlformats.org/drawingml/2006/picture">
            <wp:extent cx="5054600" cy="2501739"/>
            <wp:docPr id="10" name="Picture 10"/>
            <wp:cNvGraphicFramePr>
              <a:graphicFrameLocks noChangeAspect="1"/>
            </wp:cNvGraphicFramePr>
            <a:graphic>
              <a:graphicData uri="http://schemas.openxmlformats.org/drawingml/2006/picture">
                <pic:pic>
                  <pic:nvPicPr>
                    <pic:cNvPr id="0" name="accuracy.png"/>
                    <pic:cNvPicPr/>
                  </pic:nvPicPr>
                  <pic:blipFill>
                    <a:blip r:embed="rId86"/>
                    <a:stretch>
                      <a:fillRect/>
                    </a:stretch>
                  </pic:blipFill>
                  <pic:spPr>
                    <a:xfrm>
                      <a:off x="0" y="0"/>
                      <a:ext cx="5054600" cy="2501739"/>
                    </a:xfrm>
                    <a:prstGeom prst="rect"/>
                  </pic:spPr>
                </pic:pic>
              </a:graphicData>
            </a:graphic>
          </wp:inline>
        </w:drawing>
      </w:r>
    </w:p>
    <w:p>
      <w:pPr>
        <w:pStyle w:val="Caption"/>
        <w:jc w:val="center"/>
      </w:pPr>
      <w:r>
        <w:t>Figure 3.2 – Exactitudes d’apprentissage et de validation, graine 73.</w:t>
      </w:r>
      <w:r>
        <w:rPr>
          <w:sz w:val="18"/>
        </w:rPr>
        <w:br/>
        <w:t>Source : résultats expérimentaux archivés de SMART BUG.</w:t>
      </w:r>
    </w:p>
    <w:p>
      <w:r>
        <w:t>L’application et la commande de prédiction utilisent src/predictor.py. Elles appliquent le même nettoyage, le même vocabulaire et le même découpage. La température retenue vaut 0,9368407 et le seuil 0,2694744. Un score inférieur à 0,5 peut donc conduire à une alerte positive si le seuil actif est dépassé ; ce comportement traduit l’objectif de rappel, et non une incohérence de l’interface.</w:t>
      </w:r>
    </w:p>
    <w:p>
      <w:r>
        <w:t>Les contrôles logiciels couvrent notamment le traitement des tokens finaux, le masquage, le rechargement du modèle et la concordance d’une prédiction avec les résultats archivés. La vérification historique du modèle actif comptait 32 tests réussis. Les contrôles propres au TCN portent notamment sur les convolutions causales, le masquage et la reprise des poids. Ce contrôle logiciel est distinct de la validité des labels et de la généralisation à de nouveaux projets.</w:t>
      </w:r>
    </w:p>
    <w:p>
      <w:pPr>
        <w:sectPr>
          <w:headerReference w:type="default" r:id="rId84"/>
          <w:footerReference w:type="default" r:id="rId85"/>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sectPr>
      </w:pPr>
    </w:p>
    <w:p>
      <w:bookmarkStart w:id="34" w:name="page_25"/>
      <w:pPr>
        <w:pStyle w:val="Small"/>
      </w:pPr>
      <w:bookmarkEnd w:id="34"/>
    </w:p>
    <w:p>
      <w:pPr>
        <w:pStyle w:val="Heading2"/>
      </w:pPr>
      <w:r>
        <w:t>3.2 Résultats</w:t>
      </w:r>
    </w:p>
    <w:p>
      <w:pPr>
        <w:pStyle w:val="Heading3"/>
      </w:pPr>
      <w:r>
        <w:t>3.2.1 Performances du modèle actif</w:t>
      </w:r>
    </w:p>
    <w:p>
      <w:r>
        <w:t>Le test comporte 1 709 exemples, dont 842 positifs et 867 négatifs. Après calibration, SMART BUG obtient une exactitude de 82,15 %, un F1 macro de 82,10 % et un rappel positif de 88,95 %. La matrice de confusion explicite les décisions correspondant à ces scores.</w:t>
      </w:r>
    </w:p>
    <w:p>
      <w:pPr>
        <w:keepNext/>
        <w:spacing w:after="80" w:line="240" w:lineRule="auto"/>
        <w:ind w:firstLine="0"/>
        <w:jc w:val="center"/>
      </w:pPr>
      <w:r>
        <w:drawing>
          <wp:inline xmlns:a="http://schemas.openxmlformats.org/drawingml/2006/main" xmlns:pic="http://schemas.openxmlformats.org/drawingml/2006/picture">
            <wp:extent cx="3492500" cy="3186076"/>
            <wp:docPr id="11" name="Picture 11"/>
            <wp:cNvGraphicFramePr>
              <a:graphicFrameLocks noChangeAspect="1"/>
            </wp:cNvGraphicFramePr>
            <a:graphic>
              <a:graphicData uri="http://schemas.openxmlformats.org/drawingml/2006/picture">
                <pic:pic>
                  <pic:nvPicPr>
                    <pic:cNvPr id="0" name="confusion.png"/>
                    <pic:cNvPicPr/>
                  </pic:nvPicPr>
                  <pic:blipFill>
                    <a:blip r:embed="rId89"/>
                    <a:stretch>
                      <a:fillRect/>
                    </a:stretch>
                  </pic:blipFill>
                  <pic:spPr>
                    <a:xfrm>
                      <a:off x="0" y="0"/>
                      <a:ext cx="3492500" cy="3186076"/>
                    </a:xfrm>
                    <a:prstGeom prst="rect"/>
                  </pic:spPr>
                </pic:pic>
              </a:graphicData>
            </a:graphic>
          </wp:inline>
        </w:drawing>
      </w:r>
    </w:p>
    <w:p>
      <w:pPr>
        <w:pStyle w:val="Caption"/>
        <w:jc w:val="center"/>
      </w:pPr>
      <w:r>
        <w:t>Figure 3.3 – Matrice de confusion du modèle actif calibré.</w:t>
      </w:r>
      <w:r>
        <w:rPr>
          <w:sz w:val="18"/>
        </w:rPr>
        <w:br/>
        <w:t>Source : résultats expérimentaux archivés de SMART BUG.</w:t>
      </w:r>
    </w:p>
    <w:p>
      <w:r>
        <w:t>Le réseau identifie 749 positifs et manque 93 exemples annotés comme vulnérables. Il classe correctement 655 négatifs, mais produit 212 faux positifs. Le taux de faux positifs atteint ainsi 24,45 % des négatifs, et la précision positive 77,94 %. Une utilisation pratique doit tenir compte du travail de vérification associé à ces alertes.</w:t>
      </w:r>
    </w:p>
    <w:p>
      <w:r>
        <w:t>Avec les sorties brutes et le seuil 0,5, le réseau produisait 176 faux négatifs et 124 faux positifs. L’ajustement du point de décision réduit donc les omissions tout en augmentant les alertes inutiles. Le rappel mesuré reste inférieur à la cible de 90 % fixée sur la calibration, ce qui illustre la variation entre partitions.</w:t>
      </w:r>
    </w:p>
    <w:p>
      <w:pPr>
        <w:sectPr>
          <w:headerReference w:type="default" r:id="rId87"/>
          <w:footerReference w:type="default" r:id="rId88"/>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sectPr>
      </w:pPr>
    </w:p>
    <w:p>
      <w:bookmarkStart w:id="35" w:name="page_26"/>
      <w:pPr>
        <w:pStyle w:val="Small"/>
      </w:pPr>
      <w:bookmarkEnd w:id="35"/>
    </w:p>
    <w:p>
      <w:pPr>
        <w:pStyle w:val="Heading3"/>
      </w:pPr>
      <w:r>
        <w:t>3.2.2 Probabilités et calibration</w:t>
      </w:r>
    </w:p>
    <w:p>
      <w:pPr>
        <w:pStyle w:val="Caption"/>
        <w:keepNext/>
      </w:pPr>
      <w:r>
        <w:t>Tableau 3.2 – Résultats du test pour le CNN–BiLSTM actif.</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2945"/>
        <w:gridCol w:w="1672"/>
        <w:gridCol w:w="1672"/>
        <w:gridCol w:w="1671"/>
      </w:tblGrid>
      <w:tr>
        <w:trPr>
          <w:cantSplit/>
          <w:tblHeader/>
        </w:trPr>
        <w:tc>
          <w:tcPr>
            <w:tcW w:type="dxa" w:w="2945"/>
            <w:vAlign w:val="center"/>
          </w:tcPr>
          <w:p>
            <w:pPr>
              <w:spacing w:after="0" w:line="240" w:lineRule="exact"/>
              <w:ind w:firstLine="0"/>
              <w:jc w:val="left"/>
            </w:pPr>
            <w:r>
              <w:rPr>
                <w:b/>
                <w:sz w:val="19"/>
              </w:rPr>
              <w:t>Méthode</w:t>
            </w:r>
          </w:p>
        </w:tc>
        <w:tc>
          <w:tcPr>
            <w:tcW w:type="dxa" w:w="1672"/>
            <w:vAlign w:val="center"/>
          </w:tcPr>
          <w:p>
            <w:pPr>
              <w:spacing w:after="0" w:line="240" w:lineRule="exact"/>
              <w:ind w:firstLine="0"/>
              <w:jc w:val="left"/>
            </w:pPr>
            <w:r>
              <w:rPr>
                <w:b/>
                <w:sz w:val="19"/>
              </w:rPr>
              <w:t>Exact. (%)</w:t>
            </w:r>
          </w:p>
        </w:tc>
        <w:tc>
          <w:tcPr>
            <w:tcW w:type="dxa" w:w="1672"/>
            <w:vAlign w:val="center"/>
          </w:tcPr>
          <w:p>
            <w:pPr>
              <w:spacing w:after="0" w:line="240" w:lineRule="exact"/>
              <w:ind w:firstLine="0"/>
              <w:jc w:val="left"/>
            </w:pPr>
            <w:r>
              <w:rPr>
                <w:b/>
                <w:sz w:val="19"/>
              </w:rPr>
              <w:t>F1 macro (%)</w:t>
            </w:r>
          </w:p>
        </w:tc>
        <w:tc>
          <w:tcPr>
            <w:tcW w:type="dxa" w:w="1671"/>
            <w:vAlign w:val="center"/>
          </w:tcPr>
          <w:p>
            <w:pPr>
              <w:spacing w:after="0" w:line="240" w:lineRule="exact"/>
              <w:ind w:firstLine="0"/>
              <w:jc w:val="left"/>
            </w:pPr>
            <w:r>
              <w:rPr>
                <w:b/>
                <w:sz w:val="19"/>
              </w:rPr>
              <w:t>Rappel (%)</w:t>
            </w:r>
          </w:p>
        </w:tc>
      </w:tr>
      <w:tr>
        <w:trPr>
          <w:cantSplit/>
        </w:trPr>
        <w:tc>
          <w:tcPr>
            <w:tcW w:type="dxa" w:w="2945"/>
            <w:vAlign w:val="center"/>
          </w:tcPr>
          <w:p>
            <w:pPr>
              <w:spacing w:after="0" w:line="240" w:lineRule="exact"/>
              <w:ind w:firstLine="0"/>
              <w:jc w:val="left"/>
            </w:pPr>
            <w:r>
              <w:rPr>
                <w:b w:val="0"/>
                <w:sz w:val="19"/>
              </w:rPr>
              <w:t>CNN–BiLSTM brut</w:t>
            </w:r>
          </w:p>
        </w:tc>
        <w:tc>
          <w:tcPr>
            <w:tcW w:type="dxa" w:w="1672"/>
            <w:vAlign w:val="center"/>
          </w:tcPr>
          <w:p>
            <w:pPr>
              <w:spacing w:after="0" w:line="240" w:lineRule="exact"/>
              <w:ind w:firstLine="0"/>
              <w:jc w:val="left"/>
            </w:pPr>
            <w:r>
              <w:rPr>
                <w:b w:val="0"/>
                <w:sz w:val="19"/>
              </w:rPr>
              <w:t>82,45</w:t>
            </w:r>
          </w:p>
        </w:tc>
        <w:tc>
          <w:tcPr>
            <w:tcW w:type="dxa" w:w="1672"/>
            <w:vAlign w:val="center"/>
          </w:tcPr>
          <w:p>
            <w:pPr>
              <w:spacing w:after="0" w:line="240" w:lineRule="exact"/>
              <w:ind w:firstLine="0"/>
              <w:jc w:val="left"/>
            </w:pPr>
            <w:r>
              <w:rPr>
                <w:b w:val="0"/>
                <w:sz w:val="19"/>
              </w:rPr>
              <w:t>82,41</w:t>
            </w:r>
          </w:p>
        </w:tc>
        <w:tc>
          <w:tcPr>
            <w:tcW w:type="dxa" w:w="1671"/>
            <w:vAlign w:val="center"/>
          </w:tcPr>
          <w:p>
            <w:pPr>
              <w:spacing w:after="0" w:line="240" w:lineRule="exact"/>
              <w:ind w:firstLine="0"/>
              <w:jc w:val="left"/>
            </w:pPr>
            <w:r>
              <w:rPr>
                <w:b w:val="0"/>
                <w:sz w:val="19"/>
              </w:rPr>
              <w:t>79,10</w:t>
            </w:r>
          </w:p>
        </w:tc>
      </w:tr>
      <w:tr>
        <w:trPr>
          <w:cantSplit/>
        </w:trPr>
        <w:tc>
          <w:tcPr>
            <w:tcW w:type="dxa" w:w="2945"/>
            <w:vAlign w:val="center"/>
          </w:tcPr>
          <w:p>
            <w:pPr>
              <w:spacing w:after="0" w:line="240" w:lineRule="exact"/>
              <w:ind w:firstLine="0"/>
              <w:jc w:val="left"/>
            </w:pPr>
            <w:r>
              <w:rPr>
                <w:b w:val="0"/>
                <w:sz w:val="19"/>
              </w:rPr>
              <w:t>CNN–BiLSTM calibré</w:t>
            </w:r>
          </w:p>
        </w:tc>
        <w:tc>
          <w:tcPr>
            <w:tcW w:type="dxa" w:w="1672"/>
            <w:vAlign w:val="center"/>
          </w:tcPr>
          <w:p>
            <w:pPr>
              <w:spacing w:after="0" w:line="240" w:lineRule="exact"/>
              <w:ind w:firstLine="0"/>
              <w:jc w:val="left"/>
            </w:pPr>
            <w:r>
              <w:rPr>
                <w:b w:val="0"/>
                <w:sz w:val="19"/>
              </w:rPr>
              <w:t>82,15</w:t>
            </w:r>
          </w:p>
        </w:tc>
        <w:tc>
          <w:tcPr>
            <w:tcW w:type="dxa" w:w="1672"/>
            <w:vAlign w:val="center"/>
          </w:tcPr>
          <w:p>
            <w:pPr>
              <w:spacing w:after="0" w:line="240" w:lineRule="exact"/>
              <w:ind w:firstLine="0"/>
              <w:jc w:val="left"/>
            </w:pPr>
            <w:r>
              <w:rPr>
                <w:b w:val="0"/>
                <w:sz w:val="19"/>
              </w:rPr>
              <w:t>82,10</w:t>
            </w:r>
          </w:p>
        </w:tc>
        <w:tc>
          <w:tcPr>
            <w:tcW w:type="dxa" w:w="1671"/>
            <w:vAlign w:val="center"/>
          </w:tcPr>
          <w:p>
            <w:pPr>
              <w:spacing w:after="0" w:line="240" w:lineRule="exact"/>
              <w:ind w:firstLine="0"/>
              <w:jc w:val="left"/>
            </w:pPr>
            <w:r>
              <w:rPr>
                <w:b w:val="0"/>
                <w:sz w:val="19"/>
              </w:rPr>
              <w:t>88,95</w:t>
            </w:r>
          </w:p>
        </w:tc>
      </w:tr>
    </w:tbl>
    <w:p>
      <w:pPr>
        <w:pStyle w:val="Small"/>
        <w:spacing w:after="200"/>
      </w:pPr>
      <w:r>
        <w:t>Source : configuration, données et résultats archivés de SMART BUG.</w:t>
      </w:r>
    </w:p>
    <w:p>
      <w:r>
        <w:t>La température ne modifie pas le classement des scores : la ROC AUC du réseau reste proche de 0,907. Le score de Brier passe de 0,125856 à 0,125753 et l’ECE de 5,65 % à 5,12 %. L’amélioration probabiliste observée est modeste. La baisse du seuil explique surtout le changement du rappel et du nombre d’alertes.</w:t>
      </w:r>
    </w:p>
    <w:p>
      <w:pPr>
        <w:keepNext/>
        <w:spacing w:after="80" w:line="240" w:lineRule="auto"/>
        <w:ind w:firstLine="0"/>
        <w:jc w:val="center"/>
      </w:pPr>
      <w:r>
        <w:drawing>
          <wp:inline xmlns:a="http://schemas.openxmlformats.org/drawingml/2006/main" xmlns:pic="http://schemas.openxmlformats.org/drawingml/2006/picture">
            <wp:extent cx="5054600" cy="2861715"/>
            <wp:docPr id="12" name="Picture 12"/>
            <wp:cNvGraphicFramePr>
              <a:graphicFrameLocks noChangeAspect="1"/>
            </wp:cNvGraphicFramePr>
            <a:graphic>
              <a:graphicData uri="http://schemas.openxmlformats.org/drawingml/2006/picture">
                <pic:pic>
                  <pic:nvPicPr>
                    <pic:cNvPr id="0" name="reliability.png"/>
                    <pic:cNvPicPr/>
                  </pic:nvPicPr>
                  <pic:blipFill>
                    <a:blip r:embed="rId92"/>
                    <a:stretch>
                      <a:fillRect/>
                    </a:stretch>
                  </pic:blipFill>
                  <pic:spPr>
                    <a:xfrm>
                      <a:off x="0" y="0"/>
                      <a:ext cx="5054600" cy="2861715"/>
                    </a:xfrm>
                    <a:prstGeom prst="rect"/>
                  </pic:spPr>
                </pic:pic>
              </a:graphicData>
            </a:graphic>
          </wp:inline>
        </w:drawing>
      </w:r>
    </w:p>
    <w:p>
      <w:pPr>
        <w:pStyle w:val="Caption"/>
        <w:jc w:val="center"/>
      </w:pPr>
      <w:r>
        <w:t>Figure 3.4 – Fiabilité des probabilités sur le test, dix intervalles.</w:t>
      </w:r>
      <w:r>
        <w:rPr>
          <w:sz w:val="18"/>
        </w:rPr>
        <w:br/>
        <w:t>Source : résultats expérimentaux archivés de SMART BUG.</w:t>
      </w:r>
    </w:p>
    <w:p>
      <w:r>
        <w:t>Le diagramme confronte la probabilité moyenne prédite à la fréquence positive observée dans chaque intervalle. Une courbe proche de la diagonale indique une meilleure correspondance agrégée. L’estimation reste dépendante du nombre d’exemples par intervalle ; elle ne garantit pas la justesse d’une probabilité individuelle. Les performances hors source, discutées ensuite, montrent aussi les limites du transfert de cette calibration.</w:t>
      </w:r>
    </w:p>
    <w:p>
      <w:pPr>
        <w:sectPr>
          <w:headerReference w:type="default" r:id="rId90"/>
          <w:footerReference w:type="default" r:id="rId91"/>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sectPr>
      </w:pPr>
    </w:p>
    <w:p>
      <w:bookmarkStart w:id="36" w:name="page_27"/>
      <w:pPr>
        <w:pStyle w:val="Small"/>
      </w:pPr>
      <w:bookmarkEnd w:id="36"/>
    </w:p>
    <w:p>
      <w:pPr>
        <w:pStyle w:val="Heading3"/>
      </w:pPr>
      <w:r>
        <w:t>3.2.3 Comparaison du CNN–BiLSTM, de XGBoost et du TCN</w:t>
      </w:r>
    </w:p>
    <w:p>
      <w:r>
        <w:t>Le tableau présente les résultats du CNN–BiLSTM actif et du checkpoint XGBoost sélectionné sur validation. La troisième ligne rapporte le checkpoint TCN retenu. Chaque ligne mesurée représente un checkpoint choisi sur validation, avec son seuil ajusté sur calibration.</w:t>
      </w:r>
    </w:p>
    <w:p>
      <w:pPr>
        <w:pStyle w:val="Caption"/>
        <w:keepNext/>
      </w:pPr>
      <w:r>
        <w:t>Tableau 3.3 – Résultats comparatifs des trois checkpoints.</w:t>
      </w:r>
    </w:p>
    <w:tbl>
      <w:tblPr>
        <w:tblW w:type="dxa" w:w="7960"/>
        <w:tblLayout w:type="fixed"/>
        <w:tblLook w:firstColumn="1" w:firstRow="1" w:lastColumn="0" w:lastRow="0" w:noHBand="0" w:noVBand="1" w:val="04A0"/>
        <w:tblInd w:w="90" w:type="dxa"/>
        <w:tblCellMar>
          <w:top w:w="65" w:type="dxa"/>
          <w:bottom w:w="65" w:type="dxa"/>
          <w:left w:w="90" w:type="dxa"/>
          <w:right w:w="90" w:type="dxa"/>
        </w:tblCellMar>
        <w:tblBorders>
          <w:top w:val="single" w:sz="4" w:color="888888"/>
          <w:left w:val="single" w:sz="4" w:color="888888"/>
          <w:bottom w:val="single" w:sz="4" w:color="888888"/>
          <w:right w:val="single" w:sz="4" w:color="888888"/>
          <w:insideH w:val="single" w:sz="4" w:color="888888"/>
          <w:insideV w:val="single" w:sz="4" w:color="888888"/>
        </w:tblBorders>
      </w:tblPr>
      <w:tblGrid>
        <w:gridCol w:w="2308"/>
        <w:gridCol w:w="1672"/>
        <w:gridCol w:w="1353"/>
        <w:gridCol w:w="1114"/>
        <w:gridCol w:w="1513"/>
      </w:tblGrid>
      <w:tr>
        <w:trPr>
          <w:cantSplit/>
          <w:tblHeader/>
        </w:trPr>
        <w:tc>
          <w:tcPr>
            <w:tcW w:type="dxa" w:w="2308"/>
            <w:vAlign w:val="center"/>
          </w:tcPr>
          <w:p>
            <w:pPr>
              <w:spacing w:after="0" w:line="240" w:lineRule="exact"/>
              <w:ind w:firstLine="0"/>
              <w:jc w:val="left"/>
            </w:pPr>
            <w:r>
              <w:rPr>
                <w:b/>
                <w:sz w:val="19"/>
              </w:rPr>
              <w:t>Méthode</w:t>
            </w:r>
          </w:p>
        </w:tc>
        <w:tc>
          <w:tcPr>
            <w:tcW w:type="dxa" w:w="1672"/>
            <w:vAlign w:val="center"/>
          </w:tcPr>
          <w:p>
            <w:pPr>
              <w:spacing w:after="0" w:line="240" w:lineRule="exact"/>
              <w:ind w:firstLine="0"/>
              <w:jc w:val="left"/>
            </w:pPr>
            <w:r>
              <w:rPr>
                <w:b/>
                <w:sz w:val="19"/>
              </w:rPr>
              <w:t>F1 macro (%)</w:t>
            </w:r>
          </w:p>
        </w:tc>
        <w:tc>
          <w:tcPr>
            <w:tcW w:type="dxa" w:w="1353"/>
            <w:vAlign w:val="center"/>
          </w:tcPr>
          <w:p>
            <w:pPr>
              <w:spacing w:after="0" w:line="240" w:lineRule="exact"/>
              <w:ind w:firstLine="0"/>
              <w:jc w:val="left"/>
            </w:pPr>
            <w:r>
              <w:rPr>
                <w:b/>
                <w:sz w:val="19"/>
              </w:rPr>
              <w:t>Rappel (%)</w:t>
            </w:r>
          </w:p>
        </w:tc>
        <w:tc>
          <w:tcPr>
            <w:tcW w:type="dxa" w:w="1114"/>
            <w:vAlign w:val="center"/>
          </w:tcPr>
          <w:p>
            <w:pPr>
              <w:spacing w:after="0" w:line="240" w:lineRule="exact"/>
              <w:ind w:firstLine="0"/>
              <w:jc w:val="left"/>
            </w:pPr>
            <w:r>
              <w:rPr>
                <w:b/>
                <w:sz w:val="19"/>
              </w:rPr>
              <w:t>FPR (%)</w:t>
            </w:r>
          </w:p>
        </w:tc>
        <w:tc>
          <w:tcPr>
            <w:tcW w:type="dxa" w:w="1513"/>
            <w:vAlign w:val="center"/>
          </w:tcPr>
          <w:p>
            <w:pPr>
              <w:spacing w:after="0" w:line="240" w:lineRule="exact"/>
              <w:ind w:firstLine="0"/>
              <w:jc w:val="left"/>
            </w:pPr>
            <w:r>
              <w:rPr>
                <w:b/>
                <w:sz w:val="19"/>
              </w:rPr>
              <w:t>PR-AUC (AP, %)</w:t>
            </w:r>
          </w:p>
        </w:tc>
      </w:tr>
      <w:tr>
        <w:trPr>
          <w:cantSplit/>
        </w:trPr>
        <w:tc>
          <w:tcPr>
            <w:tcW w:type="dxa" w:w="2308"/>
            <w:vAlign w:val="center"/>
          </w:tcPr>
          <w:p>
            <w:pPr>
              <w:spacing w:after="0" w:line="240" w:lineRule="exact"/>
              <w:ind w:firstLine="0"/>
              <w:jc w:val="left"/>
            </w:pPr>
            <w:r>
              <w:rPr>
                <w:b w:val="0"/>
                <w:sz w:val="19"/>
              </w:rPr>
              <w:t>CNN–BiLSTM actif</w:t>
            </w:r>
          </w:p>
        </w:tc>
        <w:tc>
          <w:tcPr>
            <w:tcW w:type="dxa" w:w="1672"/>
            <w:vAlign w:val="center"/>
          </w:tcPr>
          <w:p>
            <w:pPr>
              <w:spacing w:after="0" w:line="240" w:lineRule="exact"/>
              <w:ind w:firstLine="0"/>
              <w:jc w:val="left"/>
            </w:pPr>
            <w:r>
              <w:rPr>
                <w:b w:val="0"/>
                <w:sz w:val="19"/>
              </w:rPr>
              <w:t>82,10</w:t>
            </w:r>
          </w:p>
        </w:tc>
        <w:tc>
          <w:tcPr>
            <w:tcW w:type="dxa" w:w="1353"/>
            <w:vAlign w:val="center"/>
          </w:tcPr>
          <w:p>
            <w:pPr>
              <w:spacing w:after="0" w:line="240" w:lineRule="exact"/>
              <w:ind w:firstLine="0"/>
              <w:jc w:val="left"/>
            </w:pPr>
            <w:r>
              <w:rPr>
                <w:b w:val="0"/>
                <w:sz w:val="19"/>
              </w:rPr>
              <w:t>88,95</w:t>
            </w:r>
          </w:p>
        </w:tc>
        <w:tc>
          <w:tcPr>
            <w:tcW w:type="dxa" w:w="1114"/>
            <w:vAlign w:val="center"/>
          </w:tcPr>
          <w:p>
            <w:pPr>
              <w:spacing w:after="0" w:line="240" w:lineRule="exact"/>
              <w:ind w:firstLine="0"/>
              <w:jc w:val="left"/>
            </w:pPr>
            <w:r>
              <w:rPr>
                <w:b w:val="0"/>
                <w:sz w:val="19"/>
              </w:rPr>
              <w:t>24,45</w:t>
            </w:r>
          </w:p>
        </w:tc>
        <w:tc>
          <w:tcPr>
            <w:tcW w:type="dxa" w:w="1513"/>
            <w:vAlign w:val="center"/>
          </w:tcPr>
          <w:p>
            <w:pPr>
              <w:spacing w:after="0" w:line="240" w:lineRule="exact"/>
              <w:ind w:firstLine="0"/>
              <w:jc w:val="left"/>
            </w:pPr>
            <w:r>
              <w:rPr>
                <w:b w:val="0"/>
                <w:sz w:val="19"/>
              </w:rPr>
              <w:t>89,67</w:t>
            </w:r>
          </w:p>
        </w:tc>
      </w:tr>
      <w:tr>
        <w:trPr>
          <w:cantSplit/>
        </w:trPr>
        <w:tc>
          <w:tcPr>
            <w:tcW w:type="dxa" w:w="2308"/>
            <w:vAlign w:val="center"/>
          </w:tcPr>
          <w:p>
            <w:pPr>
              <w:spacing w:after="0" w:line="240" w:lineRule="exact"/>
              <w:ind w:firstLine="0"/>
              <w:jc w:val="left"/>
            </w:pPr>
            <w:r>
              <w:rPr>
                <w:b w:val="0"/>
                <w:sz w:val="19"/>
              </w:rPr>
              <w:t>XGBoost / TF-IDF</w:t>
            </w:r>
          </w:p>
        </w:tc>
        <w:tc>
          <w:tcPr>
            <w:tcW w:type="dxa" w:w="1672"/>
            <w:vAlign w:val="center"/>
          </w:tcPr>
          <w:p>
            <w:pPr>
              <w:spacing w:after="0" w:line="240" w:lineRule="exact"/>
              <w:ind w:firstLine="0"/>
              <w:jc w:val="left"/>
            </w:pPr>
            <w:r>
              <w:rPr>
                <w:b w:val="0"/>
                <w:sz w:val="19"/>
              </w:rPr>
              <w:t>89,41</w:t>
            </w:r>
          </w:p>
        </w:tc>
        <w:tc>
          <w:tcPr>
            <w:tcW w:type="dxa" w:w="1353"/>
            <w:vAlign w:val="center"/>
          </w:tcPr>
          <w:p>
            <w:pPr>
              <w:spacing w:after="0" w:line="240" w:lineRule="exact"/>
              <w:ind w:firstLine="0"/>
              <w:jc w:val="left"/>
            </w:pPr>
            <w:r>
              <w:rPr>
                <w:b w:val="0"/>
                <w:sz w:val="19"/>
              </w:rPr>
              <w:t>89,43</w:t>
            </w:r>
          </w:p>
        </w:tc>
        <w:tc>
          <w:tcPr>
            <w:tcW w:type="dxa" w:w="1114"/>
            <w:vAlign w:val="center"/>
          </w:tcPr>
          <w:p>
            <w:pPr>
              <w:spacing w:after="0" w:line="240" w:lineRule="exact"/>
              <w:ind w:firstLine="0"/>
              <w:jc w:val="left"/>
            </w:pPr>
            <w:r>
              <w:rPr>
                <w:b w:val="0"/>
                <w:sz w:val="19"/>
              </w:rPr>
              <w:t>10,61</w:t>
            </w:r>
          </w:p>
        </w:tc>
        <w:tc>
          <w:tcPr>
            <w:tcW w:type="dxa" w:w="1513"/>
            <w:vAlign w:val="center"/>
          </w:tcPr>
          <w:p>
            <w:pPr>
              <w:spacing w:after="0" w:line="240" w:lineRule="exact"/>
              <w:ind w:firstLine="0"/>
              <w:jc w:val="left"/>
            </w:pPr>
            <w:r>
              <w:rPr>
                <w:b w:val="0"/>
                <w:sz w:val="19"/>
              </w:rPr>
              <w:t>95,34</w:t>
            </w:r>
          </w:p>
        </w:tc>
      </w:tr>
      <w:tr>
        <w:trPr>
          <w:cantSplit/>
        </w:trPr>
        <w:tc>
          <w:tcPr>
            <w:tcW w:type="dxa" w:w="2308"/>
            <w:vAlign w:val="center"/>
          </w:tcPr>
          <w:p>
            <w:pPr>
              <w:spacing w:after="0" w:line="240" w:lineRule="exact"/>
              <w:ind w:firstLine="0"/>
              <w:jc w:val="left"/>
            </w:pPr>
            <w:r>
              <w:rPr>
                <w:b w:val="0"/>
                <w:sz w:val="19"/>
              </w:rPr>
              <w:t>TCN / tokens</w:t>
            </w:r>
          </w:p>
        </w:tc>
        <w:tc>
          <w:tcPr>
            <w:tcW w:type="dxa" w:w="1672"/>
            <w:vAlign w:val="center"/>
          </w:tcPr>
          <w:p>
            <w:pPr>
              <w:spacing w:after="0" w:line="240" w:lineRule="exact"/>
              <w:ind w:firstLine="0"/>
              <w:jc w:val="left"/>
            </w:pPr>
            <w:r>
              <w:rPr>
                <w:b w:val="0"/>
                <w:sz w:val="19"/>
              </w:rPr>
              <w:t>84,77</w:t>
            </w:r>
          </w:p>
        </w:tc>
        <w:tc>
          <w:tcPr>
            <w:tcW w:type="dxa" w:w="1353"/>
            <w:vAlign w:val="center"/>
          </w:tcPr>
          <w:p>
            <w:pPr>
              <w:spacing w:after="0" w:line="240" w:lineRule="exact"/>
              <w:ind w:firstLine="0"/>
              <w:jc w:val="left"/>
            </w:pPr>
            <w:r>
              <w:rPr>
                <w:b w:val="0"/>
                <w:sz w:val="19"/>
              </w:rPr>
              <w:t>89,31</w:t>
            </w:r>
          </w:p>
        </w:tc>
        <w:tc>
          <w:tcPr>
            <w:tcW w:type="dxa" w:w="1114"/>
            <w:vAlign w:val="center"/>
          </w:tcPr>
          <w:p>
            <w:pPr>
              <w:spacing w:after="0" w:line="240" w:lineRule="exact"/>
              <w:ind w:firstLine="0"/>
              <w:jc w:val="left"/>
            </w:pPr>
            <w:r>
              <w:rPr>
                <w:b w:val="0"/>
                <w:sz w:val="19"/>
              </w:rPr>
              <w:t>19,61</w:t>
            </w:r>
          </w:p>
        </w:tc>
        <w:tc>
          <w:tcPr>
            <w:tcW w:type="dxa" w:w="1513"/>
            <w:vAlign w:val="center"/>
          </w:tcPr>
          <w:p>
            <w:pPr>
              <w:spacing w:after="0" w:line="240" w:lineRule="exact"/>
              <w:ind w:firstLine="0"/>
              <w:jc w:val="left"/>
            </w:pPr>
            <w:r>
              <w:rPr>
                <w:b w:val="0"/>
                <w:sz w:val="19"/>
              </w:rPr>
              <w:t>92,34</w:t>
            </w:r>
          </w:p>
        </w:tc>
      </w:tr>
    </w:tbl>
    <w:p>
      <w:pPr>
        <w:pStyle w:val="Small"/>
        <w:spacing w:after="200"/>
      </w:pPr>
      <w:r>
        <w:t>Source : configuration, données et résultats archivés de SMART BUG.</w:t>
      </w:r>
      <w:r>
        <w:rPr>
          <w:sz w:val="18"/>
        </w:rPr>
        <w:br/>
        <w:t>CNN et XGBoost : checkpoints réutilisés ; TCN : checkpoint sélectionné sur validation.</w:t>
      </w:r>
    </w:p>
    <w:p>
      <w:pPr>
        <w:keepNext/>
        <w:spacing w:after="80" w:line="240" w:lineRule="auto"/>
        <w:ind w:firstLine="0"/>
        <w:jc w:val="center"/>
      </w:pPr>
      <w:r>
        <w:drawing>
          <wp:inline xmlns:a="http://schemas.openxmlformats.org/drawingml/2006/main" xmlns:pic="http://schemas.openxmlformats.org/drawingml/2006/picture">
            <wp:extent cx="5054600" cy="2384139"/>
            <wp:docPr id="13" name="Picture 13"/>
            <wp:cNvGraphicFramePr>
              <a:graphicFrameLocks noChangeAspect="1"/>
            </wp:cNvGraphicFramePr>
            <a:graphic>
              <a:graphicData uri="http://schemas.openxmlformats.org/drawingml/2006/picture">
                <pic:pic>
                  <pic:nvPicPr>
                    <pic:cNvPr id="0" name="comparison.png"/>
                    <pic:cNvPicPr/>
                  </pic:nvPicPr>
                  <pic:blipFill>
                    <a:blip r:embed="rId95"/>
                    <a:stretch>
                      <a:fillRect/>
                    </a:stretch>
                  </pic:blipFill>
                  <pic:spPr>
                    <a:xfrm>
                      <a:off x="0" y="0"/>
                      <a:ext cx="5054600" cy="2384139"/>
                    </a:xfrm>
                    <a:prstGeom prst="rect"/>
                  </pic:spPr>
                </pic:pic>
              </a:graphicData>
            </a:graphic>
          </wp:inline>
        </w:drawing>
      </w:r>
    </w:p>
    <w:p>
      <w:pPr>
        <w:pStyle w:val="Caption"/>
        <w:jc w:val="center"/>
      </w:pPr>
      <w:r>
        <w:t>Figure 3.5 – Indicateurs mesurés des trois checkpoints sur le test.</w:t>
      </w:r>
      <w:r>
        <w:rPr>
          <w:sz w:val="18"/>
        </w:rPr>
        <w:br/>
        <w:t>Source : résultats expérimentaux archivés, comparaison CNN / XGBoost / TCN.</w:t>
      </w:r>
    </w:p>
    <w:p>
      <w:r>
        <w:t>Le TCN est retenu avec la graine 42, selon la log-loss de validation : 42 : 0,3924 ; 73 : 0,4631 ; 101 : 0,4011. XGBoost conserve la graine 101 et le CNN la graine 73. Ces sélections portent sur la validation avant calibration ; les scores du tableau ne sont pas des moyennes des trois graines sur le test.</w:t>
      </w:r>
    </w:p>
    <w:p>
      <w:pPr>
        <w:sectPr>
          <w:headerReference w:type="default" r:id="rId93"/>
          <w:footerReference w:type="default" r:id="rId94"/>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sectPr>
      </w:pPr>
    </w:p>
    <w:p>
      <w:bookmarkStart w:id="37" w:name="page_28"/>
      <w:pPr>
        <w:pStyle w:val="Small"/>
      </w:pPr>
      <w:bookmarkEnd w:id="37"/>
    </w:p>
    <w:p>
      <w:pPr>
        <w:pStyle w:val="Heading3"/>
      </w:pPr>
      <w:r>
        <w:t>3.2.4 Protocole commun d’apprentissage et d’évaluation</w:t>
      </w:r>
    </w:p>
    <w:p>
      <w:r>
        <w:t>Les cinq partitions et leurs identifiants restent identiques : 11 959 exemples d’entraînement, puis 1 709 pour chacun des ensembles de validation, calibration et test. La source réservée contient 1 152 exemples. Aucun modèle ne doit recevoir les annotations du test pour ajuster ses poids ou ses seuils.</w:t>
      </w:r>
    </w:p>
    <w:p>
      <w:pPr>
        <w:keepNext/>
        <w:spacing w:after="80" w:line="240" w:lineRule="auto"/>
        <w:ind w:firstLine="0"/>
        <w:jc w:val="center"/>
      </w:pPr>
      <w:r>
        <w:drawing>
          <wp:inline xmlns:a="http://schemas.openxmlformats.org/drawingml/2006/main" xmlns:pic="http://schemas.openxmlformats.org/drawingml/2006/picture">
            <wp:extent cx="5054600" cy="2302650"/>
            <wp:docPr id="14" name="Picture 14"/>
            <wp:cNvGraphicFramePr>
              <a:graphicFrameLocks noChangeAspect="1"/>
            </wp:cNvGraphicFramePr>
            <a:graphic>
              <a:graphicData uri="http://schemas.openxmlformats.org/drawingml/2006/picture">
                <pic:pic>
                  <pic:nvPicPr>
                    <pic:cNvPr id="0" name="ablation.png"/>
                    <pic:cNvPicPr/>
                  </pic:nvPicPr>
                  <pic:blipFill>
                    <a:blip r:embed="rId98"/>
                    <a:stretch>
                      <a:fillRect/>
                    </a:stretch>
                  </pic:blipFill>
                  <pic:spPr>
                    <a:xfrm>
                      <a:off x="0" y="0"/>
                      <a:ext cx="5054600" cy="2302650"/>
                    </a:xfrm>
                    <a:prstGeom prst="rect"/>
                  </pic:spPr>
                </pic:pic>
              </a:graphicData>
            </a:graphic>
          </wp:inline>
        </w:drawing>
      </w:r>
    </w:p>
    <w:p>
      <w:pPr>
        <w:pStyle w:val="Caption"/>
        <w:jc w:val="center"/>
      </w:pPr>
      <w:r>
        <w:t>Figure 3.6 – Différences de F1 macro et intervalles bootstrap par groupes.</w:t>
      </w:r>
      <w:r>
        <w:rPr>
          <w:sz w:val="18"/>
        </w:rPr>
        <w:br/>
        <w:t>Source : résultats expérimentaux archivés, comparaison CNN / XGBoost / TCN.</w:t>
      </w:r>
    </w:p>
    <w:p>
      <w:r>
        <w:t>La validation choisit les arbres ou le checkpoint TCN selon la log-loss non pondérée. La calibration ajuste la température et les seuils visant 90 % de rappel ou 10 % de faux positifs. Les taux observés sur test doivent aussi être rapportés. Un objectif fixé sur calibration n’est pas une garantie sur de nouveaux contrats.</w:t>
      </w:r>
    </w:p>
    <w:p>
      <w:r>
        <w:t>La figure 3.6 montre les écarts de F1 macro entre checkpoints sélectionnés, avec 1 000 rééchantillonnages par groupe, graine 42, et un IC à 95 %. Les intervalles sont exploratoires, conditionnés aux poids retenus et non corrigés pour comparaisons multiples. Le protocole et les sorties détaillées figurent dans reports/protocole_cnn_xgboost_tcn.md et results/benchmark/cnn-xgboost-tcn-20261005.</w:t>
      </w:r>
    </w:p>
    <w:p>
      <w:pPr>
        <w:sectPr>
          <w:headerReference w:type="default" r:id="rId96"/>
          <w:footerReference w:type="default" r:id="rId97"/>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sectPr>
      </w:pPr>
    </w:p>
    <w:p>
      <w:bookmarkStart w:id="38" w:name="page_29"/>
      <w:pPr>
        <w:pStyle w:val="Small"/>
      </w:pPr>
      <w:bookmarkEnd w:id="38"/>
    </w:p>
    <w:p>
      <w:pPr>
        <w:pStyle w:val="Heading3"/>
      </w:pPr>
      <w:r>
        <w:t>3.2.5 Architecture TCN, calibration et coût de calcul</w:t>
      </w:r>
    </w:p>
    <w:p>
      <w:r>
        <w:t>Le TCN comporte un embedding 32, neuf blocs résiduels de deux convolutions causales, 24 canaux, noyau 3 et dilations 1, 2, 4, 8, 16, 32, 64, 128 et 256. Une projection adapte 32 à 24 dimensions. Son champ réceptif est de 2 045 positions encodées : 1 + 2 × (3 − 1) × 511. Cette adaptation s’inspire de BAI, KOLTER et KOLTUN (2018).</w:t>
      </w:r>
    </w:p>
    <w:p>
      <w:pPr>
        <w:keepNext/>
        <w:spacing w:after="80" w:line="240" w:lineRule="auto"/>
        <w:ind w:firstLine="0"/>
        <w:jc w:val="center"/>
      </w:pPr>
      <w:r>
        <w:drawing>
          <wp:inline xmlns:a="http://schemas.openxmlformats.org/drawingml/2006/main" xmlns:pic="http://schemas.openxmlformats.org/drawingml/2006/picture">
            <wp:extent cx="5054600" cy="2302650"/>
            <wp:docPr id="15" name="Picture 15"/>
            <wp:cNvGraphicFramePr>
              <a:graphicFrameLocks noChangeAspect="1"/>
            </wp:cNvGraphicFramePr>
            <a:graphic>
              <a:graphicData uri="http://schemas.openxmlformats.org/drawingml/2006/picture">
                <pic:pic>
                  <pic:nvPicPr>
                    <pic:cNvPr id="0" name="latency.png"/>
                    <pic:cNvPicPr/>
                  </pic:nvPicPr>
                  <pic:blipFill>
                    <a:blip r:embed="rId101"/>
                    <a:stretch>
                      <a:fillRect/>
                    </a:stretch>
                  </pic:blipFill>
                  <pic:spPr>
                    <a:xfrm>
                      <a:off x="0" y="0"/>
                      <a:ext cx="5054600" cy="2302650"/>
                    </a:xfrm>
                    <a:prstGeom prst="rect"/>
                  </pic:spPr>
                </pic:pic>
              </a:graphicData>
            </a:graphic>
          </wp:inline>
        </w:drawing>
      </w:r>
    </w:p>
    <w:p>
      <w:pPr>
        <w:pStyle w:val="Caption"/>
        <w:jc w:val="center"/>
      </w:pPr>
      <w:r>
        <w:t>Figure 3.7 – Pertes du TCN retenu, graine 42.</w:t>
      </w:r>
      <w:r>
        <w:rPr>
          <w:sz w:val="18"/>
        </w:rPr>
        <w:br/>
        <w:t>Source : résultats expérimentaux archivés, comparaison CNN / XGBoost / TCN.</w:t>
      </w:r>
    </w:p>
    <w:p>
      <w:r>
        <w:t>Le pooling moyen et maximum masqué agrège toutes les positions valides, sans tronquer la fin du contrat. Une couche dense 32 puis un logit scalaire produisent une seule perte binaire par contrat. Le dropout élémentaire vaut 0,20, après les convolutions et avant la tête ; la weight normalization n’est pas utilisée. AdamW utilise un taux de 0,001 et une décroissance des poids de 0,0001 ; douze époques au plus et une patience de trois sont prévues pour les graines 42, 73 et 101. Les lots regroupent au plus 32 contrats : budget 16 384 positions, sauf contrat plus long ; clipping 1,0.</w:t>
      </w:r>
    </w:p>
    <w:p>
      <w:r>
        <w:t>La figure 3.7 oppose la BCE pondérée d’entraînement à la log-loss non pondérée de validation. La graine 42 a exécuté 10 époques ; l’époque 7 est retenue. Les durées sont murales par segments actifs ; attentes, suspensions et concurrence CPU peuvent y contribuer. La pause utilisateur, processus arrêté, est exclue. Les budgets différents et la réutilisation de deux expériences historiques empêchent d’isoler un effet architectural ou de comparer les vitesses.</w:t>
      </w:r>
    </w:p>
    <w:p>
      <w:pPr>
        <w:sectPr>
          <w:headerReference w:type="default" r:id="rId99"/>
          <w:footerReference w:type="default" r:id="rId100"/>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pgNumType w:start="29" w:fmt="decimal"/>
        </w:sectPr>
      </w:pPr>
    </w:p>
    <w:p>
      <w:bookmarkStart w:id="39" w:name="page_30"/>
      <w:pPr>
        <w:pStyle w:val="Small"/>
      </w:pPr>
      <w:bookmarkEnd w:id="39"/>
    </w:p>
    <w:p>
      <w:pPr>
        <w:pStyle w:val="Heading2"/>
      </w:pPr>
      <w:r>
        <w:t>3.3 Discussion</w:t>
      </w:r>
    </w:p>
    <w:p>
      <w:r>
        <w:t>Les écarts de F1 macro et leurs IC à 95 %, en points, sont : XGBoost − CNN : +7,31 [+4,87 ; +10,65] ; TCN − CNN : +2,67 [+0,27 ; +5,60] ; TCN − XGBoost : -4,64 [-7,43 ; -2,61]. Ils décrivent le test déjà observé et les checkpoints sélectionnés. Ces mesures ne prouvent pas une supériorité générale ni une stabilité à chaque nouvel entraînement ; les conclusions doivent être confirmées sur un corpus indépendant.</w:t>
      </w:r>
    </w:p>
    <w:p>
      <w:r>
        <w:t>Le transfert à la source réservée constitue une limite majeure. Pour le modèle actif, le rappel positif y atteint 89,01 %, mais le F1 macro n’est que de 47,73 % et l’ECE de 29,84 %. Les 1 152 exemples comprennent 1 146 positifs et seulement six négatifs. L’exactitude de 88,63 % est inférieure à celle d’une règle prédisant toujours positif, soit 99,48 %. Le taux de faux positifs ne peut pas être estimé de manière stable sur six négatifs.</w:t>
      </w:r>
    </w:p>
    <w:p>
      <w:r>
        <w:t>La validité interne reste limitée par les labels hérités, les variantes de contrats et les indices de provenance. La mise en quarantaine et l’audit réduisent des incohérences connues, mais n’établissent pas une vérité terrain exhaustive. Un modèle peut apprendre des régularités propres à une source plutôt que les seuls mécanismes des vulnérabilités.</w:t>
      </w:r>
    </w:p>
    <w:p>
      <w:r>
        <w:t>La validité externe demande un corpus indépendant représentatif des contrats futurs. Le test actuel a déjà été observé ; la comparaison demeure exploratoire. La normalisation des identifiants et le champ réceptif fini du TCN peuvent affecter le transfert. Les représentations, optimiseurs et budgets diffèrent ; un écart de score ne mesurerait donc pas uniquement l’effet de l’architecture.</w:t>
      </w:r>
    </w:p>
    <w:p>
      <w:r>
        <w:t>Enfin, la validité du construit dépend du sens du verdict. Le réseau mesure une association à des annotations binaires, tandis que l’audit de sécurité vise des comportements exploitables et leur contexte. SMART BUG est utile pour prioriser l’examen de contrats ; ses probabilités et ses alertes doivent être examinées conjointement par un évaluateur compétent.</w:t>
      </w:r>
    </w:p>
    <w:p>
      <w:pPr>
        <w:sectPr>
          <w:headerReference w:type="default" r:id="rId102"/>
          <w:footerReference w:type="default" r:id="rId103"/>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pgNumType w:start="29" w:fmt="decimal"/>
          <w:pgNumType w:start="30" w:fmt="decimal"/>
        </w:sectPr>
      </w:pPr>
    </w:p>
    <w:p>
      <w:bookmarkStart w:id="40" w:name="page_31"/>
      <w:pPr>
        <w:pStyle w:val="Small"/>
      </w:pPr>
      <w:bookmarkEnd w:id="40"/>
    </w:p>
    <w:p>
      <w:pPr>
        <w:pStyle w:val="Heading2"/>
      </w:pPr>
      <w:r>
        <w:t>3.4 Potentielles améliorations</w:t>
      </w:r>
    </w:p>
    <w:p>
      <w:r>
        <w:t>La première priorité concerne les données. Il faut réexaminer les cas placés en quarantaine, conserver les désaccords d’annotation et enrichir les sources avec des négatifs vérifiés. L’évaluation de l’absence d’une faiblesse doit préciser quelles propriétés ont été contrôlées. Une annotation experte, accompagnée de scénarios ou de justifications, serait plus informative qu’un simple label global.</w:t>
      </w:r>
    </w:p>
    <w:p>
      <w:r>
        <w:t>Un nouveau test devrait être constitué avant tout ajustement supplémentaire, avec séparation par projets, familles et, si possible, période de publication. Les critères de sélection et les seuils seraient fixés sans le consulter. Un ensemble hors source comprenant suffisamment de contrats de chaque classe permettrait de mieux estimer les faux positifs et la stabilité de la calibration.</w:t>
      </w:r>
    </w:p>
    <w:p>
      <w:r>
        <w:t>Sur le plan expérimental, la priorité est de reproduire la comparaison avec de nouveaux entraînements communs et un test indépendant. Les critères, seuils, coûts et variabilités doivent rester documentés. Une étude ultérieure pourrait examiner les graphes ou le préentraînement, accompagnés d’une évaluation indépendante.</w:t>
      </w:r>
    </w:p>
    <w:p>
      <w:r>
        <w:t>La localisation des vulnérabilités constitue une autre extension. Elle demande des labels au niveau des lignes ou des fonctions et une évaluation propre de la localisation. Une carte d’attention ou une activation élevée ne doit pas être assimilée sans vérification à une explication causale du défaut. L’interface pourrait afficher plus explicitement les désaccords entre règles et réseau.</w:t>
      </w:r>
    </w:p>
    <w:p>
      <w:r>
        <w:t>Enfin, une étude d’usage permettrait de mesurer le temps d’audit économisé, la proportion d’alertes confirmées et les cas manqués. La surveillance de la distribution des entrées et la réévaluation périodique de la calibration accompagneraient une utilisation prolongée. L’amélioration prioritaire du travail passe ainsi par des preuves plus solides et des objectifs d’usage mesurables, autant que par de nouveaux modèles.</w:t>
      </w:r>
    </w:p>
    <w:p>
      <w:pPr>
        <w:sectPr>
          <w:headerReference w:type="default" r:id="rId104"/>
          <w:footerReference w:type="default" r:id="rId105"/>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pgNumType w:start="29" w:fmt="decimal"/>
          <w:pgNumType w:start="30" w:fmt="decimal"/>
          <w:pgNumType w:start="31" w:fmt="decimal"/>
        </w:sectPr>
      </w:pPr>
    </w:p>
    <w:p>
      <w:bookmarkStart w:id="41" w:name="page_32"/>
      <w:pPr>
        <w:pStyle w:val="Heading1"/>
        <w:spacing w:before="1960" w:after="960"/>
      </w:pPr>
      <w:r>
        <w:t>Conclusion</w:t>
      </w:r>
      <w:bookmarkEnd w:id="41"/>
    </w:p>
    <w:p>
      <w:r>
        <w:t>Ce mémoire a étudié une approche d’apprentissage profond pour la détection automatisée des vulnérabilités des smart contracts Solidity. SMART BUG associe un CNN par fenêtres et un BiLSTM hiérarchique afin de traiter le code complet. Le corpus a été nettoyé, regroupé et réparti entre cinq usages distincts. Le prétraitement commun, les manifestes et la calibration dédiée rendent la chaîne expérimentale traçable.</w:t>
      </w:r>
    </w:p>
    <w:p>
      <w:r>
        <w:t>Le modèle actif est entraîné depuis zéro. Sur 1 709 exemples de test, il obtient un F1 macro de 82,10 % et un rappel positif de 88,95 %, avec 93 faux négatifs et 212 faux positifs. XGBoost atteint 89,41 % de F1 macro sur le même test. La comparaison principale confronte le CNN–BiLSTM, XGBoost et le TCN. Le TCN atteint 84,77 % de F1 macro, 89,31 % de rappel et 19,61 % de faux positifs. La généralisation à d’autres corpus demande une validation indépendante.</w:t>
      </w:r>
    </w:p>
    <w:p>
      <w:r>
        <w:t>La réponse à la problématique est donc nuancée : l’apprentissage profond peut aider à prioriser l’audit, à condition d’en préciser le périmètre et les erreurs. Les annotations imparfaites, le déséquilibre hors source et l’absence d’un nouveau test indépendant limitent les conclusions. Les perspectives prioritaires sont l’enrichissement des données vérifiées, une évaluation indépendante et l’étude de la localisation. Le système réalisé constitue une base expérimentale reproductible pour poursuivre ces travaux.</w:t>
      </w:r>
    </w:p>
    <w:p>
      <w:pPr>
        <w:sectPr>
          <w:headerReference w:type="default" r:id="rId106"/>
          <w:footerReference w:type="default" r:id="rId107"/>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pgNumType w:start="29" w:fmt="decimal"/>
          <w:pgNumType w:start="30" w:fmt="decimal"/>
          <w:pgNumType w:start="31" w:fmt="decimal"/>
          <w:pgNumType w:start="32" w:fmt="decimal"/>
        </w:sectPr>
      </w:pPr>
    </w:p>
    <w:p>
      <w:bookmarkStart w:id="42" w:name="page_33"/>
      <w:pPr>
        <w:pStyle w:val="Heading1"/>
        <w:spacing w:before="1960" w:after="960"/>
      </w:pPr>
      <w:r>
        <w:t>Bibliographie</w:t>
      </w:r>
      <w:bookmarkEnd w:id="42"/>
    </w:p>
    <w:p>
      <w:pPr>
        <w:pStyle w:val="Heading3"/>
        <w:spacing w:before="160" w:after="160"/>
      </w:pPr>
      <w:r>
        <w:t>Livres</w:t>
      </w:r>
    </w:p>
    <w:p>
      <w:pPr>
        <w:pStyle w:val="Bibliography"/>
        <w:jc w:val="both"/>
      </w:pPr>
      <w:r>
        <w:t xml:space="preserve">GOODFELLOW, I., BENGIO, Y. et COURVILLE, A. (2016). Deep Learning. MIT Press. </w:t>
      </w:r>
      <w:hyperlink r:id="rId110">
        <w:r>
          <w:rPr>
            <w:rFonts w:ascii="Palatino Linotype" w:hAnsi="Palatino Linotype"/>
          </w:rPr>
          <w:t>deeplearningbook.org</w:t>
        </w:r>
      </w:hyperlink>
    </w:p>
    <w:p>
      <w:pPr>
        <w:pStyle w:val="Heading3"/>
        <w:spacing w:before="160" w:after="160"/>
      </w:pPr>
      <w:r>
        <w:t>Articles et communications</w:t>
      </w:r>
    </w:p>
    <w:p>
      <w:pPr>
        <w:pStyle w:val="Bibliography"/>
        <w:jc w:val="both"/>
      </w:pPr>
      <w:r>
        <w:t xml:space="preserve">FEIST, J., GRIECO, G. et GROCE, A. (2019). Slither: A Static Analysis Framework for Smart Contracts. WETSEB. DOI : 10.1109/WETSEB.2019.00008. </w:t>
      </w:r>
      <w:hyperlink r:id="rId111">
        <w:r>
          <w:rPr>
            <w:rFonts w:ascii="Palatino Linotype" w:hAnsi="Palatino Linotype"/>
          </w:rPr>
          <w:t>arxiv.org/abs/1908.09878</w:t>
        </w:r>
      </w:hyperlink>
    </w:p>
    <w:p>
      <w:pPr>
        <w:pStyle w:val="Bibliography"/>
        <w:jc w:val="both"/>
      </w:pPr>
      <w:r>
        <w:t xml:space="preserve">FERREIRA, J. F., CRUZ, P., DURIEUX, T. et ABREU, R. (2020). SmartBugs: A Framework to Analyze Solidity Smart Contracts. Prépublication arXiv:2007.04771. </w:t>
      </w:r>
      <w:hyperlink r:id="rId112">
        <w:r>
          <w:rPr>
            <w:rFonts w:ascii="Palatino Linotype" w:hAnsi="Palatino Linotype"/>
          </w:rPr>
          <w:t>arxiv.org/abs/2007.04771</w:t>
        </w:r>
      </w:hyperlink>
    </w:p>
    <w:p>
      <w:pPr>
        <w:pStyle w:val="Bibliography"/>
        <w:jc w:val="both"/>
      </w:pPr>
      <w:r>
        <w:t xml:space="preserve">GUO, C., PLEISS, G., SUN, Y. et WEINBERGER, K. Q. (2017). On Calibration of Modern Neural Networks. PMLR, 70, 1321–1330. </w:t>
      </w:r>
      <w:hyperlink r:id="rId113">
        <w:r>
          <w:rPr>
            <w:rFonts w:ascii="Palatino Linotype" w:hAnsi="Palatino Linotype"/>
          </w:rPr>
          <w:t>proceedings.mlr.press/v70/guo17a</w:t>
        </w:r>
      </w:hyperlink>
    </w:p>
    <w:p>
      <w:pPr>
        <w:pStyle w:val="Bibliography"/>
        <w:jc w:val="both"/>
      </w:pPr>
      <w:r>
        <w:t xml:space="preserve">KIM, Y. (2014). Convolutional Neural Networks for Sentence Classification. EMNLP, 1746–1751. DOI : 10.3115/v1/D14-1181. </w:t>
      </w:r>
      <w:hyperlink r:id="rId114">
        <w:r>
          <w:rPr>
            <w:rFonts w:ascii="Palatino Linotype" w:hAnsi="Palatino Linotype"/>
          </w:rPr>
          <w:t>aclanthology.org/D14-1181</w:t>
        </w:r>
      </w:hyperlink>
    </w:p>
    <w:p>
      <w:pPr>
        <w:pStyle w:val="Bibliography"/>
        <w:jc w:val="both"/>
      </w:pPr>
      <w:r>
        <w:t xml:space="preserve">TANN, W. J.-W., HAN, X. J., SEN GUPTA, S. et ONG, Y.-S. (2018). Towards Safer Smart Contracts: A Sequence Learning Approach to Detecting Security Threats. Prépublication arXiv:1811.06632, révisée en 2019. </w:t>
      </w:r>
      <w:hyperlink r:id="rId115">
        <w:r>
          <w:rPr>
            <w:rFonts w:ascii="Palatino Linotype" w:hAnsi="Palatino Linotype"/>
          </w:rPr>
          <w:t>arxiv.org/abs/1811.06632</w:t>
        </w:r>
      </w:hyperlink>
    </w:p>
    <w:p>
      <w:pPr>
        <w:sectPr>
          <w:headerReference w:type="default" r:id="rId108"/>
          <w:footerReference w:type="default" r:id="rId109"/>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pgNumType w:start="29" w:fmt="decimal"/>
          <w:pgNumType w:start="30" w:fmt="decimal"/>
          <w:pgNumType w:start="31" w:fmt="decimal"/>
          <w:pgNumType w:start="32" w:fmt="decimal"/>
          <w:pgNumType w:start="33" w:fmt="decimal"/>
        </w:sectPr>
      </w:pPr>
    </w:p>
    <w:p>
      <w:bookmarkStart w:id="43" w:name="page_34"/>
      <w:pPr>
        <w:pStyle w:val="Small"/>
      </w:pPr>
      <w:bookmarkEnd w:id="43"/>
    </w:p>
    <w:p>
      <w:pPr>
        <w:pStyle w:val="Heading3"/>
        <w:spacing w:before="160" w:after="160"/>
      </w:pPr>
      <w:r>
        <w:t>Articles et communications (suite)</w:t>
      </w:r>
    </w:p>
    <w:p>
      <w:pPr>
        <w:pStyle w:val="Bibliography"/>
        <w:jc w:val="both"/>
      </w:pPr>
      <w:r>
        <w:t xml:space="preserve">BAI, S., KOLTER, J. Z. et KOLTUN, V. (2018). An Empirical Evaluation of Generic Convolutional and Recurrent Networks for Sequence Modeling. arXiv:1803.01271. </w:t>
      </w:r>
      <w:hyperlink r:id="rId118">
        <w:r>
          <w:rPr>
            <w:rFonts w:ascii="Palatino Linotype" w:hAnsi="Palatino Linotype"/>
          </w:rPr>
          <w:t>arxiv.org/abs/1803.01271</w:t>
        </w:r>
      </w:hyperlink>
    </w:p>
    <w:p>
      <w:pPr>
        <w:pStyle w:val="Bibliography"/>
        <w:jc w:val="both"/>
      </w:pPr>
      <w:r>
        <w:t xml:space="preserve">GOPALI, S., KHAN, Z. A., CHHETRI, B., KARKI, B. et NAMIN, A. S. (2022). Vulnerability Detection in Smart Contracts Using Deep Learning. COMPSAC, 1249–1255. DOI : 10.1109/COMPSAC54236.2022.00197. </w:t>
      </w:r>
      <w:hyperlink r:id="rId119">
        <w:r>
          <w:rPr>
            <w:rFonts w:ascii="Palatino Linotype" w:hAnsi="Palatino Linotype"/>
          </w:rPr>
          <w:t>doi.org/10.1109/COMPSAC54236.2022.00197</w:t>
        </w:r>
      </w:hyperlink>
    </w:p>
    <w:p>
      <w:pPr>
        <w:pStyle w:val="Bibliography"/>
        <w:jc w:val="both"/>
      </w:pPr>
      <w:r>
        <w:t xml:space="preserve">CHEN, T. et GUESTRIN, C. (2016). XGBoost: A Scalable Tree Boosting System. KDD, 785–794. DOI : 10.1145/2939672.2939785. </w:t>
      </w:r>
      <w:hyperlink r:id="rId120">
        <w:r>
          <w:rPr>
            <w:rFonts w:ascii="Palatino Linotype" w:hAnsi="Palatino Linotype"/>
          </w:rPr>
          <w:t>arxiv.org/abs/1603.02754</w:t>
        </w:r>
      </w:hyperlink>
    </w:p>
    <w:p>
      <w:pPr>
        <w:pStyle w:val="Bibliography"/>
        <w:jc w:val="both"/>
      </w:pPr>
      <w:r>
        <w:t xml:space="preserve">ZHANG, L. et al. (2022). CBGRU: A Detection Method of Smart Contract Vulnerability Based on a Hybrid Model. Sensors, 22(9), 3577. DOI : 10.3390/s22093577. </w:t>
      </w:r>
      <w:hyperlink r:id="rId121">
        <w:r>
          <w:rPr>
            <w:rFonts w:ascii="Palatino Linotype" w:hAnsi="Palatino Linotype"/>
          </w:rPr>
          <w:t>doi.org/10.3390/s22093577</w:t>
        </w:r>
      </w:hyperlink>
    </w:p>
    <w:p>
      <w:pPr>
        <w:pStyle w:val="Bibliography"/>
        <w:jc w:val="both"/>
      </w:pPr>
      <w:r>
        <w:t xml:space="preserve">ZHUANG, Y., LIU, Z., QIAN, P., LIU, Q., WANG, X. et HE, Q. (2020). Smart Contract Vulnerability Detection using Graph Neural Network. IJCAI, 3283–3290. DOI : 10.24963/ijcai.2020/454. </w:t>
      </w:r>
      <w:hyperlink r:id="rId122">
        <w:r>
          <w:rPr>
            <w:rFonts w:ascii="Palatino Linotype" w:hAnsi="Palatino Linotype"/>
          </w:rPr>
          <w:t>ijcai.org/Proceedings/2020/454</w:t>
        </w:r>
      </w:hyperlink>
    </w:p>
    <w:p>
      <w:pPr>
        <w:pStyle w:val="Heading3"/>
        <w:spacing w:before="160" w:after="160"/>
      </w:pPr>
      <w:r>
        <w:t>Documentation et ressources du projet</w:t>
      </w:r>
    </w:p>
    <w:p>
      <w:pPr>
        <w:pStyle w:val="Bibliography"/>
        <w:jc w:val="both"/>
      </w:pPr>
      <w:r>
        <w:t xml:space="preserve">SALZER, G. et contributeurs (s. d.). Consolidated Ground Truth (CGT) for Weaknesses of Ethereum Smart Contracts. Dépôt de données. </w:t>
      </w:r>
      <w:hyperlink r:id="rId123">
        <w:r>
          <w:rPr>
            <w:rFonts w:ascii="Palatino Linotype" w:hAnsi="Palatino Linotype"/>
          </w:rPr>
          <w:t>github.com/gsalzer/cgt</w:t>
        </w:r>
      </w:hyperlink>
    </w:p>
    <w:p>
      <w:pPr>
        <w:pStyle w:val="Bibliography"/>
        <w:jc w:val="both"/>
      </w:pPr>
      <w:r>
        <w:t xml:space="preserve">SOLIDITY (s. d.). Security Considerations. Documentation officielle. </w:t>
      </w:r>
      <w:hyperlink r:id="rId124">
        <w:r>
          <w:rPr>
            <w:rFonts w:ascii="Palatino Linotype" w:hAnsi="Palatino Linotype"/>
          </w:rPr>
          <w:t>docs.soliditylang.org — Security Considerations</w:t>
        </w:r>
      </w:hyperlink>
    </w:p>
    <w:p>
      <w:pPr>
        <w:pStyle w:val="Bibliography"/>
        <w:jc w:val="both"/>
      </w:pPr>
      <w:r>
        <w:t xml:space="preserve">KOMPANI KIPANGU, E. (2026). SMART BUG : code et corpus de base, commit 2df2580 ; comparaison TCN du 5 octobre 2026, archives locales results/benchmark. </w:t>
      </w:r>
      <w:hyperlink r:id="rId125">
        <w:r>
          <w:rPr>
            <w:rFonts w:ascii="Palatino Linotype" w:hAnsi="Palatino Linotype"/>
          </w:rPr>
          <w:t>GitHub — dépôt SMART BUG, état étudié</w:t>
        </w:r>
      </w:hyperlink>
    </w:p>
    <w:p>
      <w:pPr>
        <w:pStyle w:val="Small"/>
      </w:pPr>
      <w:r>
        <w:t>Références du protocole comparatif mises à jour le 5 octobre 2026. Les graphiques et tableaux de résultats proviennent des artefacts locaux cités au chapitre 2.</w:t>
      </w:r>
    </w:p>
    <w:sectPr w:rsidR="00FC693F" w:rsidRPr="0006063C" w:rsidSect="00034616">
      <w:headerReference w:type="default" r:id="rId116"/>
      <w:footerReference w:type="default" r:id="rId117"/>
      <w:pgSz w:w="11917" w:h="16855"/>
      <w:pgMar w:top="1580" w:right="1978" w:bottom="1900" w:left="1978" w:header="860" w:footer="1820" w:gutter="0"/>
      <w:cols w:space="720"/>
      <w:docGrid w:linePitch="360"/>
      <w:pgNumType w:start="1" w:fmt="lowerRoman"/>
      <w:pgNumType w:start="2" w:fmt="lowerRoman"/>
      <w:pgNumType w:start="3" w:fmt="lowerRoman"/>
      <w:pgNumType w:start="4" w:fmt="lowerRoman"/>
      <w:pgNumType w:start="5" w:fmt="lowerRoman"/>
      <w:pgNumType w:start="6" w:fmt="lowerRoman"/>
      <w:pgNumType w:start="7" w:fmt="lowerRoman"/>
      <w:pgNumType w:start="8" w:fmt="lowerRoman"/>
      <w:pgNumType w:start="9" w:fmt="lowerRoman"/>
      <w:pgNumType w:start="1" w:fmt="decimal"/>
      <w:pgNumType w:start="2" w:fmt="decimal"/>
      <w:pgNumType w:start="3" w:fmt="decimal"/>
      <w:pgNumType w:start="4" w:fmt="decimal"/>
      <w:pgNumType w:start="5" w:fmt="decimal"/>
      <w:pgNumType w:start="6" w:fmt="decimal"/>
      <w:pgNumType w:start="7" w:fmt="decimal"/>
      <w:pgNumType w:start="8" w:fmt="decimal"/>
      <w:pgNumType w:start="9" w:fmt="decimal"/>
      <w:pgNumType w:start="10" w:fmt="decimal"/>
      <w:pgNumType w:start="11" w:fmt="decimal"/>
      <w:pgNumType w:start="12" w:fmt="decimal"/>
      <w:pgNumType w:start="13" w:fmt="decimal"/>
      <w:pgNumType w:start="14" w:fmt="decimal"/>
      <w:pgNumType w:start="15" w:fmt="decimal"/>
      <w:pgNumType w:start="16" w:fmt="decimal"/>
      <w:pgNumType w:start="17" w:fmt="decimal"/>
      <w:pgNumType w:start="18" w:fmt="decimal"/>
      <w:pgNumType w:start="19" w:fmt="decimal"/>
      <w:pgNumType w:start="20" w:fmt="decimal"/>
      <w:pgNumType w:start="21" w:fmt="decimal"/>
      <w:pgNumType w:start="22" w:fmt="decimal"/>
      <w:pgNumType w:start="23" w:fmt="decimal"/>
      <w:pgNumType w:start="24" w:fmt="decimal"/>
      <w:pgNumType w:start="25" w:fmt="decimal"/>
      <w:pgNumType w:start="26" w:fmt="decimal"/>
      <w:pgNumType w:start="27" w:fmt="decimal"/>
      <w:pgNumType w:start="28" w:fmt="decimal"/>
      <w:pgNumType w:start="29" w:fmt="decimal"/>
      <w:pgNumType w:start="30" w:fmt="decimal"/>
      <w:pgNumType w:start="31" w:fmt="decimal"/>
      <w:pgNumType w:start="32" w:fmt="decimal"/>
      <w:pgNumType w:start="33" w:fmt="decimal"/>
      <w:pgNumType w:start="34"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ii</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iii</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iv</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v</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vi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vii</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viii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ix</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3</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4</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5</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6</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7</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8</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9</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10</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12</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13</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14</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15</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16</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17</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18</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19</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20</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22</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23</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24</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25</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26</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27</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28</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29</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30</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31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32</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33</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sz w:val="22"/>
        </w:rPr>
        <w:t>34</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REMERCIEMENTS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TABLE DES MATIÈRES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INTRODUCTION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1. CONCEPTS THÉORIQUES DE BASE</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2. ARCHITECTURE ET MODÉLISATION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CHAPITRE 3. INVESTIGATION EXPÉRIMENTALE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ind w:firstLine="0"/>
      <w:jc w:val="right"/>
      <w:pBdr>
        <w:bottom w:val="single" w:sz="4" w:space="3"/>
      </w:pBdr>
    </w:pPr>
    <w:r>
      <w:rPr>
        <w:i/>
        <w:sz w:val="20"/>
      </w:rPr>
      <w:t>BIBLIOGRAPHIE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9" w:lineRule="exact" w:after="220" w:before="0"/>
      <w:ind w:firstLine="240"/>
      <w:jc w:val="both"/>
    </w:pPr>
    <w:rPr>
      <w:rFonts w:ascii="Palatino Linotype" w:hAnsi="Palatino Linotype"/>
      <w:b w:val="0"/>
      <w:color w:val="000000"/>
      <w:sz w:val="24"/>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280" w:line="276" w:lineRule="auto"/>
      <w:ind w:firstLine="0"/>
      <w:jc w:val="left"/>
      <w:outlineLvl w:val="0"/>
    </w:pPr>
    <w:rPr>
      <w:rFonts w:ascii="Palatino Linotype" w:hAnsi="Palatino Linotype"/>
      <w:b/>
      <w:bCs/>
      <w:color w:val="000000"/>
      <w:sz w:val="49"/>
      <w:szCs w:val="28"/>
    </w:rPr>
  </w:style>
  <w:style w:type="paragraph" w:styleId="Heading2">
    <w:name w:val="heading 2"/>
    <w:basedOn w:val="Normal"/>
    <w:next w:val="Normal"/>
    <w:link w:val="Heading2Char"/>
    <w:uiPriority w:val="9"/>
    <w:unhideWhenUsed/>
    <w:qFormat/>
    <w:rsid w:val="00FC693F"/>
    <w:pPr>
      <w:keepNext/>
      <w:keepLines/>
      <w:widowControl/>
      <w:spacing w:before="200" w:after="280" w:line="276" w:lineRule="auto"/>
      <w:ind w:firstLine="0"/>
      <w:jc w:val="left"/>
      <w:outlineLvl w:val="1"/>
    </w:pPr>
    <w:rPr>
      <w:rFonts w:ascii="Palatino Linotype" w:hAnsi="Palatino Linotype"/>
      <w:b/>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200" w:after="280" w:line="276" w:lineRule="auto"/>
      <w:ind w:firstLine="0"/>
      <w:jc w:val="left"/>
      <w:outlineLvl w:val="2"/>
    </w:pPr>
    <w:rPr>
      <w:rFonts w:ascii="Palatino Linotype" w:hAnsi="Palatino Linotyp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20" w:line="349" w:lineRule="exact" w:before="0"/>
      <w:ind w:firstLine="0"/>
      <w:contextualSpacing/>
      <w:jc w:val="left"/>
    </w:pPr>
    <w:rPr>
      <w:rFonts w:ascii="Palatino Linotype" w:hAnsi="Palatino Linotype"/>
      <w:b/>
      <w:color w:val="000000"/>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exact" w:after="200" w:before="0"/>
      <w:ind w:firstLine="0"/>
      <w:jc w:val="left"/>
    </w:pPr>
    <w:rPr>
      <w:rFonts w:ascii="Palatino Linotype" w:hAnsi="Palatino Linotype"/>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line="260" w:lineRule="exact" w:after="80"/>
      <w:ind w:firstLine="0"/>
      <w:jc w:val="left"/>
    </w:pPr>
    <w:rPr>
      <w:sz w:val="20"/>
    </w:rPr>
  </w:style>
  <w:style w:type="paragraph" w:customStyle="1" w:styleId="Bibliography">
    <w:name w:val="Bibliography"/>
    <w:basedOn w:val="Normal"/>
    <w:pPr>
      <w:spacing w:line="260" w:lineRule="exact" w:after="140"/>
      <w:ind w:firstLine="0"/>
    </w:pPr>
    <w:rPr>
      <w:sz w:val="21"/>
    </w:rPr>
  </w:style>
  <w:style w:type="paragraph" w:customStyle="1" w:styleId="Contents">
    <w:name w:val="Contents"/>
    <w:basedOn w:val="Normal"/>
    <w:pPr>
      <w:spacing w:line="260" w:lineRule="exact" w:after="80"/>
      <w:ind w:firstLine="0"/>
    </w:pPr>
    <w:rPr>
      <w:sz w:val="22"/>
    </w:rPr>
  </w:style>
  <w:style w:type="paragraph" w:customStyle="1" w:styleId="Abbreviation">
    <w:name w:val="Abbreviation"/>
    <w:basedOn w:val="Normal"/>
    <w:pPr>
      <w:spacing w:line="260" w:lineRule="exact" w:after="80"/>
      <w:ind w:firstLine="0"/>
    </w:pPr>
    <w:rPr>
      <w:sz w:val="21"/>
    </w:rPr>
  </w:style>
  <w:style w:type="paragraph" w:customStyle="1" w:styleId="ChapterLabel">
    <w:name w:val="Chapter Label"/>
    <w:basedOn w:val="Normal"/>
    <w:pPr>
      <w:spacing w:line="600" w:lineRule="exact" w:after="80"/>
      <w:ind w:firstLine="0"/>
    </w:pPr>
    <w:rPr>
      <w:b/>
      <w:sz w:val="4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image" Target="media/image1.png"/><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footer" Target="footer16.xml"/><Relationship Id="rId42" Type="http://schemas.openxmlformats.org/officeDocument/2006/relationships/image" Target="media/image2.png"/><Relationship Id="rId43" Type="http://schemas.openxmlformats.org/officeDocument/2006/relationships/header" Target="header17.xml"/><Relationship Id="rId44" Type="http://schemas.openxmlformats.org/officeDocument/2006/relationships/footer" Target="footer17.xml"/><Relationship Id="rId45" Type="http://schemas.openxmlformats.org/officeDocument/2006/relationships/header" Target="header18.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footer" Target="footer19.xml"/><Relationship Id="rId49" Type="http://schemas.openxmlformats.org/officeDocument/2006/relationships/header" Target="header20.xml"/><Relationship Id="rId50" Type="http://schemas.openxmlformats.org/officeDocument/2006/relationships/footer" Target="footer20.xml"/><Relationship Id="rId51" Type="http://schemas.openxmlformats.org/officeDocument/2006/relationships/header" Target="header21.xml"/><Relationship Id="rId52" Type="http://schemas.openxmlformats.org/officeDocument/2006/relationships/footer" Target="footer21.xml"/><Relationship Id="rId53" Type="http://schemas.openxmlformats.org/officeDocument/2006/relationships/header" Target="header22.xml"/><Relationship Id="rId54" Type="http://schemas.openxmlformats.org/officeDocument/2006/relationships/footer" Target="footer22.xml"/><Relationship Id="rId55" Type="http://schemas.openxmlformats.org/officeDocument/2006/relationships/header" Target="header23.xml"/><Relationship Id="rId56" Type="http://schemas.openxmlformats.org/officeDocument/2006/relationships/footer" Target="footer23.xml"/><Relationship Id="rId57" Type="http://schemas.openxmlformats.org/officeDocument/2006/relationships/image" Target="media/image3.png"/><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header" Target="header26.xml"/><Relationship Id="rId63" Type="http://schemas.openxmlformats.org/officeDocument/2006/relationships/footer" Target="footer26.xml"/><Relationship Id="rId64" Type="http://schemas.openxmlformats.org/officeDocument/2006/relationships/image" Target="media/image4.png"/><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image" Target="media/image5.png"/><Relationship Id="rId68" Type="http://schemas.openxmlformats.org/officeDocument/2006/relationships/header" Target="header28.xml"/><Relationship Id="rId69" Type="http://schemas.openxmlformats.org/officeDocument/2006/relationships/footer" Target="footer28.xml"/><Relationship Id="rId70" Type="http://schemas.openxmlformats.org/officeDocument/2006/relationships/image" Target="media/image6.png"/><Relationship Id="rId71" Type="http://schemas.openxmlformats.org/officeDocument/2006/relationships/header" Target="header29.xml"/><Relationship Id="rId72" Type="http://schemas.openxmlformats.org/officeDocument/2006/relationships/footer" Target="footer29.xml"/><Relationship Id="rId73" Type="http://schemas.openxmlformats.org/officeDocument/2006/relationships/image" Target="media/image7.png"/><Relationship Id="rId74" Type="http://schemas.openxmlformats.org/officeDocument/2006/relationships/image" Target="media/image8.png"/><Relationship Id="rId75" Type="http://schemas.openxmlformats.org/officeDocument/2006/relationships/header" Target="header30.xml"/><Relationship Id="rId76" Type="http://schemas.openxmlformats.org/officeDocument/2006/relationships/footer" Target="footer30.xml"/><Relationship Id="rId77" Type="http://schemas.openxmlformats.org/officeDocument/2006/relationships/header" Target="header31.xml"/><Relationship Id="rId78" Type="http://schemas.openxmlformats.org/officeDocument/2006/relationships/footer" Target="footer31.xml"/><Relationship Id="rId79" Type="http://schemas.openxmlformats.org/officeDocument/2006/relationships/header" Target="header32.xml"/><Relationship Id="rId80" Type="http://schemas.openxmlformats.org/officeDocument/2006/relationships/footer" Target="footer32.xml"/><Relationship Id="rId81" Type="http://schemas.openxmlformats.org/officeDocument/2006/relationships/header" Target="header33.xml"/><Relationship Id="rId82" Type="http://schemas.openxmlformats.org/officeDocument/2006/relationships/footer" Target="footer33.xml"/><Relationship Id="rId83" Type="http://schemas.openxmlformats.org/officeDocument/2006/relationships/image" Target="media/image9.png"/><Relationship Id="rId84" Type="http://schemas.openxmlformats.org/officeDocument/2006/relationships/header" Target="header34.xml"/><Relationship Id="rId85" Type="http://schemas.openxmlformats.org/officeDocument/2006/relationships/footer" Target="footer34.xml"/><Relationship Id="rId86" Type="http://schemas.openxmlformats.org/officeDocument/2006/relationships/image" Target="media/image10.png"/><Relationship Id="rId87" Type="http://schemas.openxmlformats.org/officeDocument/2006/relationships/header" Target="header35.xml"/><Relationship Id="rId88" Type="http://schemas.openxmlformats.org/officeDocument/2006/relationships/footer" Target="footer35.xml"/><Relationship Id="rId89" Type="http://schemas.openxmlformats.org/officeDocument/2006/relationships/image" Target="media/image11.png"/><Relationship Id="rId90" Type="http://schemas.openxmlformats.org/officeDocument/2006/relationships/header" Target="header36.xml"/><Relationship Id="rId91" Type="http://schemas.openxmlformats.org/officeDocument/2006/relationships/footer" Target="footer36.xml"/><Relationship Id="rId92" Type="http://schemas.openxmlformats.org/officeDocument/2006/relationships/image" Target="media/image12.png"/><Relationship Id="rId93" Type="http://schemas.openxmlformats.org/officeDocument/2006/relationships/header" Target="header37.xml"/><Relationship Id="rId94" Type="http://schemas.openxmlformats.org/officeDocument/2006/relationships/footer" Target="footer37.xml"/><Relationship Id="rId95" Type="http://schemas.openxmlformats.org/officeDocument/2006/relationships/image" Target="media/image13.png"/><Relationship Id="rId96" Type="http://schemas.openxmlformats.org/officeDocument/2006/relationships/header" Target="header38.xml"/><Relationship Id="rId97" Type="http://schemas.openxmlformats.org/officeDocument/2006/relationships/footer" Target="footer38.xml"/><Relationship Id="rId98" Type="http://schemas.openxmlformats.org/officeDocument/2006/relationships/image" Target="media/image14.png"/><Relationship Id="rId99" Type="http://schemas.openxmlformats.org/officeDocument/2006/relationships/header" Target="header39.xml"/><Relationship Id="rId100" Type="http://schemas.openxmlformats.org/officeDocument/2006/relationships/footer" Target="footer39.xml"/><Relationship Id="rId101" Type="http://schemas.openxmlformats.org/officeDocument/2006/relationships/image" Target="media/image15.png"/><Relationship Id="rId102" Type="http://schemas.openxmlformats.org/officeDocument/2006/relationships/header" Target="header40.xml"/><Relationship Id="rId103" Type="http://schemas.openxmlformats.org/officeDocument/2006/relationships/footer" Target="footer40.xml"/><Relationship Id="rId104" Type="http://schemas.openxmlformats.org/officeDocument/2006/relationships/header" Target="header41.xml"/><Relationship Id="rId105" Type="http://schemas.openxmlformats.org/officeDocument/2006/relationships/footer" Target="footer41.xml"/><Relationship Id="rId106" Type="http://schemas.openxmlformats.org/officeDocument/2006/relationships/header" Target="header42.xml"/><Relationship Id="rId107" Type="http://schemas.openxmlformats.org/officeDocument/2006/relationships/footer" Target="footer42.xml"/><Relationship Id="rId108" Type="http://schemas.openxmlformats.org/officeDocument/2006/relationships/header" Target="header43.xml"/><Relationship Id="rId109" Type="http://schemas.openxmlformats.org/officeDocument/2006/relationships/footer" Target="footer43.xml"/><Relationship Id="rId110" Type="http://schemas.openxmlformats.org/officeDocument/2006/relationships/hyperlink" Target="https://www.deeplearningbook.org/" TargetMode="External"/><Relationship Id="rId111" Type="http://schemas.openxmlformats.org/officeDocument/2006/relationships/hyperlink" Target="https://arxiv.org/abs/1908.09878" TargetMode="External"/><Relationship Id="rId112" Type="http://schemas.openxmlformats.org/officeDocument/2006/relationships/hyperlink" Target="https://arxiv.org/abs/2007.04771" TargetMode="External"/><Relationship Id="rId113" Type="http://schemas.openxmlformats.org/officeDocument/2006/relationships/hyperlink" Target="https://proceedings.mlr.press/v70/guo17a.html" TargetMode="External"/><Relationship Id="rId114" Type="http://schemas.openxmlformats.org/officeDocument/2006/relationships/hyperlink" Target="https://aclanthology.org/D14-1181/" TargetMode="External"/><Relationship Id="rId115" Type="http://schemas.openxmlformats.org/officeDocument/2006/relationships/hyperlink" Target="https://arxiv.org/abs/1811.06632" TargetMode="External"/><Relationship Id="rId116" Type="http://schemas.openxmlformats.org/officeDocument/2006/relationships/header" Target="header44.xml"/><Relationship Id="rId117" Type="http://schemas.openxmlformats.org/officeDocument/2006/relationships/footer" Target="footer44.xml"/><Relationship Id="rId118" Type="http://schemas.openxmlformats.org/officeDocument/2006/relationships/hyperlink" Target="https://arxiv.org/abs/1803.01271" TargetMode="External"/><Relationship Id="rId119" Type="http://schemas.openxmlformats.org/officeDocument/2006/relationships/hyperlink" Target="https://doi.org/10.1109/COMPSAC54236.2022.00197" TargetMode="External"/><Relationship Id="rId120" Type="http://schemas.openxmlformats.org/officeDocument/2006/relationships/hyperlink" Target="https://arxiv.org/abs/1603.02754" TargetMode="External"/><Relationship Id="rId121" Type="http://schemas.openxmlformats.org/officeDocument/2006/relationships/hyperlink" Target="https://doi.org/10.3390/s22093577" TargetMode="External"/><Relationship Id="rId122" Type="http://schemas.openxmlformats.org/officeDocument/2006/relationships/hyperlink" Target="https://www.ijcai.org/Proceedings/2020/454" TargetMode="External"/><Relationship Id="rId123" Type="http://schemas.openxmlformats.org/officeDocument/2006/relationships/hyperlink" Target="https://github.com/gsalzer/cgt" TargetMode="External"/><Relationship Id="rId124" Type="http://schemas.openxmlformats.org/officeDocument/2006/relationships/hyperlink" Target="https://docs.soliditylang.org/en/latest/security-considerations.html" TargetMode="External"/><Relationship Id="rId125" Type="http://schemas.openxmlformats.org/officeDocument/2006/relationships/hyperlink" Target="https://github.com/Exauce-kompany/DETECTION-AUTOMATISEE-DES-VULNERABILITES-DE-SMARTS-CONTRACTS-SOLIDITY/tree/2df2580cf206bc46cb23864fda32d6db6c1c09c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automatisée des vulnérabilités des smart contracts Solidity : une approche basée sur l’apprentissage profond</dc:title>
  <dc:subject>Mémoire de master — SMART BUG</dc:subject>
  <dc:creator>Exauce KOMPANI KIPANGU</dc:creator>
  <cp:keywords/>
  <dc:description>generated by python-docx</dc:description>
  <cp:lastModifiedBy/>
  <cp:revision>1</cp:revision>
  <dcterms:created xsi:type="dcterms:W3CDTF">2013-12-23T23:15:00Z</dcterms:created>
  <dcterms:modified xsi:type="dcterms:W3CDTF">2013-12-23T23:15:00Z</dcterms:modified>
  <cp:category/>
</cp:coreProperties>
</file>